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987" w:rsidRPr="00E242F1" w:rsidRDefault="0049290C" w:rsidP="004C0CE5">
      <w:pPr>
        <w:shd w:val="clear" w:color="auto" w:fill="FFFFFF"/>
        <w:jc w:val="center"/>
        <w:rPr>
          <w:b/>
          <w:color w:val="000000"/>
          <w:lang w:val="en-GB"/>
        </w:rPr>
      </w:pPr>
      <w:r w:rsidRPr="00E242F1">
        <w:rPr>
          <w:b/>
          <w:color w:val="000000"/>
        </w:rPr>
        <w:t xml:space="preserve">Biomarkers Associated with </w:t>
      </w:r>
      <w:r w:rsidR="00DA04B2" w:rsidRPr="00E242F1">
        <w:rPr>
          <w:b/>
          <w:color w:val="000000"/>
        </w:rPr>
        <w:t>AIDS</w:t>
      </w:r>
      <w:r w:rsidRPr="00E242F1">
        <w:rPr>
          <w:b/>
          <w:color w:val="000000"/>
        </w:rPr>
        <w:t>-Defining Malignancies in Children</w:t>
      </w:r>
    </w:p>
    <w:p w:rsidR="002B1987" w:rsidRPr="00E242F1" w:rsidRDefault="0049290C" w:rsidP="004C0CE5">
      <w:pPr>
        <w:shd w:val="clear" w:color="auto" w:fill="FFFFFF"/>
        <w:jc w:val="center"/>
        <w:rPr>
          <w:b/>
          <w:color w:val="000000"/>
          <w:lang w:val="en-GB"/>
        </w:rPr>
      </w:pPr>
      <w:proofErr w:type="spellStart"/>
      <w:r w:rsidRPr="00E242F1">
        <w:rPr>
          <w:b/>
          <w:color w:val="000000"/>
          <w:lang w:val="en-GB"/>
        </w:rPr>
        <w:t>Chidozie</w:t>
      </w:r>
      <w:proofErr w:type="spellEnd"/>
      <w:r w:rsidRPr="00E242F1">
        <w:rPr>
          <w:b/>
          <w:color w:val="000000"/>
          <w:lang w:val="en-GB"/>
        </w:rPr>
        <w:t>, C.P</w:t>
      </w:r>
      <w:r w:rsidRPr="00E242F1">
        <w:rPr>
          <w:b/>
          <w:color w:val="000000"/>
          <w:vertAlign w:val="superscript"/>
          <w:lang w:val="en-GB"/>
        </w:rPr>
        <w:t>1</w:t>
      </w:r>
      <w:r w:rsidRPr="00E242F1">
        <w:rPr>
          <w:b/>
          <w:color w:val="000000"/>
          <w:lang w:val="en-GB"/>
        </w:rPr>
        <w:t>*</w:t>
      </w:r>
      <w:proofErr w:type="gramStart"/>
      <w:r w:rsidRPr="00E242F1">
        <w:rPr>
          <w:b/>
          <w:color w:val="000000"/>
          <w:lang w:val="en-GB"/>
        </w:rPr>
        <w:t>.,</w:t>
      </w:r>
      <w:proofErr w:type="gramEnd"/>
      <w:r w:rsidRPr="00E242F1">
        <w:rPr>
          <w:b/>
          <w:color w:val="000000"/>
          <w:lang w:val="en-GB"/>
        </w:rPr>
        <w:t xml:space="preserve"> </w:t>
      </w:r>
      <w:proofErr w:type="spellStart"/>
      <w:r w:rsidRPr="00E242F1">
        <w:rPr>
          <w:b/>
          <w:color w:val="000000"/>
          <w:lang w:val="en-GB"/>
        </w:rPr>
        <w:t>Edokwe</w:t>
      </w:r>
      <w:proofErr w:type="spellEnd"/>
      <w:r w:rsidRPr="00E242F1">
        <w:rPr>
          <w:b/>
          <w:color w:val="000000"/>
          <w:lang w:val="en-GB"/>
        </w:rPr>
        <w:t>, E.S</w:t>
      </w:r>
      <w:r w:rsidRPr="00E242F1">
        <w:rPr>
          <w:b/>
          <w:color w:val="000000"/>
          <w:vertAlign w:val="superscript"/>
          <w:lang w:val="en-GB"/>
        </w:rPr>
        <w:t>1</w:t>
      </w:r>
      <w:r w:rsidRPr="00E242F1">
        <w:rPr>
          <w:b/>
          <w:color w:val="000000"/>
          <w:lang w:val="en-GB"/>
        </w:rPr>
        <w:t xml:space="preserve">., </w:t>
      </w:r>
      <w:proofErr w:type="spellStart"/>
      <w:r w:rsidRPr="00E242F1">
        <w:rPr>
          <w:b/>
          <w:color w:val="000000"/>
          <w:lang w:val="en-GB"/>
        </w:rPr>
        <w:t>Ukibe</w:t>
      </w:r>
      <w:proofErr w:type="spellEnd"/>
      <w:r w:rsidRPr="00E242F1">
        <w:rPr>
          <w:b/>
          <w:color w:val="000000"/>
          <w:lang w:val="en-GB"/>
        </w:rPr>
        <w:t>, N.R</w:t>
      </w:r>
      <w:r w:rsidRPr="00E242F1">
        <w:rPr>
          <w:b/>
          <w:color w:val="000000"/>
          <w:vertAlign w:val="superscript"/>
          <w:lang w:val="en-GB"/>
        </w:rPr>
        <w:t>2</w:t>
      </w:r>
      <w:r w:rsidRPr="00E242F1">
        <w:rPr>
          <w:b/>
          <w:color w:val="000000"/>
          <w:lang w:val="en-GB"/>
        </w:rPr>
        <w:t xml:space="preserve">. </w:t>
      </w:r>
      <w:proofErr w:type="spellStart"/>
      <w:r w:rsidRPr="00E242F1">
        <w:rPr>
          <w:b/>
          <w:color w:val="000000"/>
          <w:lang w:val="en-GB"/>
        </w:rPr>
        <w:t>Agu</w:t>
      </w:r>
      <w:proofErr w:type="spellEnd"/>
      <w:r w:rsidRPr="00E242F1">
        <w:rPr>
          <w:b/>
          <w:color w:val="000000"/>
          <w:lang w:val="en-GB"/>
        </w:rPr>
        <w:t>, K.C</w:t>
      </w:r>
      <w:r w:rsidRPr="00E242F1">
        <w:rPr>
          <w:b/>
          <w:color w:val="000000"/>
          <w:vertAlign w:val="superscript"/>
          <w:lang w:val="en-GB"/>
        </w:rPr>
        <w:t>3</w:t>
      </w:r>
      <w:r w:rsidRPr="00E242F1">
        <w:rPr>
          <w:b/>
          <w:color w:val="000000"/>
          <w:lang w:val="en-GB"/>
        </w:rPr>
        <w:t>.</w:t>
      </w:r>
      <w:r w:rsidR="00E3632B" w:rsidRPr="00E242F1">
        <w:rPr>
          <w:b/>
          <w:color w:val="000000"/>
          <w:lang w:val="en-GB"/>
        </w:rPr>
        <w:t xml:space="preserve"> </w:t>
      </w:r>
      <w:proofErr w:type="spellStart"/>
      <w:r w:rsidR="00E3632B" w:rsidRPr="00E242F1">
        <w:rPr>
          <w:b/>
          <w:color w:val="000000"/>
          <w:lang w:val="en-GB"/>
        </w:rPr>
        <w:t>Ikele</w:t>
      </w:r>
      <w:proofErr w:type="spellEnd"/>
      <w:r w:rsidR="00E3632B" w:rsidRPr="00E242F1">
        <w:rPr>
          <w:b/>
          <w:color w:val="000000"/>
          <w:lang w:val="en-GB"/>
        </w:rPr>
        <w:t>, M. O</w:t>
      </w:r>
      <w:r w:rsidR="00C15175" w:rsidRPr="00E242F1">
        <w:rPr>
          <w:b/>
          <w:color w:val="000000"/>
          <w:vertAlign w:val="superscript"/>
          <w:lang w:val="en-GB"/>
        </w:rPr>
        <w:t>3</w:t>
      </w:r>
      <w:r w:rsidR="00E3632B" w:rsidRPr="00E242F1">
        <w:rPr>
          <w:b/>
          <w:color w:val="000000"/>
          <w:lang w:val="en-GB"/>
        </w:rPr>
        <w:t xml:space="preserve">. </w:t>
      </w:r>
      <w:proofErr w:type="spellStart"/>
      <w:r w:rsidR="00E3632B" w:rsidRPr="00E242F1">
        <w:rPr>
          <w:b/>
          <w:color w:val="000000"/>
          <w:lang w:val="en-GB"/>
        </w:rPr>
        <w:t>Ogbodo</w:t>
      </w:r>
      <w:proofErr w:type="spellEnd"/>
      <w:r w:rsidR="00E3632B" w:rsidRPr="00E242F1">
        <w:rPr>
          <w:b/>
          <w:color w:val="000000"/>
          <w:lang w:val="en-GB"/>
        </w:rPr>
        <w:t xml:space="preserve"> U.</w:t>
      </w:r>
      <w:r w:rsidR="00C15175" w:rsidRPr="00E242F1">
        <w:rPr>
          <w:b/>
          <w:color w:val="000000"/>
          <w:lang w:val="en-GB"/>
        </w:rPr>
        <w:t xml:space="preserve"> C.</w:t>
      </w:r>
      <w:r w:rsidR="00C15175" w:rsidRPr="00E242F1">
        <w:rPr>
          <w:b/>
          <w:color w:val="000000"/>
          <w:vertAlign w:val="superscript"/>
          <w:lang w:val="en-GB"/>
        </w:rPr>
        <w:t xml:space="preserve"> 4</w:t>
      </w:r>
      <w:r w:rsidR="00C15175" w:rsidRPr="00E242F1">
        <w:rPr>
          <w:b/>
          <w:color w:val="000000"/>
          <w:lang w:val="en-GB"/>
        </w:rPr>
        <w:t>,</w:t>
      </w:r>
      <w:r w:rsidR="00720C88" w:rsidRPr="00E242F1">
        <w:rPr>
          <w:b/>
          <w:color w:val="000000"/>
          <w:lang w:val="en-GB"/>
        </w:rPr>
        <w:t xml:space="preserve"> </w:t>
      </w:r>
      <w:proofErr w:type="spellStart"/>
      <w:r w:rsidR="006015FC">
        <w:rPr>
          <w:b/>
          <w:color w:val="000000"/>
          <w:lang w:val="en-GB"/>
        </w:rPr>
        <w:t>Obeagu</w:t>
      </w:r>
      <w:proofErr w:type="spellEnd"/>
      <w:r w:rsidR="006015FC">
        <w:rPr>
          <w:b/>
          <w:color w:val="000000"/>
          <w:lang w:val="en-GB"/>
        </w:rPr>
        <w:t>, E. I</w:t>
      </w:r>
      <w:r w:rsidR="006015FC" w:rsidRPr="006015FC">
        <w:rPr>
          <w:b/>
          <w:color w:val="000000"/>
          <w:vertAlign w:val="superscript"/>
          <w:lang w:val="en-GB"/>
        </w:rPr>
        <w:t>5</w:t>
      </w:r>
      <w:r w:rsidR="006015FC">
        <w:rPr>
          <w:b/>
          <w:color w:val="000000"/>
          <w:lang w:val="en-GB"/>
        </w:rPr>
        <w:t>.</w:t>
      </w:r>
      <w:r w:rsidR="006015FC">
        <w:rPr>
          <w:b/>
          <w:color w:val="000000"/>
          <w:lang w:val="en-GB"/>
        </w:rPr>
        <w:t>,</w:t>
      </w:r>
      <w:r w:rsidR="006015FC">
        <w:rPr>
          <w:b/>
          <w:color w:val="000000"/>
          <w:lang w:val="en-GB"/>
        </w:rPr>
        <w:t xml:space="preserve"> </w:t>
      </w:r>
      <w:proofErr w:type="spellStart"/>
      <w:r w:rsidR="00720C88" w:rsidRPr="00E242F1">
        <w:rPr>
          <w:b/>
          <w:color w:val="000000"/>
          <w:lang w:val="en-GB"/>
        </w:rPr>
        <w:t>Kalu</w:t>
      </w:r>
      <w:proofErr w:type="spellEnd"/>
      <w:r w:rsidR="00720C88" w:rsidRPr="00E242F1">
        <w:rPr>
          <w:b/>
          <w:color w:val="000000"/>
          <w:lang w:val="en-GB"/>
        </w:rPr>
        <w:t>, O. A</w:t>
      </w:r>
      <w:r w:rsidR="006015FC">
        <w:rPr>
          <w:b/>
          <w:color w:val="000000"/>
          <w:vertAlign w:val="superscript"/>
          <w:lang w:val="en-GB"/>
        </w:rPr>
        <w:t>6</w:t>
      </w:r>
      <w:r w:rsidR="00720C88" w:rsidRPr="00E242F1">
        <w:rPr>
          <w:b/>
          <w:color w:val="000000"/>
          <w:lang w:val="en-GB"/>
        </w:rPr>
        <w:t>.</w:t>
      </w:r>
      <w:r w:rsidR="006015FC">
        <w:rPr>
          <w:b/>
          <w:color w:val="000000"/>
          <w:lang w:val="en-GB"/>
        </w:rPr>
        <w:t>,</w:t>
      </w:r>
      <w:r w:rsidR="00720C88" w:rsidRPr="00E242F1">
        <w:rPr>
          <w:b/>
          <w:color w:val="000000"/>
          <w:lang w:val="en-GB"/>
        </w:rPr>
        <w:t xml:space="preserve"> and </w:t>
      </w:r>
      <w:proofErr w:type="spellStart"/>
      <w:r w:rsidR="00720C88" w:rsidRPr="00E242F1">
        <w:rPr>
          <w:b/>
          <w:color w:val="000000"/>
          <w:lang w:val="en-GB"/>
        </w:rPr>
        <w:t>Ukibe</w:t>
      </w:r>
      <w:proofErr w:type="spellEnd"/>
      <w:r w:rsidR="00DA04B2" w:rsidRPr="00E242F1">
        <w:rPr>
          <w:b/>
          <w:color w:val="000000"/>
          <w:lang w:val="en-GB"/>
        </w:rPr>
        <w:t>, E. G</w:t>
      </w:r>
      <w:r w:rsidR="006015FC">
        <w:rPr>
          <w:b/>
          <w:color w:val="000000"/>
          <w:vertAlign w:val="superscript"/>
          <w:lang w:val="en-GB"/>
        </w:rPr>
        <w:t>6</w:t>
      </w:r>
      <w:r w:rsidR="00DA04B2" w:rsidRPr="00E242F1">
        <w:rPr>
          <w:b/>
          <w:color w:val="000000"/>
          <w:lang w:val="en-GB"/>
        </w:rPr>
        <w:t>.</w:t>
      </w:r>
    </w:p>
    <w:p w:rsidR="002B1987" w:rsidRPr="00E242F1" w:rsidRDefault="0049290C" w:rsidP="004C0CE5">
      <w:pPr>
        <w:shd w:val="clear" w:color="auto" w:fill="FFFFFF"/>
        <w:jc w:val="center"/>
        <w:rPr>
          <w:b/>
          <w:color w:val="000000"/>
          <w:lang w:val="en-GB"/>
        </w:rPr>
      </w:pPr>
      <w:r w:rsidRPr="00E242F1">
        <w:rPr>
          <w:b/>
          <w:color w:val="000000"/>
          <w:vertAlign w:val="superscript"/>
          <w:lang w:val="en-GB"/>
        </w:rPr>
        <w:t>1</w:t>
      </w:r>
      <w:r w:rsidRPr="00E242F1">
        <w:rPr>
          <w:b/>
          <w:color w:val="000000"/>
          <w:lang w:val="en-GB"/>
        </w:rPr>
        <w:t>Department of Paediatrics,</w:t>
      </w:r>
      <w:r w:rsidR="00DA04B2" w:rsidRPr="00E242F1">
        <w:rPr>
          <w:b/>
          <w:color w:val="000000"/>
          <w:lang w:val="en-GB"/>
        </w:rPr>
        <w:t xml:space="preserve"> </w:t>
      </w:r>
      <w:proofErr w:type="spellStart"/>
      <w:r w:rsidR="00DA04B2" w:rsidRPr="00E242F1">
        <w:rPr>
          <w:b/>
          <w:color w:val="000000"/>
          <w:lang w:val="en-GB"/>
        </w:rPr>
        <w:t>Nnamdi</w:t>
      </w:r>
      <w:proofErr w:type="spellEnd"/>
      <w:r w:rsidR="00DA04B2" w:rsidRPr="00E242F1">
        <w:rPr>
          <w:b/>
          <w:color w:val="000000"/>
          <w:lang w:val="en-GB"/>
        </w:rPr>
        <w:t xml:space="preserve"> </w:t>
      </w:r>
      <w:proofErr w:type="spellStart"/>
      <w:r w:rsidR="00DA04B2" w:rsidRPr="00E242F1">
        <w:rPr>
          <w:b/>
          <w:color w:val="000000"/>
          <w:lang w:val="en-GB"/>
        </w:rPr>
        <w:t>Azikiwe</w:t>
      </w:r>
      <w:proofErr w:type="spellEnd"/>
      <w:r w:rsidR="00DA04B2" w:rsidRPr="00E242F1">
        <w:rPr>
          <w:b/>
          <w:color w:val="000000"/>
          <w:lang w:val="en-GB"/>
        </w:rPr>
        <w:t xml:space="preserve"> University Teac</w:t>
      </w:r>
      <w:r w:rsidRPr="00E242F1">
        <w:rPr>
          <w:b/>
          <w:color w:val="000000"/>
          <w:lang w:val="en-GB"/>
        </w:rPr>
        <w:t>hing Hospital, Nnewi</w:t>
      </w:r>
    </w:p>
    <w:p w:rsidR="0049290C" w:rsidRPr="00E242F1" w:rsidRDefault="0049290C" w:rsidP="004C0CE5">
      <w:pPr>
        <w:shd w:val="clear" w:color="auto" w:fill="FFFFFF"/>
        <w:jc w:val="center"/>
        <w:rPr>
          <w:b/>
          <w:color w:val="000000"/>
          <w:lang w:val="en-GB"/>
        </w:rPr>
      </w:pPr>
      <w:r w:rsidRPr="00E242F1">
        <w:rPr>
          <w:b/>
          <w:color w:val="000000"/>
          <w:vertAlign w:val="superscript"/>
          <w:lang w:val="en-GB"/>
        </w:rPr>
        <w:t>2</w:t>
      </w:r>
      <w:r w:rsidRPr="00E242F1">
        <w:rPr>
          <w:b/>
          <w:color w:val="000000"/>
          <w:lang w:val="en-GB"/>
        </w:rPr>
        <w:t xml:space="preserve">Department of Medical Laboratory Science, </w:t>
      </w:r>
      <w:proofErr w:type="spellStart"/>
      <w:r w:rsidRPr="00E242F1">
        <w:rPr>
          <w:b/>
          <w:color w:val="000000"/>
          <w:lang w:val="en-GB"/>
        </w:rPr>
        <w:t>Nnamdi</w:t>
      </w:r>
      <w:proofErr w:type="spellEnd"/>
      <w:r w:rsidRPr="00E242F1">
        <w:rPr>
          <w:b/>
          <w:color w:val="000000"/>
          <w:lang w:val="en-GB"/>
        </w:rPr>
        <w:t xml:space="preserve"> </w:t>
      </w:r>
      <w:proofErr w:type="spellStart"/>
      <w:r w:rsidRPr="00E242F1">
        <w:rPr>
          <w:b/>
          <w:color w:val="000000"/>
          <w:lang w:val="en-GB"/>
        </w:rPr>
        <w:t>Azikiwe</w:t>
      </w:r>
      <w:proofErr w:type="spellEnd"/>
      <w:r w:rsidRPr="00E242F1">
        <w:rPr>
          <w:b/>
          <w:color w:val="000000"/>
          <w:lang w:val="en-GB"/>
        </w:rPr>
        <w:t xml:space="preserve"> University, Nnewi</w:t>
      </w:r>
    </w:p>
    <w:p w:rsidR="0049290C" w:rsidRPr="00E242F1" w:rsidRDefault="0049290C" w:rsidP="004C0CE5">
      <w:pPr>
        <w:shd w:val="clear" w:color="auto" w:fill="FFFFFF"/>
        <w:jc w:val="center"/>
        <w:rPr>
          <w:b/>
          <w:color w:val="000000"/>
          <w:lang w:val="en-GB"/>
        </w:rPr>
      </w:pPr>
      <w:r w:rsidRPr="00E242F1">
        <w:rPr>
          <w:b/>
          <w:color w:val="000000"/>
          <w:vertAlign w:val="superscript"/>
          <w:lang w:val="en-GB"/>
        </w:rPr>
        <w:t>3</w:t>
      </w:r>
      <w:r w:rsidRPr="00E242F1">
        <w:rPr>
          <w:b/>
          <w:color w:val="000000"/>
          <w:lang w:val="en-GB"/>
        </w:rPr>
        <w:t xml:space="preserve">Department of Microbiology, </w:t>
      </w:r>
      <w:proofErr w:type="spellStart"/>
      <w:r w:rsidRPr="00E242F1">
        <w:rPr>
          <w:b/>
          <w:color w:val="000000"/>
          <w:lang w:val="en-GB"/>
        </w:rPr>
        <w:t>Nnamdi</w:t>
      </w:r>
      <w:proofErr w:type="spellEnd"/>
      <w:r w:rsidRPr="00E242F1">
        <w:rPr>
          <w:b/>
          <w:color w:val="000000"/>
          <w:lang w:val="en-GB"/>
        </w:rPr>
        <w:t xml:space="preserve"> </w:t>
      </w:r>
      <w:proofErr w:type="spellStart"/>
      <w:r w:rsidRPr="00E242F1">
        <w:rPr>
          <w:b/>
          <w:color w:val="000000"/>
          <w:lang w:val="en-GB"/>
        </w:rPr>
        <w:t>Azikiwe</w:t>
      </w:r>
      <w:proofErr w:type="spellEnd"/>
      <w:r w:rsidRPr="00E242F1">
        <w:rPr>
          <w:b/>
          <w:color w:val="000000"/>
          <w:lang w:val="en-GB"/>
        </w:rPr>
        <w:t xml:space="preserve"> University, </w:t>
      </w:r>
      <w:proofErr w:type="spellStart"/>
      <w:r w:rsidRPr="00E242F1">
        <w:rPr>
          <w:b/>
          <w:color w:val="000000"/>
          <w:lang w:val="en-GB"/>
        </w:rPr>
        <w:t>Awka</w:t>
      </w:r>
      <w:proofErr w:type="spellEnd"/>
    </w:p>
    <w:p w:rsidR="00C15175" w:rsidRDefault="00C15175" w:rsidP="004C0CE5">
      <w:pPr>
        <w:shd w:val="clear" w:color="auto" w:fill="FFFFFF"/>
        <w:jc w:val="center"/>
        <w:rPr>
          <w:b/>
          <w:color w:val="000000"/>
          <w:lang w:val="en-GB"/>
        </w:rPr>
      </w:pPr>
      <w:r w:rsidRPr="00E242F1">
        <w:rPr>
          <w:b/>
          <w:color w:val="000000"/>
          <w:vertAlign w:val="superscript"/>
          <w:lang w:val="en-GB"/>
        </w:rPr>
        <w:t>4</w:t>
      </w:r>
      <w:r w:rsidRPr="00E242F1">
        <w:rPr>
          <w:b/>
          <w:color w:val="000000"/>
          <w:lang w:val="en-GB"/>
        </w:rPr>
        <w:t xml:space="preserve">Department of </w:t>
      </w:r>
      <w:r w:rsidRPr="00E242F1">
        <w:rPr>
          <w:b/>
          <w:color w:val="000000"/>
          <w:lang w:val="en-GB"/>
        </w:rPr>
        <w:t>Applied Biochemistry</w:t>
      </w:r>
      <w:r w:rsidRPr="00E242F1">
        <w:rPr>
          <w:b/>
          <w:color w:val="000000"/>
          <w:lang w:val="en-GB"/>
        </w:rPr>
        <w:t xml:space="preserve">, </w:t>
      </w:r>
      <w:proofErr w:type="spellStart"/>
      <w:r w:rsidRPr="00E242F1">
        <w:rPr>
          <w:b/>
          <w:color w:val="000000"/>
          <w:lang w:val="en-GB"/>
        </w:rPr>
        <w:t>Nnamdi</w:t>
      </w:r>
      <w:proofErr w:type="spellEnd"/>
      <w:r w:rsidRPr="00E242F1">
        <w:rPr>
          <w:b/>
          <w:color w:val="000000"/>
          <w:lang w:val="en-GB"/>
        </w:rPr>
        <w:t xml:space="preserve"> </w:t>
      </w:r>
      <w:proofErr w:type="spellStart"/>
      <w:r w:rsidRPr="00E242F1">
        <w:rPr>
          <w:b/>
          <w:color w:val="000000"/>
          <w:lang w:val="en-GB"/>
        </w:rPr>
        <w:t>Azikiwe</w:t>
      </w:r>
      <w:proofErr w:type="spellEnd"/>
      <w:r w:rsidRPr="00E242F1">
        <w:rPr>
          <w:b/>
          <w:color w:val="000000"/>
          <w:lang w:val="en-GB"/>
        </w:rPr>
        <w:t xml:space="preserve"> University, </w:t>
      </w:r>
      <w:proofErr w:type="spellStart"/>
      <w:r w:rsidRPr="00E242F1">
        <w:rPr>
          <w:b/>
          <w:color w:val="000000"/>
          <w:lang w:val="en-GB"/>
        </w:rPr>
        <w:t>Awka</w:t>
      </w:r>
      <w:proofErr w:type="spellEnd"/>
    </w:p>
    <w:p w:rsidR="006015FC" w:rsidRPr="00E242F1" w:rsidRDefault="006015FC" w:rsidP="004C0CE5">
      <w:pPr>
        <w:shd w:val="clear" w:color="auto" w:fill="FFFFFF"/>
        <w:jc w:val="center"/>
        <w:rPr>
          <w:b/>
          <w:color w:val="000000"/>
          <w:lang w:val="en-GB"/>
        </w:rPr>
      </w:pPr>
      <w:r>
        <w:rPr>
          <w:b/>
          <w:color w:val="000000"/>
          <w:vertAlign w:val="superscript"/>
          <w:lang w:val="en-GB"/>
        </w:rPr>
        <w:t>5</w:t>
      </w:r>
      <w:r w:rsidRPr="00E242F1">
        <w:rPr>
          <w:b/>
          <w:color w:val="000000"/>
          <w:lang w:val="en-GB"/>
        </w:rPr>
        <w:t xml:space="preserve">Department of Medical Laboratory Science, </w:t>
      </w:r>
      <w:r>
        <w:rPr>
          <w:b/>
          <w:color w:val="000000"/>
          <w:lang w:val="en-GB"/>
        </w:rPr>
        <w:t>Kampala</w:t>
      </w:r>
      <w:r w:rsidRPr="00E242F1">
        <w:rPr>
          <w:b/>
          <w:color w:val="000000"/>
          <w:lang w:val="en-GB"/>
        </w:rPr>
        <w:t xml:space="preserve"> </w:t>
      </w:r>
      <w:proofErr w:type="spellStart"/>
      <w:r>
        <w:rPr>
          <w:b/>
          <w:color w:val="000000"/>
          <w:lang w:val="en-GB"/>
        </w:rPr>
        <w:t>Internantional</w:t>
      </w:r>
      <w:proofErr w:type="spellEnd"/>
      <w:r w:rsidRPr="00E242F1">
        <w:rPr>
          <w:b/>
          <w:color w:val="000000"/>
          <w:lang w:val="en-GB"/>
        </w:rPr>
        <w:t xml:space="preserve"> University,</w:t>
      </w:r>
      <w:r>
        <w:rPr>
          <w:b/>
          <w:color w:val="000000"/>
          <w:lang w:val="en-GB"/>
        </w:rPr>
        <w:t xml:space="preserve"> Uganda</w:t>
      </w:r>
      <w:bookmarkStart w:id="0" w:name="_GoBack"/>
      <w:bookmarkEnd w:id="0"/>
    </w:p>
    <w:p w:rsidR="00C15175" w:rsidRDefault="006015FC" w:rsidP="004C0CE5">
      <w:pPr>
        <w:shd w:val="clear" w:color="auto" w:fill="FFFFFF"/>
        <w:jc w:val="center"/>
        <w:rPr>
          <w:b/>
          <w:color w:val="000000"/>
          <w:lang w:val="en-GB"/>
        </w:rPr>
      </w:pPr>
      <w:r>
        <w:rPr>
          <w:b/>
          <w:color w:val="000000"/>
          <w:vertAlign w:val="superscript"/>
          <w:lang w:val="en-GB"/>
        </w:rPr>
        <w:t>6</w:t>
      </w:r>
      <w:r w:rsidR="00DA04B2" w:rsidRPr="00E242F1">
        <w:rPr>
          <w:b/>
          <w:color w:val="000000"/>
          <w:lang w:val="en-GB"/>
        </w:rPr>
        <w:t xml:space="preserve">Department of </w:t>
      </w:r>
      <w:r w:rsidR="00DA04B2" w:rsidRPr="00E242F1">
        <w:rPr>
          <w:b/>
          <w:color w:val="000000"/>
          <w:lang w:val="en-GB"/>
        </w:rPr>
        <w:t>Medicine</w:t>
      </w:r>
      <w:r w:rsidR="00DA04B2" w:rsidRPr="00E242F1">
        <w:rPr>
          <w:b/>
          <w:color w:val="000000"/>
          <w:lang w:val="en-GB"/>
        </w:rPr>
        <w:t xml:space="preserve">, </w:t>
      </w:r>
      <w:r w:rsidR="00DA04B2" w:rsidRPr="00E242F1">
        <w:rPr>
          <w:b/>
          <w:color w:val="000000"/>
          <w:lang w:val="en-GB"/>
        </w:rPr>
        <w:t>College of Health Sciences</w:t>
      </w:r>
      <w:r w:rsidR="00DA04B2" w:rsidRPr="00E242F1">
        <w:rPr>
          <w:b/>
          <w:color w:val="000000"/>
          <w:lang w:val="en-GB"/>
        </w:rPr>
        <w:t xml:space="preserve">, </w:t>
      </w:r>
      <w:proofErr w:type="spellStart"/>
      <w:r w:rsidR="00DA04B2" w:rsidRPr="00E242F1">
        <w:rPr>
          <w:b/>
          <w:color w:val="000000"/>
          <w:lang w:val="en-GB"/>
        </w:rPr>
        <w:t>Nnamdi</w:t>
      </w:r>
      <w:proofErr w:type="spellEnd"/>
      <w:r w:rsidR="00DA04B2" w:rsidRPr="00E242F1">
        <w:rPr>
          <w:b/>
          <w:color w:val="000000"/>
          <w:lang w:val="en-GB"/>
        </w:rPr>
        <w:t xml:space="preserve"> </w:t>
      </w:r>
      <w:proofErr w:type="spellStart"/>
      <w:r w:rsidR="00DA04B2" w:rsidRPr="00E242F1">
        <w:rPr>
          <w:b/>
          <w:color w:val="000000"/>
          <w:lang w:val="en-GB"/>
        </w:rPr>
        <w:t>Azikiwe</w:t>
      </w:r>
      <w:proofErr w:type="spellEnd"/>
      <w:r w:rsidR="00DA04B2" w:rsidRPr="00E242F1">
        <w:rPr>
          <w:b/>
          <w:color w:val="000000"/>
          <w:lang w:val="en-GB"/>
        </w:rPr>
        <w:t xml:space="preserve"> University, </w:t>
      </w:r>
      <w:r w:rsidR="00DA04B2" w:rsidRPr="00E242F1">
        <w:rPr>
          <w:b/>
          <w:color w:val="000000"/>
          <w:lang w:val="en-GB"/>
        </w:rPr>
        <w:t>Nnewi</w:t>
      </w:r>
    </w:p>
    <w:p w:rsidR="004C0CE5" w:rsidRPr="00E242F1" w:rsidRDefault="004C0CE5" w:rsidP="004C0CE5">
      <w:pPr>
        <w:shd w:val="clear" w:color="auto" w:fill="FFFFFF"/>
        <w:jc w:val="center"/>
        <w:rPr>
          <w:b/>
          <w:color w:val="000000"/>
          <w:lang w:val="en-GB"/>
        </w:rPr>
      </w:pPr>
    </w:p>
    <w:p w:rsidR="002B1987" w:rsidRPr="00E242F1" w:rsidRDefault="0049290C" w:rsidP="00E242F1">
      <w:pPr>
        <w:shd w:val="clear" w:color="auto" w:fill="FFFFFF"/>
        <w:spacing w:line="360" w:lineRule="auto"/>
        <w:jc w:val="both"/>
        <w:rPr>
          <w:color w:val="000000"/>
          <w:lang w:val="en-GB"/>
        </w:rPr>
      </w:pPr>
      <w:r w:rsidRPr="00E242F1">
        <w:rPr>
          <w:color w:val="000000"/>
          <w:lang w:val="en-GB"/>
        </w:rPr>
        <w:t>*Correspondence:</w:t>
      </w:r>
      <w:r w:rsidRPr="00E242F1">
        <w:rPr>
          <w:color w:val="000000"/>
          <w:lang w:val="en-GB"/>
        </w:rPr>
        <w:tab/>
      </w:r>
      <w:r w:rsidRPr="00E242F1">
        <w:rPr>
          <w:color w:val="000000"/>
          <w:lang w:val="en-GB"/>
        </w:rPr>
        <w:tab/>
      </w:r>
      <w:r w:rsidR="004C0CE5">
        <w:rPr>
          <w:color w:val="000000"/>
          <w:lang w:val="en-GB"/>
        </w:rPr>
        <w:tab/>
      </w:r>
      <w:r w:rsidR="004C0CE5">
        <w:rPr>
          <w:color w:val="000000"/>
          <w:lang w:val="en-GB"/>
        </w:rPr>
        <w:tab/>
      </w:r>
      <w:r w:rsidR="004C0CE5">
        <w:rPr>
          <w:color w:val="000000"/>
          <w:lang w:val="en-GB"/>
        </w:rPr>
        <w:tab/>
      </w:r>
      <w:r w:rsidRPr="00E242F1">
        <w:rPr>
          <w:color w:val="000000"/>
          <w:lang w:val="en-GB"/>
        </w:rPr>
        <w:t>perpetua0504@gmail.com</w:t>
      </w:r>
    </w:p>
    <w:p w:rsidR="002B1987" w:rsidRPr="00E242F1" w:rsidRDefault="0049290C" w:rsidP="00E242F1">
      <w:pPr>
        <w:spacing w:line="360" w:lineRule="auto"/>
        <w:jc w:val="both"/>
        <w:rPr>
          <w:color w:val="000000"/>
          <w:lang w:val="en-GB"/>
        </w:rPr>
      </w:pPr>
      <w:bookmarkStart w:id="1" w:name="_Hlk138939501"/>
      <w:r w:rsidRPr="00E242F1">
        <w:rPr>
          <w:b/>
          <w:color w:val="000000"/>
          <w:lang w:val="en-GB"/>
        </w:rPr>
        <w:t>Abstract</w:t>
      </w:r>
    </w:p>
    <w:p w:rsidR="002B1987" w:rsidRPr="00E242F1" w:rsidRDefault="0065792B" w:rsidP="00E242F1">
      <w:pPr>
        <w:shd w:val="clear" w:color="auto" w:fill="FFFFFF"/>
        <w:spacing w:line="360" w:lineRule="auto"/>
        <w:jc w:val="both"/>
        <w:rPr>
          <w:color w:val="000000"/>
        </w:rPr>
      </w:pPr>
      <w:r w:rsidRPr="00E242F1">
        <w:rPr>
          <w:color w:val="000000"/>
        </w:rPr>
        <w:t>AIDs-infected children have an increased cancer risk due to a compromised immune system and an increased susceptibility to oncogenic viruses. Worldwide, a range of children between ages 0-14 years are infected with AIDs and are at an increased risk of developing cancer. However, as a result of immunosuppression, systemic inflammation, persistent HIV viremia and increased susceptibility to oncogenic viruses, children or peopl with AIDs are at a higher risk of some malignancies which includes those considered as AIDs-defining malignancies (ADM) such as Kaposi sarcoma and non-Hodgkin lymphoma and non-AIDs-defining malignancies (NADM) such as Hodgkin lymphoma. The intricate relationship between AIDS and malignancies in children involves a heightened cancer risk due to immunodeficiency. Biomarkers serve as crucial tools in identifying, understanding, and managing these malignancies by providing valuable information about the underlying biological processes and aiding in personalized treatment strategies.Combined antiretroviral therapy (cART) reduces the risk of cancer development in children infected with AIDs. Starting cART before the development of severe immunosuppression is key in the prevention of cancer in AIDs-infected children. Vaccination against high risk variants of human papilloma virus (HPV) may protect against cancer associated with HPV (e.g cervical cancer) later in life.</w:t>
      </w:r>
    </w:p>
    <w:p w:rsidR="002B1987" w:rsidRPr="00E242F1" w:rsidRDefault="0049290C" w:rsidP="00E242F1">
      <w:pPr>
        <w:shd w:val="clear" w:color="auto" w:fill="FFFFFF"/>
        <w:spacing w:line="360" w:lineRule="auto"/>
        <w:jc w:val="both"/>
        <w:rPr>
          <w:color w:val="000000"/>
        </w:rPr>
      </w:pPr>
      <w:r w:rsidRPr="00E242F1">
        <w:rPr>
          <w:b/>
          <w:color w:val="000000"/>
        </w:rPr>
        <w:t>Keywords</w:t>
      </w:r>
      <w:r w:rsidRPr="00E242F1">
        <w:rPr>
          <w:color w:val="000000"/>
        </w:rPr>
        <w:t xml:space="preserve">: Cervical cancer, HPV, </w:t>
      </w:r>
      <w:proofErr w:type="spellStart"/>
      <w:r w:rsidRPr="00E242F1">
        <w:rPr>
          <w:color w:val="000000"/>
        </w:rPr>
        <w:t>cART</w:t>
      </w:r>
      <w:proofErr w:type="spellEnd"/>
      <w:r w:rsidRPr="00E242F1">
        <w:rPr>
          <w:color w:val="000000"/>
        </w:rPr>
        <w:t>, Biomarkers, AIDS</w:t>
      </w:r>
    </w:p>
    <w:bookmarkEnd w:id="1"/>
    <w:p w:rsidR="002B1987" w:rsidRPr="00E242F1" w:rsidRDefault="002B1987" w:rsidP="00E242F1">
      <w:pPr>
        <w:spacing w:line="360" w:lineRule="auto"/>
        <w:jc w:val="both"/>
        <w:rPr>
          <w:color w:val="000000"/>
          <w:lang w:val="en-GB"/>
        </w:rPr>
      </w:pPr>
    </w:p>
    <w:p w:rsidR="002B1987" w:rsidRPr="00E242F1" w:rsidRDefault="002B1987" w:rsidP="00E242F1">
      <w:pPr>
        <w:shd w:val="clear" w:color="auto" w:fill="FFFFFF"/>
        <w:spacing w:line="360" w:lineRule="auto"/>
        <w:jc w:val="both"/>
        <w:rPr>
          <w:color w:val="000000"/>
        </w:rPr>
      </w:pPr>
    </w:p>
    <w:p w:rsidR="002B1987" w:rsidRPr="00E242F1" w:rsidRDefault="002B1987" w:rsidP="00E242F1">
      <w:pPr>
        <w:shd w:val="clear" w:color="auto" w:fill="FFFFFF"/>
        <w:spacing w:line="360" w:lineRule="auto"/>
        <w:jc w:val="both"/>
        <w:rPr>
          <w:color w:val="000000"/>
        </w:rPr>
      </w:pPr>
    </w:p>
    <w:p w:rsidR="002B1987" w:rsidRPr="00E242F1" w:rsidRDefault="002B1987" w:rsidP="00E242F1">
      <w:pPr>
        <w:shd w:val="clear" w:color="auto" w:fill="FFFFFF"/>
        <w:spacing w:line="360" w:lineRule="auto"/>
        <w:jc w:val="both"/>
        <w:rPr>
          <w:color w:val="000000"/>
        </w:rPr>
      </w:pPr>
    </w:p>
    <w:p w:rsidR="002B1987" w:rsidRPr="00E242F1" w:rsidRDefault="002B1987" w:rsidP="00E242F1">
      <w:pPr>
        <w:shd w:val="clear" w:color="auto" w:fill="FFFFFF"/>
        <w:spacing w:line="360" w:lineRule="auto"/>
        <w:jc w:val="both"/>
        <w:rPr>
          <w:color w:val="000000"/>
        </w:rPr>
      </w:pPr>
    </w:p>
    <w:p w:rsidR="002B1987" w:rsidRDefault="002B1987" w:rsidP="00E242F1">
      <w:pPr>
        <w:spacing w:line="360" w:lineRule="auto"/>
        <w:jc w:val="both"/>
        <w:rPr>
          <w:color w:val="000000"/>
        </w:rPr>
      </w:pPr>
    </w:p>
    <w:p w:rsidR="004C0CE5" w:rsidRDefault="004C0CE5" w:rsidP="00E242F1">
      <w:pPr>
        <w:spacing w:line="360" w:lineRule="auto"/>
        <w:jc w:val="both"/>
        <w:rPr>
          <w:color w:val="000000"/>
        </w:rPr>
      </w:pPr>
    </w:p>
    <w:p w:rsidR="004C0CE5" w:rsidRPr="00E242F1" w:rsidRDefault="004C0CE5" w:rsidP="00E242F1">
      <w:pPr>
        <w:spacing w:line="360" w:lineRule="auto"/>
        <w:jc w:val="both"/>
        <w:rPr>
          <w:color w:val="000000"/>
        </w:rPr>
      </w:pPr>
    </w:p>
    <w:p w:rsidR="002B1987" w:rsidRPr="00E242F1" w:rsidRDefault="00BC508F" w:rsidP="00E242F1">
      <w:pPr>
        <w:tabs>
          <w:tab w:val="left" w:pos="2430"/>
        </w:tabs>
        <w:spacing w:line="360" w:lineRule="auto"/>
        <w:ind w:right="-244"/>
        <w:jc w:val="both"/>
        <w:rPr>
          <w:b/>
        </w:rPr>
      </w:pPr>
      <w:r w:rsidRPr="00E242F1">
        <w:rPr>
          <w:b/>
        </w:rPr>
        <w:t>Introduction</w:t>
      </w:r>
    </w:p>
    <w:p w:rsidR="00CB4167" w:rsidRPr="00E242F1" w:rsidRDefault="00CB4167" w:rsidP="00E242F1">
      <w:pPr>
        <w:tabs>
          <w:tab w:val="left" w:pos="2430"/>
        </w:tabs>
        <w:spacing w:line="360" w:lineRule="auto"/>
        <w:ind w:right="-244"/>
        <w:jc w:val="both"/>
      </w:pPr>
      <w:r w:rsidRPr="00E242F1">
        <w:t>In spite of ongoing HIV/AIDS research and prevention methods, human immunodeficiency virus infection has persisted (</w:t>
      </w:r>
      <w:proofErr w:type="spellStart"/>
      <w:r w:rsidRPr="00E242F1">
        <w:t>Ifeanyichukwu</w:t>
      </w:r>
      <w:proofErr w:type="spellEnd"/>
      <w:r w:rsidRPr="00E242F1">
        <w:t xml:space="preserve"> </w:t>
      </w:r>
      <w:r w:rsidRPr="00E242F1">
        <w:rPr>
          <w:i/>
        </w:rPr>
        <w:t>et al.,</w:t>
      </w:r>
      <w:r w:rsidRPr="00E242F1">
        <w:t xml:space="preserve"> 2011). HIV infection has caused a considerable impact on cancer incidence since the global epidemic of AIDS (Carbone </w:t>
      </w:r>
      <w:r w:rsidRPr="00E242F1">
        <w:rPr>
          <w:i/>
        </w:rPr>
        <w:t xml:space="preserve">et al., </w:t>
      </w:r>
      <w:r w:rsidRPr="00E242F1">
        <w:t xml:space="preserve">2022). According to epidemiological data, being infected with HIV increases the risk of acquiring different cancers (Carbone </w:t>
      </w:r>
      <w:r w:rsidRPr="00E242F1">
        <w:rPr>
          <w:i/>
        </w:rPr>
        <w:t>et al.,</w:t>
      </w:r>
      <w:r w:rsidRPr="00E242F1">
        <w:t xml:space="preserve"> 2022).</w:t>
      </w:r>
    </w:p>
    <w:p w:rsidR="00D049ED" w:rsidRPr="00E242F1" w:rsidRDefault="00BC508F" w:rsidP="00E242F1">
      <w:pPr>
        <w:tabs>
          <w:tab w:val="left" w:pos="2430"/>
        </w:tabs>
        <w:spacing w:line="360" w:lineRule="auto"/>
        <w:ind w:right="-244"/>
        <w:jc w:val="both"/>
      </w:pPr>
      <w:r w:rsidRPr="00E242F1">
        <w:t xml:space="preserve">HIV-associated malignancies are </w:t>
      </w:r>
      <w:proofErr w:type="spellStart"/>
      <w:r w:rsidRPr="00E242F1">
        <w:t>tumours</w:t>
      </w:r>
      <w:proofErr w:type="spellEnd"/>
      <w:r w:rsidRPr="00E242F1">
        <w:t xml:space="preserve"> whose incid</w:t>
      </w:r>
      <w:r w:rsidR="00CB4167" w:rsidRPr="00E242F1">
        <w:t xml:space="preserve">ence is raised in HIV patients, </w:t>
      </w:r>
      <w:r w:rsidRPr="00E242F1">
        <w:t>particularly those whose increased incidence is caused by the HIV infection. These include both AIDS-defining malignancies (cancers that cause AIDS when found in HIV-infected people) and non</w:t>
      </w:r>
      <w:r w:rsidR="00EB56F7" w:rsidRPr="00E242F1">
        <w:t>-</w:t>
      </w:r>
      <w:r w:rsidRPr="00E242F1">
        <w:t>AIDS-defining cancers (other cancers whose prevalence rises with HIV infection). Kaposi sarcoma, some high grade B cell lymphomas, and cervical carcinoma are malignancies that are associated with AIDS</w:t>
      </w:r>
      <w:r w:rsidR="00055359" w:rsidRPr="00E242F1">
        <w:t xml:space="preserve"> (</w:t>
      </w:r>
      <w:proofErr w:type="spellStart"/>
      <w:r w:rsidR="00055359" w:rsidRPr="00E242F1">
        <w:t>Yarchoan</w:t>
      </w:r>
      <w:proofErr w:type="spellEnd"/>
      <w:r w:rsidR="00055359" w:rsidRPr="00E242F1">
        <w:t>, 2014)</w:t>
      </w:r>
      <w:r w:rsidRPr="00E242F1">
        <w:t>.</w:t>
      </w:r>
    </w:p>
    <w:p w:rsidR="00D049ED" w:rsidRPr="00E242F1" w:rsidRDefault="00D049ED" w:rsidP="00E242F1">
      <w:pPr>
        <w:tabs>
          <w:tab w:val="left" w:pos="2430"/>
        </w:tabs>
        <w:spacing w:line="360" w:lineRule="auto"/>
        <w:ind w:right="-244"/>
        <w:jc w:val="both"/>
      </w:pPr>
      <w:r w:rsidRPr="00E242F1">
        <w:rPr>
          <w:color w:val="252525"/>
        </w:rPr>
        <w:t>Biomarkers are objectively measured qualities that indicate normal biological processes, pathogenic processes, and pharmacological reactions to therapies. Biomarkers are biochemical compounds produced by cancer cells as a resul</w:t>
      </w:r>
      <w:r w:rsidRPr="00E242F1">
        <w:rPr>
          <w:color w:val="252525"/>
        </w:rPr>
        <w:t>t of the malignant process (</w:t>
      </w:r>
      <w:proofErr w:type="spellStart"/>
      <w:r w:rsidRPr="00E242F1">
        <w:rPr>
          <w:color w:val="252525"/>
        </w:rPr>
        <w:t>Lesko</w:t>
      </w:r>
      <w:proofErr w:type="spellEnd"/>
      <w:r w:rsidRPr="00E242F1">
        <w:rPr>
          <w:color w:val="252525"/>
        </w:rPr>
        <w:t xml:space="preserve"> </w:t>
      </w:r>
      <w:r w:rsidRPr="00E242F1">
        <w:rPr>
          <w:i/>
          <w:color w:val="252525"/>
        </w:rPr>
        <w:t>et al.,</w:t>
      </w:r>
      <w:r w:rsidRPr="00E242F1">
        <w:rPr>
          <w:color w:val="252525"/>
        </w:rPr>
        <w:t xml:space="preserve"> 2001</w:t>
      </w:r>
      <w:r w:rsidRPr="00E242F1">
        <w:rPr>
          <w:color w:val="252525"/>
        </w:rPr>
        <w:t>). However, cancer biomarkers can only be detected when cancer is present. Cancer biomarkers can be discovered in several samples, including serum, plasma, whole blood, urine, and tissue. Cancer cells may create typical endogenous products at a higher rate or newly activated genes that were inactive in normal cells</w:t>
      </w:r>
      <w:r w:rsidRPr="00E242F1">
        <w:rPr>
          <w:color w:val="252525"/>
        </w:rPr>
        <w:t xml:space="preserve"> (</w:t>
      </w:r>
      <w:proofErr w:type="spellStart"/>
      <w:r w:rsidRPr="00E242F1">
        <w:rPr>
          <w:color w:val="252525"/>
        </w:rPr>
        <w:t>Flepisi</w:t>
      </w:r>
      <w:proofErr w:type="spellEnd"/>
      <w:r w:rsidRPr="00E242F1">
        <w:rPr>
          <w:color w:val="252525"/>
        </w:rPr>
        <w:t xml:space="preserve"> </w:t>
      </w:r>
      <w:r w:rsidRPr="00E242F1">
        <w:rPr>
          <w:i/>
          <w:color w:val="252525"/>
        </w:rPr>
        <w:t>et al.,</w:t>
      </w:r>
      <w:r w:rsidRPr="00E242F1">
        <w:rPr>
          <w:color w:val="252525"/>
        </w:rPr>
        <w:t xml:space="preserve"> 2014)</w:t>
      </w:r>
      <w:r w:rsidRPr="00E242F1">
        <w:rPr>
          <w:color w:val="252525"/>
        </w:rPr>
        <w:t>. Biomarkers, such as intracellular chemicals or proteins in tissues or discharged into the bloodstream, can signal the existence of cancer. A biomarker's value resides in its capacity to provide early indications of illness progression, as well as its simplicity of detection and measurement</w:t>
      </w:r>
      <w:r w:rsidRPr="00E242F1">
        <w:rPr>
          <w:color w:val="252525"/>
        </w:rPr>
        <w:t xml:space="preserve"> across populations (</w:t>
      </w:r>
      <w:proofErr w:type="spellStart"/>
      <w:r w:rsidRPr="00E242F1">
        <w:t>Srinivas</w:t>
      </w:r>
      <w:proofErr w:type="spellEnd"/>
      <w:r w:rsidRPr="00E242F1">
        <w:t xml:space="preserve"> </w:t>
      </w:r>
      <w:r w:rsidRPr="00E242F1">
        <w:rPr>
          <w:i/>
        </w:rPr>
        <w:t>et al.,</w:t>
      </w:r>
      <w:r w:rsidRPr="00E242F1">
        <w:t xml:space="preserve"> 2001)</w:t>
      </w:r>
      <w:r w:rsidRPr="00E242F1">
        <w:rPr>
          <w:color w:val="252525"/>
        </w:rPr>
        <w:t>.</w:t>
      </w:r>
    </w:p>
    <w:p w:rsidR="00D049ED" w:rsidRPr="00E242F1" w:rsidRDefault="00FF06C0" w:rsidP="00E242F1">
      <w:pPr>
        <w:tabs>
          <w:tab w:val="left" w:pos="2430"/>
        </w:tabs>
        <w:spacing w:line="360" w:lineRule="auto"/>
        <w:ind w:right="-244"/>
        <w:jc w:val="both"/>
      </w:pPr>
      <w:r w:rsidRPr="00E242F1">
        <w:t>The aim of this review is to</w:t>
      </w:r>
      <w:r w:rsidRPr="00E242F1">
        <w:t xml:space="preserve"> critically evaluate the utility of specific biomarkers in the diagnosis and management of </w:t>
      </w:r>
      <w:r w:rsidRPr="00E242F1">
        <w:t>childhood</w:t>
      </w:r>
      <w:r w:rsidRPr="00E242F1">
        <w:t xml:space="preserve"> HIV-defining malignancies, including Kaposi sarcoma, non-Hodgkin lymphoma, and cervical cancer.</w:t>
      </w:r>
    </w:p>
    <w:p w:rsidR="001D4C65" w:rsidRPr="00E242F1" w:rsidRDefault="001D4C65" w:rsidP="00E242F1">
      <w:pPr>
        <w:tabs>
          <w:tab w:val="left" w:pos="2430"/>
        </w:tabs>
        <w:spacing w:line="360" w:lineRule="auto"/>
        <w:ind w:right="-244"/>
        <w:jc w:val="both"/>
      </w:pPr>
    </w:p>
    <w:p w:rsidR="001D4C65" w:rsidRPr="00E242F1" w:rsidRDefault="001D4C65" w:rsidP="00E242F1">
      <w:pPr>
        <w:tabs>
          <w:tab w:val="left" w:pos="2430"/>
        </w:tabs>
        <w:spacing w:line="360" w:lineRule="auto"/>
        <w:ind w:right="-244"/>
        <w:jc w:val="both"/>
      </w:pPr>
    </w:p>
    <w:p w:rsidR="001D4C65" w:rsidRPr="00E242F1" w:rsidRDefault="001D4C65" w:rsidP="00E242F1">
      <w:pPr>
        <w:tabs>
          <w:tab w:val="left" w:pos="2430"/>
        </w:tabs>
        <w:spacing w:line="360" w:lineRule="auto"/>
        <w:ind w:right="-244"/>
        <w:jc w:val="both"/>
      </w:pPr>
    </w:p>
    <w:p w:rsidR="001D4C65" w:rsidRPr="00E242F1" w:rsidRDefault="001D4C65" w:rsidP="00E242F1">
      <w:pPr>
        <w:tabs>
          <w:tab w:val="left" w:pos="2430"/>
        </w:tabs>
        <w:spacing w:line="360" w:lineRule="auto"/>
        <w:ind w:right="-244"/>
        <w:jc w:val="both"/>
      </w:pPr>
    </w:p>
    <w:p w:rsidR="001D4C65" w:rsidRDefault="001D4C6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Pr="00E242F1" w:rsidRDefault="004C0CE5" w:rsidP="00E242F1">
      <w:pPr>
        <w:tabs>
          <w:tab w:val="left" w:pos="2430"/>
        </w:tabs>
        <w:spacing w:line="360" w:lineRule="auto"/>
        <w:ind w:right="-244"/>
        <w:jc w:val="both"/>
      </w:pPr>
    </w:p>
    <w:p w:rsidR="00C41E28" w:rsidRPr="00E242F1" w:rsidRDefault="00C41E28" w:rsidP="00E242F1">
      <w:pPr>
        <w:tabs>
          <w:tab w:val="left" w:pos="2430"/>
        </w:tabs>
        <w:spacing w:line="360" w:lineRule="auto"/>
        <w:ind w:right="-244"/>
        <w:jc w:val="both"/>
        <w:rPr>
          <w:b/>
        </w:rPr>
      </w:pPr>
      <w:r w:rsidRPr="00E242F1">
        <w:rPr>
          <w:b/>
        </w:rPr>
        <w:t>AIDS-</w:t>
      </w:r>
      <w:r w:rsidR="00CE2A48" w:rsidRPr="00E242F1">
        <w:rPr>
          <w:b/>
        </w:rPr>
        <w:t>Defining</w:t>
      </w:r>
      <w:r w:rsidRPr="00E242F1">
        <w:rPr>
          <w:b/>
        </w:rPr>
        <w:t xml:space="preserve"> Malignancies</w:t>
      </w:r>
    </w:p>
    <w:p w:rsidR="00CE2A48" w:rsidRPr="00E242F1" w:rsidRDefault="00CE2A48" w:rsidP="00E242F1">
      <w:pPr>
        <w:tabs>
          <w:tab w:val="left" w:pos="2430"/>
        </w:tabs>
        <w:spacing w:line="360" w:lineRule="auto"/>
        <w:ind w:right="-244"/>
        <w:jc w:val="both"/>
      </w:pPr>
      <w:r w:rsidRPr="00E242F1">
        <w:t>AIDS-defining malignancies include Kaposi sarcoma, non-Hodgkin lymphoma (aggressive B-cell lymphoma), and cervical cancer.</w:t>
      </w:r>
    </w:p>
    <w:p w:rsidR="00C079EB" w:rsidRPr="00E242F1" w:rsidRDefault="00E3632B" w:rsidP="00E242F1">
      <w:pPr>
        <w:tabs>
          <w:tab w:val="left" w:pos="2430"/>
        </w:tabs>
        <w:spacing w:line="360" w:lineRule="auto"/>
        <w:ind w:right="-244"/>
        <w:jc w:val="both"/>
        <w:rPr>
          <w:b/>
        </w:rPr>
      </w:pPr>
      <w:r w:rsidRPr="00E242F1">
        <w:rPr>
          <w:b/>
        </w:rPr>
        <w:t>Kaposi Sarcoma</w:t>
      </w:r>
    </w:p>
    <w:p w:rsidR="006A3916" w:rsidRPr="00E242F1" w:rsidRDefault="006A3916" w:rsidP="00E242F1">
      <w:pPr>
        <w:tabs>
          <w:tab w:val="left" w:pos="2430"/>
        </w:tabs>
        <w:spacing w:line="360" w:lineRule="auto"/>
        <w:ind w:right="-244"/>
        <w:jc w:val="both"/>
        <w:rPr>
          <w:b/>
        </w:rPr>
      </w:pPr>
      <w:r w:rsidRPr="00E242F1">
        <w:rPr>
          <w:color w:val="252525"/>
        </w:rPr>
        <w:t xml:space="preserve">Kaposi sarcoma (KS), a vascular tumor caused by KS-associated </w:t>
      </w:r>
      <w:proofErr w:type="spellStart"/>
      <w:r w:rsidRPr="00E242F1">
        <w:rPr>
          <w:color w:val="252525"/>
        </w:rPr>
        <w:t>herpesvirus</w:t>
      </w:r>
      <w:proofErr w:type="spellEnd"/>
      <w:r w:rsidRPr="00E242F1">
        <w:rPr>
          <w:color w:val="252525"/>
        </w:rPr>
        <w:t xml:space="preserve"> (KSHV) infection of endothelial cells (ECs), is dependent on intra-lesion leukocytes' prolonged </w:t>
      </w:r>
      <w:proofErr w:type="spellStart"/>
      <w:r w:rsidRPr="00E242F1">
        <w:rPr>
          <w:color w:val="252525"/>
        </w:rPr>
        <w:t>proinflammatory</w:t>
      </w:r>
      <w:proofErr w:type="spellEnd"/>
      <w:r w:rsidRPr="00E242F1">
        <w:rPr>
          <w:color w:val="252525"/>
        </w:rPr>
        <w:t xml:space="preserve"> signals </w:t>
      </w:r>
      <w:r w:rsidR="00EF7268" w:rsidRPr="00E242F1">
        <w:rPr>
          <w:color w:val="252525"/>
        </w:rPr>
        <w:t xml:space="preserve">and the infection of new ECs (Ayers </w:t>
      </w:r>
      <w:r w:rsidR="00EF7268" w:rsidRPr="00E242F1">
        <w:rPr>
          <w:i/>
          <w:color w:val="252525"/>
        </w:rPr>
        <w:t>et al.,</w:t>
      </w:r>
      <w:r w:rsidR="00EF7268" w:rsidRPr="00E242F1">
        <w:rPr>
          <w:color w:val="252525"/>
        </w:rPr>
        <w:t xml:space="preserve"> 2018)</w:t>
      </w:r>
      <w:r w:rsidRPr="00E242F1">
        <w:rPr>
          <w:color w:val="252525"/>
        </w:rPr>
        <w:t>. The origins of these cytokines and infectious viruses within lesions are not completely understood. KS has a high concentration of mast cells. The incidence of Kaposi sarcoma (KS) in HIV-infected patients has significantly decreased with the introduction of active antiretroviral therapy (ART) to suppress HIV replication. However, there is growing evidence of a reemergence of Kaposi sarcoma in HIV-positive people, with a risk of development 35–60 times higher th</w:t>
      </w:r>
      <w:r w:rsidR="00E90F4A" w:rsidRPr="00E242F1">
        <w:rPr>
          <w:color w:val="252525"/>
        </w:rPr>
        <w:t>an in the general population (</w:t>
      </w:r>
      <w:r w:rsidR="00E90F4A" w:rsidRPr="00E90F4A">
        <w:t>Silverberg</w:t>
      </w:r>
      <w:r w:rsidR="00E90F4A" w:rsidRPr="00E242F1">
        <w:t xml:space="preserve"> </w:t>
      </w:r>
      <w:r w:rsidR="00E90F4A" w:rsidRPr="00E242F1">
        <w:rPr>
          <w:i/>
        </w:rPr>
        <w:t>et al.,</w:t>
      </w:r>
      <w:r w:rsidR="00E90F4A" w:rsidRPr="00E242F1">
        <w:t xml:space="preserve"> 2011)</w:t>
      </w:r>
      <w:r w:rsidRPr="00E242F1">
        <w:rPr>
          <w:color w:val="252525"/>
        </w:rPr>
        <w:t>. This reemergence under successful HAART treatment raises questions about the disease's heterog</w:t>
      </w:r>
      <w:r w:rsidR="00E90F4A" w:rsidRPr="00E242F1">
        <w:rPr>
          <w:color w:val="252525"/>
        </w:rPr>
        <w:t>eneous and complex pathology (</w:t>
      </w:r>
      <w:r w:rsidR="00E90F4A" w:rsidRPr="00E90F4A">
        <w:t>Royston</w:t>
      </w:r>
      <w:r w:rsidR="00E90F4A" w:rsidRPr="00E242F1">
        <w:t xml:space="preserve"> </w:t>
      </w:r>
      <w:r w:rsidR="00E90F4A" w:rsidRPr="00E242F1">
        <w:rPr>
          <w:i/>
        </w:rPr>
        <w:t>et al.,</w:t>
      </w:r>
      <w:r w:rsidR="00E90F4A" w:rsidRPr="00E242F1">
        <w:t xml:space="preserve"> 2021)</w:t>
      </w:r>
      <w:r w:rsidRPr="00E242F1">
        <w:rPr>
          <w:color w:val="252525"/>
        </w:rPr>
        <w:t>. Given this backdrop, recent ACSR-supported studies are significant for gaining new insights into pathophysiology and identifying new treatment targets.</w:t>
      </w:r>
    </w:p>
    <w:p w:rsidR="00E3632B" w:rsidRPr="00E242F1" w:rsidRDefault="00E3632B" w:rsidP="00E242F1">
      <w:pPr>
        <w:pStyle w:val="NormalWeb"/>
        <w:spacing w:before="0" w:beforeAutospacing="0" w:after="0" w:afterAutospacing="0" w:line="360" w:lineRule="auto"/>
        <w:jc w:val="both"/>
        <w:rPr>
          <w:b/>
          <w:color w:val="252525"/>
        </w:rPr>
      </w:pPr>
      <w:r w:rsidRPr="00E242F1">
        <w:rPr>
          <w:b/>
          <w:color w:val="252525"/>
        </w:rPr>
        <w:t>Cervical Cancer</w:t>
      </w:r>
    </w:p>
    <w:p w:rsidR="00E3632B" w:rsidRPr="00E242F1" w:rsidRDefault="00E3632B" w:rsidP="00E242F1">
      <w:pPr>
        <w:pStyle w:val="NormalWeb"/>
        <w:spacing w:before="0" w:beforeAutospacing="0" w:after="0" w:afterAutospacing="0" w:line="360" w:lineRule="auto"/>
        <w:jc w:val="both"/>
        <w:rPr>
          <w:color w:val="252525"/>
        </w:rPr>
      </w:pPr>
      <w:r w:rsidRPr="00E242F1">
        <w:rPr>
          <w:color w:val="252525"/>
        </w:rPr>
        <w:t>Cervical cancer is the most common malignancy in Sub-Saharan African women, particu</w:t>
      </w:r>
      <w:r w:rsidR="00E90F4A" w:rsidRPr="00E242F1">
        <w:rPr>
          <w:color w:val="252525"/>
        </w:rPr>
        <w:t xml:space="preserve">larly among HIV-positive </w:t>
      </w:r>
      <w:r w:rsidRPr="00E242F1">
        <w:rPr>
          <w:color w:val="252525"/>
        </w:rPr>
        <w:t xml:space="preserve">people. There has been no systematic profiling of cancer genomes, </w:t>
      </w:r>
      <w:proofErr w:type="spellStart"/>
      <w:r w:rsidRPr="00E242F1">
        <w:rPr>
          <w:color w:val="252525"/>
        </w:rPr>
        <w:t>transcriptomes</w:t>
      </w:r>
      <w:proofErr w:type="spellEnd"/>
      <w:r w:rsidRPr="00E242F1">
        <w:rPr>
          <w:color w:val="252525"/>
        </w:rPr>
        <w:t xml:space="preserve">, or </w:t>
      </w:r>
      <w:proofErr w:type="spellStart"/>
      <w:r w:rsidRPr="00E242F1">
        <w:rPr>
          <w:color w:val="252525"/>
        </w:rPr>
        <w:t>epigenomes</w:t>
      </w:r>
      <w:proofErr w:type="spellEnd"/>
      <w:r w:rsidRPr="00E242F1">
        <w:rPr>
          <w:color w:val="252525"/>
        </w:rPr>
        <w:t xml:space="preserve"> in this cohort until now. </w:t>
      </w:r>
      <w:proofErr w:type="spellStart"/>
      <w:r w:rsidRPr="00E242F1">
        <w:rPr>
          <w:color w:val="252525"/>
        </w:rPr>
        <w:t>Gagliardi</w:t>
      </w:r>
      <w:proofErr w:type="spellEnd"/>
      <w:r w:rsidRPr="00E242F1">
        <w:rPr>
          <w:color w:val="252525"/>
        </w:rPr>
        <w:t xml:space="preserve"> </w:t>
      </w:r>
      <w:r w:rsidRPr="00E242F1">
        <w:rPr>
          <w:i/>
          <w:color w:val="252525"/>
        </w:rPr>
        <w:t>et al.</w:t>
      </w:r>
      <w:r w:rsidRPr="00E242F1">
        <w:rPr>
          <w:color w:val="252525"/>
        </w:rPr>
        <w:t xml:space="preserve"> (2020) analyzed 118 tumors from Ugandan patients, 72 of whom were HIV+, and did extended mutation analysis</w:t>
      </w:r>
      <w:r w:rsidR="00E90F4A" w:rsidRPr="00E242F1">
        <w:rPr>
          <w:color w:val="252525"/>
        </w:rPr>
        <w:t xml:space="preserve"> on an additional 89 tumors</w:t>
      </w:r>
      <w:r w:rsidRPr="00E242F1">
        <w:rPr>
          <w:color w:val="252525"/>
        </w:rPr>
        <w:t xml:space="preserve">. The study discovered changes in tumor DNA methylation, promoter- and enhancer-associated histone marks, gene expression, and pathway </w:t>
      </w:r>
      <w:proofErr w:type="spellStart"/>
      <w:r w:rsidRPr="00E242F1">
        <w:rPr>
          <w:color w:val="252525"/>
        </w:rPr>
        <w:t>dysregulation</w:t>
      </w:r>
      <w:proofErr w:type="spellEnd"/>
      <w:r w:rsidRPr="00E242F1">
        <w:rPr>
          <w:color w:val="252525"/>
        </w:rPr>
        <w:t xml:space="preserve"> based on the HPV clade</w:t>
      </w:r>
      <w:r w:rsidR="00E90F4A" w:rsidRPr="00E242F1">
        <w:rPr>
          <w:color w:val="252525"/>
        </w:rPr>
        <w:t xml:space="preserve"> </w:t>
      </w:r>
      <w:r w:rsidR="00E90F4A" w:rsidRPr="00E242F1">
        <w:rPr>
          <w:color w:val="252525"/>
        </w:rPr>
        <w:t xml:space="preserve">(Silver and </w:t>
      </w:r>
      <w:proofErr w:type="spellStart"/>
      <w:r w:rsidR="00E90F4A" w:rsidRPr="00E242F1">
        <w:t>Schmelz</w:t>
      </w:r>
      <w:proofErr w:type="spellEnd"/>
      <w:r w:rsidR="00E90F4A" w:rsidRPr="00E242F1">
        <w:t>, 2023)</w:t>
      </w:r>
      <w:r w:rsidRPr="00E242F1">
        <w:rPr>
          <w:color w:val="252525"/>
        </w:rPr>
        <w:t>. Changes in histone modification at HPV integration sites were found to be associated with increased expression of adjacent genes</w:t>
      </w:r>
      <w:r w:rsidR="00E90F4A" w:rsidRPr="00E242F1">
        <w:rPr>
          <w:color w:val="252525"/>
        </w:rPr>
        <w:t xml:space="preserve"> and endogenous retroviruses (</w:t>
      </w:r>
      <w:proofErr w:type="spellStart"/>
      <w:r w:rsidR="00E90F4A" w:rsidRPr="00E242F1">
        <w:rPr>
          <w:color w:val="252525"/>
        </w:rPr>
        <w:t>Gagliardi</w:t>
      </w:r>
      <w:proofErr w:type="spellEnd"/>
      <w:r w:rsidR="00E90F4A" w:rsidRPr="00E242F1">
        <w:rPr>
          <w:color w:val="252525"/>
        </w:rPr>
        <w:t xml:space="preserve"> </w:t>
      </w:r>
      <w:r w:rsidR="00E90F4A" w:rsidRPr="00E242F1">
        <w:rPr>
          <w:i/>
          <w:color w:val="252525"/>
        </w:rPr>
        <w:t>et al.</w:t>
      </w:r>
      <w:r w:rsidR="00E90F4A" w:rsidRPr="00E242F1">
        <w:rPr>
          <w:color w:val="252525"/>
        </w:rPr>
        <w:t xml:space="preserve">, </w:t>
      </w:r>
      <w:r w:rsidR="00E90F4A" w:rsidRPr="00E242F1">
        <w:rPr>
          <w:color w:val="252525"/>
        </w:rPr>
        <w:t>2020)</w:t>
      </w:r>
      <w:r w:rsidRPr="00E242F1">
        <w:rPr>
          <w:color w:val="252525"/>
        </w:rPr>
        <w:t>.</w:t>
      </w:r>
    </w:p>
    <w:p w:rsidR="00E3632B" w:rsidRPr="00E242F1" w:rsidRDefault="00E3632B" w:rsidP="00E242F1">
      <w:pPr>
        <w:pStyle w:val="NormalWeb"/>
        <w:spacing w:before="0" w:beforeAutospacing="0" w:after="0" w:afterAutospacing="0" w:line="360" w:lineRule="auto"/>
        <w:jc w:val="both"/>
        <w:rPr>
          <w:b/>
          <w:color w:val="252525"/>
        </w:rPr>
      </w:pPr>
      <w:r w:rsidRPr="00E242F1">
        <w:rPr>
          <w:b/>
          <w:color w:val="252525"/>
        </w:rPr>
        <w:t xml:space="preserve">Identification of </w:t>
      </w:r>
      <w:r w:rsidR="00C079EB" w:rsidRPr="00E242F1">
        <w:rPr>
          <w:b/>
          <w:color w:val="252525"/>
        </w:rPr>
        <w:t xml:space="preserve">Biomarkers </w:t>
      </w:r>
      <w:r w:rsidR="00B83666" w:rsidRPr="00E242F1">
        <w:rPr>
          <w:b/>
          <w:color w:val="252525"/>
        </w:rPr>
        <w:t>in Kaposi Sarcoma</w:t>
      </w:r>
    </w:p>
    <w:p w:rsidR="00E3632B" w:rsidRPr="00E242F1" w:rsidRDefault="00E3632B" w:rsidP="00E242F1">
      <w:pPr>
        <w:pStyle w:val="NormalWeb"/>
        <w:spacing w:before="0" w:beforeAutospacing="0" w:after="0" w:afterAutospacing="0" w:line="360" w:lineRule="auto"/>
        <w:jc w:val="both"/>
        <w:rPr>
          <w:color w:val="252525"/>
        </w:rPr>
      </w:pPr>
      <w:proofErr w:type="spellStart"/>
      <w:r w:rsidRPr="00E242F1">
        <w:rPr>
          <w:color w:val="252525"/>
        </w:rPr>
        <w:t>Cavallin</w:t>
      </w:r>
      <w:proofErr w:type="spellEnd"/>
      <w:r w:rsidRPr="00E242F1">
        <w:rPr>
          <w:color w:val="252525"/>
        </w:rPr>
        <w:t xml:space="preserve"> </w:t>
      </w:r>
      <w:r w:rsidRPr="00E242F1">
        <w:rPr>
          <w:i/>
          <w:color w:val="252525"/>
        </w:rPr>
        <w:t>et al.</w:t>
      </w:r>
      <w:r w:rsidRPr="00E242F1">
        <w:rPr>
          <w:color w:val="252525"/>
        </w:rPr>
        <w:t xml:space="preserve"> (2018) found that KSHV lytic replication and the KSHV-oncogene </w:t>
      </w:r>
      <w:proofErr w:type="spellStart"/>
      <w:r w:rsidRPr="00E242F1">
        <w:rPr>
          <w:color w:val="252525"/>
        </w:rPr>
        <w:t>vGPCR</w:t>
      </w:r>
      <w:proofErr w:type="spellEnd"/>
      <w:r w:rsidRPr="00E242F1">
        <w:rPr>
          <w:color w:val="252525"/>
        </w:rPr>
        <w:t xml:space="preserve"> activate PDGFRA signaling by </w:t>
      </w:r>
      <w:proofErr w:type="spellStart"/>
      <w:r w:rsidRPr="00E242F1">
        <w:rPr>
          <w:color w:val="252525"/>
        </w:rPr>
        <w:t>upregulating</w:t>
      </w:r>
      <w:proofErr w:type="spellEnd"/>
      <w:r w:rsidRPr="00E242F1">
        <w:rPr>
          <w:color w:val="252525"/>
        </w:rPr>
        <w:t xml:space="preserve"> its ligands, PDGFA/B. Blocking PDGFRA signaling is anti-tumorigenic, suggesting that stable inhibition of PDFGR signaling may be</w:t>
      </w:r>
      <w:r w:rsidR="00FC00A7" w:rsidRPr="00E242F1">
        <w:rPr>
          <w:color w:val="252525"/>
        </w:rPr>
        <w:t xml:space="preserve"> effective for KS treatment</w:t>
      </w:r>
      <w:r w:rsidRPr="00E242F1">
        <w:rPr>
          <w:color w:val="252525"/>
        </w:rPr>
        <w:t xml:space="preserve">. Kumar et al. (2019) found that KSHV infection activated the E3 ligase HACE1 protein, which regulates KSHV-induced oxidative stress by activating Nrf2 and increasing nuclear translocation. The absence of HACE1 enhanced ROS, which facilitated </w:t>
      </w:r>
      <w:r w:rsidRPr="00E242F1">
        <w:rPr>
          <w:color w:val="252525"/>
        </w:rPr>
        <w:lastRenderedPageBreak/>
        <w:t>virus entry and cellular death, and decreased nuclear Nrf2, antioxidant, and viral gene expression.</w:t>
      </w:r>
      <w:r w:rsidR="00EF7268" w:rsidRPr="00E242F1">
        <w:rPr>
          <w:color w:val="252525"/>
        </w:rPr>
        <w:t xml:space="preserve"> Taken together, these constitute the bulk of lymphoma diagnoses and cover a wide range of cancers. The most frequent HIV-NHL is diffuse large B cell lymphoma (DLBCL), which is 17 times more likely to arise. Its clinical course is more aggressive and frequently manifests in advanced stages in HIV-infected patients than in HIV-negative ones. However, the molecular pathophysiology underlying DLBCL's aggressive character remains poorly understood. The following research, which use ACSR specimens and data, shed light on AIDS-defined non-Hodgkin lymphoma</w:t>
      </w:r>
      <w:r w:rsidR="00FC00A7" w:rsidRPr="00E242F1">
        <w:rPr>
          <w:color w:val="252525"/>
        </w:rPr>
        <w:t xml:space="preserve"> </w:t>
      </w:r>
      <w:r w:rsidR="00FC00A7" w:rsidRPr="00E242F1">
        <w:rPr>
          <w:color w:val="252525"/>
        </w:rPr>
        <w:t xml:space="preserve">(Silver and </w:t>
      </w:r>
      <w:proofErr w:type="spellStart"/>
      <w:r w:rsidR="00FC00A7" w:rsidRPr="00E242F1">
        <w:t>Schmelz</w:t>
      </w:r>
      <w:proofErr w:type="spellEnd"/>
      <w:r w:rsidR="00FC00A7" w:rsidRPr="00E242F1">
        <w:t>, 2023)</w:t>
      </w:r>
      <w:r w:rsidR="00EF7268" w:rsidRPr="00E242F1">
        <w:rPr>
          <w:color w:val="252525"/>
        </w:rPr>
        <w:t>.</w:t>
      </w:r>
    </w:p>
    <w:p w:rsidR="00B357E1" w:rsidRPr="00E242F1" w:rsidRDefault="00C41E28" w:rsidP="00E242F1">
      <w:pPr>
        <w:tabs>
          <w:tab w:val="left" w:pos="2430"/>
        </w:tabs>
        <w:spacing w:line="360" w:lineRule="auto"/>
        <w:ind w:right="-244"/>
        <w:jc w:val="both"/>
        <w:rPr>
          <w:b/>
        </w:rPr>
      </w:pPr>
      <w:r w:rsidRPr="00E242F1">
        <w:rPr>
          <w:b/>
        </w:rPr>
        <w:t>Non-Hodgkin lymphoma</w:t>
      </w:r>
    </w:p>
    <w:p w:rsidR="00CE2A48" w:rsidRPr="00E242F1" w:rsidRDefault="00C41E28" w:rsidP="00E242F1">
      <w:pPr>
        <w:tabs>
          <w:tab w:val="left" w:pos="2430"/>
        </w:tabs>
        <w:spacing w:line="360" w:lineRule="auto"/>
        <w:ind w:right="-244"/>
        <w:jc w:val="both"/>
        <w:rPr>
          <w:b/>
        </w:rPr>
      </w:pPr>
      <w:r w:rsidRPr="00E242F1">
        <w:rPr>
          <w:color w:val="252525"/>
        </w:rPr>
        <w:t>A child living with HIV is 10 to 20 times more likely to develop aggressive non-Hodgkin lymphoma (NHL) despite HAART and 5 to 26 times more likely to develop Hodgkin lymphoma, a non-AIDS-defining neoplasm</w:t>
      </w:r>
      <w:r w:rsidR="00CE2A48" w:rsidRPr="00E242F1">
        <w:rPr>
          <w:color w:val="252525"/>
        </w:rPr>
        <w:t>, than a person without HIV (</w:t>
      </w:r>
      <w:proofErr w:type="spellStart"/>
      <w:r w:rsidR="00CE2A48" w:rsidRPr="00E242F1">
        <w:rPr>
          <w:color w:val="252525"/>
        </w:rPr>
        <w:t>Shiels</w:t>
      </w:r>
      <w:proofErr w:type="spellEnd"/>
      <w:r w:rsidR="00CE2A48" w:rsidRPr="00E242F1">
        <w:rPr>
          <w:color w:val="252525"/>
        </w:rPr>
        <w:t xml:space="preserve"> </w:t>
      </w:r>
      <w:r w:rsidR="00CE2A48" w:rsidRPr="00E242F1">
        <w:rPr>
          <w:i/>
          <w:color w:val="252525"/>
        </w:rPr>
        <w:t>et al.,</w:t>
      </w:r>
      <w:r w:rsidR="00CE2A48" w:rsidRPr="00E242F1">
        <w:rPr>
          <w:color w:val="252525"/>
        </w:rPr>
        <w:t xml:space="preserve"> 2018)</w:t>
      </w:r>
      <w:r w:rsidRPr="00E242F1">
        <w:rPr>
          <w:color w:val="252525"/>
        </w:rPr>
        <w:t>. When standard-dose chemotherapy regimens are combined with HAART, the clinical outcomes in HIV-NHL patients have improved to the point that they are equivalent to the general population. HIV-NHLs account for the majority of lymphoma diagnoses and cover a wide spectrum of malignancies</w:t>
      </w:r>
      <w:r w:rsidR="00B357E1" w:rsidRPr="00E242F1">
        <w:rPr>
          <w:color w:val="252525"/>
        </w:rPr>
        <w:t xml:space="preserve"> (</w:t>
      </w:r>
      <w:proofErr w:type="spellStart"/>
      <w:r w:rsidR="00B357E1" w:rsidRPr="00E242F1">
        <w:rPr>
          <w:color w:val="252525"/>
        </w:rPr>
        <w:t>Barta</w:t>
      </w:r>
      <w:proofErr w:type="spellEnd"/>
      <w:r w:rsidR="00B357E1" w:rsidRPr="00E242F1">
        <w:rPr>
          <w:color w:val="252525"/>
        </w:rPr>
        <w:t xml:space="preserve"> </w:t>
      </w:r>
      <w:r w:rsidR="00B357E1" w:rsidRPr="00E242F1">
        <w:rPr>
          <w:i/>
          <w:color w:val="252525"/>
        </w:rPr>
        <w:t>et al.,</w:t>
      </w:r>
      <w:r w:rsidR="00B357E1" w:rsidRPr="00E242F1">
        <w:rPr>
          <w:color w:val="252525"/>
        </w:rPr>
        <w:t xml:space="preserve"> 2015</w:t>
      </w:r>
      <w:r w:rsidR="00CE2A48" w:rsidRPr="00E242F1">
        <w:rPr>
          <w:color w:val="252525"/>
        </w:rPr>
        <w:t>)</w:t>
      </w:r>
      <w:r w:rsidRPr="00E242F1">
        <w:rPr>
          <w:color w:val="252525"/>
        </w:rPr>
        <w:t>. DLBCL is the most common HIV-NHL, with a 17-fold increase in the chance of incidence.</w:t>
      </w:r>
      <w:r w:rsidR="00CE2A48" w:rsidRPr="00E242F1">
        <w:rPr>
          <w:color w:val="252525"/>
        </w:rPr>
        <w:t xml:space="preserve"> </w:t>
      </w:r>
      <w:r w:rsidR="00CE2A48" w:rsidRPr="00E242F1">
        <w:rPr>
          <w:color w:val="252525"/>
        </w:rPr>
        <w:t>Its clinical course is more aggressive and frequently manifests in advanced stages in HIV-infected patients than in HIV-negative ones. However, the molecular pathophysiology underlying DLBCL's aggressive character remains poorly understood. The following research, which uses ACSR specimens and data, sheds light on AIDS-defined non-Hodgkin lymphoma</w:t>
      </w:r>
      <w:r w:rsidR="00B357E1" w:rsidRPr="00E242F1">
        <w:rPr>
          <w:color w:val="252525"/>
        </w:rPr>
        <w:t xml:space="preserve"> (Silver and </w:t>
      </w:r>
      <w:proofErr w:type="spellStart"/>
      <w:r w:rsidR="00B357E1" w:rsidRPr="00E242F1">
        <w:t>Schmelz</w:t>
      </w:r>
      <w:proofErr w:type="spellEnd"/>
      <w:r w:rsidR="00B357E1" w:rsidRPr="00E242F1">
        <w:t>, 2023)</w:t>
      </w:r>
      <w:r w:rsidR="00CE2A48" w:rsidRPr="00E242F1">
        <w:rPr>
          <w:color w:val="252525"/>
        </w:rPr>
        <w:t>.</w:t>
      </w:r>
    </w:p>
    <w:p w:rsidR="00C41E28" w:rsidRPr="00E242F1" w:rsidRDefault="006F498D" w:rsidP="00E242F1">
      <w:pPr>
        <w:pStyle w:val="NormalWeb"/>
        <w:spacing w:before="0" w:beforeAutospacing="0" w:after="0" w:afterAutospacing="0" w:line="360" w:lineRule="auto"/>
        <w:jc w:val="both"/>
        <w:rPr>
          <w:b/>
          <w:color w:val="252525"/>
        </w:rPr>
      </w:pPr>
      <w:r w:rsidRPr="00E242F1">
        <w:rPr>
          <w:b/>
          <w:color w:val="252525"/>
        </w:rPr>
        <w:t>Ca</w:t>
      </w:r>
      <w:r w:rsidR="000A55DE" w:rsidRPr="00E242F1">
        <w:rPr>
          <w:b/>
          <w:color w:val="252525"/>
        </w:rPr>
        <w:t>ncer Biomarkers</w:t>
      </w:r>
    </w:p>
    <w:p w:rsidR="000A55DE" w:rsidRPr="00E242F1" w:rsidRDefault="000A55DE" w:rsidP="00E242F1">
      <w:pPr>
        <w:pStyle w:val="NormalWeb"/>
        <w:spacing w:before="0" w:beforeAutospacing="0" w:after="0" w:afterAutospacing="0" w:line="360" w:lineRule="auto"/>
        <w:jc w:val="both"/>
        <w:rPr>
          <w:color w:val="252525"/>
        </w:rPr>
      </w:pPr>
      <w:r w:rsidRPr="00E242F1">
        <w:rPr>
          <w:b/>
          <w:color w:val="252525"/>
        </w:rPr>
        <w:t>Cytokines</w:t>
      </w:r>
    </w:p>
    <w:p w:rsidR="000A55DE" w:rsidRPr="00E242F1" w:rsidRDefault="000A55DE" w:rsidP="00E242F1">
      <w:pPr>
        <w:pStyle w:val="NormalWeb"/>
        <w:spacing w:before="0" w:beforeAutospacing="0" w:after="0" w:afterAutospacing="0" w:line="360" w:lineRule="auto"/>
        <w:jc w:val="both"/>
        <w:rPr>
          <w:color w:val="252525"/>
        </w:rPr>
      </w:pPr>
      <w:r w:rsidRPr="00E242F1">
        <w:rPr>
          <w:color w:val="252525"/>
        </w:rPr>
        <w:t>Cytokines (</w:t>
      </w:r>
      <w:proofErr w:type="spellStart"/>
      <w:r w:rsidRPr="00E242F1">
        <w:rPr>
          <w:color w:val="252525"/>
        </w:rPr>
        <w:t>interferons</w:t>
      </w:r>
      <w:proofErr w:type="spellEnd"/>
      <w:r w:rsidRPr="00E242F1">
        <w:rPr>
          <w:color w:val="252525"/>
        </w:rPr>
        <w:t>, interleukins, and tumor necrosis factors) govern immune responses, cellular communication, and have a diverse function in various</w:t>
      </w:r>
      <w:r w:rsidR="00174437" w:rsidRPr="00E242F1">
        <w:rPr>
          <w:color w:val="252525"/>
        </w:rPr>
        <w:t xml:space="preserve"> stages of cancer immunity (</w:t>
      </w:r>
      <w:proofErr w:type="spellStart"/>
      <w:r w:rsidR="00174437" w:rsidRPr="00E242F1">
        <w:rPr>
          <w:color w:val="252525"/>
        </w:rPr>
        <w:t>Qiu</w:t>
      </w:r>
      <w:proofErr w:type="spellEnd"/>
      <w:r w:rsidR="00174437" w:rsidRPr="00E242F1">
        <w:rPr>
          <w:color w:val="252525"/>
        </w:rPr>
        <w:t xml:space="preserve"> </w:t>
      </w:r>
      <w:r w:rsidR="00174437" w:rsidRPr="00E242F1">
        <w:rPr>
          <w:i/>
          <w:color w:val="252525"/>
        </w:rPr>
        <w:t>et al.,</w:t>
      </w:r>
      <w:r w:rsidR="00174437" w:rsidRPr="00E242F1">
        <w:rPr>
          <w:color w:val="252525"/>
        </w:rPr>
        <w:t xml:space="preserve"> 2021)</w:t>
      </w:r>
      <w:r w:rsidRPr="00E242F1">
        <w:rPr>
          <w:color w:val="252525"/>
        </w:rPr>
        <w:t>. Because of their numerous roles, cytokines have been studied in a number of clinical trials to determine their potential as immunotherapy drugs. IL-2 was an early candidate for immunotherapy</w:t>
      </w:r>
      <w:r w:rsidR="00174437" w:rsidRPr="00E242F1">
        <w:rPr>
          <w:color w:val="252525"/>
        </w:rPr>
        <w:t xml:space="preserve"> (Gupta </w:t>
      </w:r>
      <w:r w:rsidR="00174437" w:rsidRPr="00E242F1">
        <w:rPr>
          <w:i/>
          <w:color w:val="252525"/>
        </w:rPr>
        <w:t>et al.,</w:t>
      </w:r>
      <w:r w:rsidR="00174437" w:rsidRPr="00E242F1">
        <w:rPr>
          <w:color w:val="252525"/>
        </w:rPr>
        <w:t xml:space="preserve"> 2023)</w:t>
      </w:r>
      <w:r w:rsidRPr="00E242F1">
        <w:rPr>
          <w:color w:val="252525"/>
        </w:rPr>
        <w:t>. IL-2 injection and adoptive transfer of anticancer T-cells grown ex vivo in the presence of IL-2 were efficacious immunotherapy interventions for rena</w:t>
      </w:r>
      <w:r w:rsidR="00C079EB" w:rsidRPr="00E242F1">
        <w:rPr>
          <w:color w:val="252525"/>
        </w:rPr>
        <w:t>l cell carcinoma and melanoma (Rosenberg, 2014)</w:t>
      </w:r>
      <w:r w:rsidRPr="00E242F1">
        <w:rPr>
          <w:color w:val="252525"/>
        </w:rPr>
        <w:t>. Patients with advanced colorectal, ovarian, or melanoma were given low doses of IL-2 and autologous dendritic cells loaded with tumor lysat</w:t>
      </w:r>
      <w:r w:rsidR="00C079EB" w:rsidRPr="00E242F1">
        <w:rPr>
          <w:color w:val="252525"/>
        </w:rPr>
        <w:t xml:space="preserve">es for adjuvant therapy (Liu </w:t>
      </w:r>
      <w:r w:rsidR="00C079EB" w:rsidRPr="00E242F1">
        <w:rPr>
          <w:i/>
          <w:color w:val="252525"/>
        </w:rPr>
        <w:t>et al.,</w:t>
      </w:r>
      <w:r w:rsidR="00C079EB" w:rsidRPr="00E242F1">
        <w:rPr>
          <w:color w:val="252525"/>
        </w:rPr>
        <w:t xml:space="preserve"> 2016)</w:t>
      </w:r>
      <w:r w:rsidRPr="00E242F1">
        <w:rPr>
          <w:color w:val="252525"/>
        </w:rPr>
        <w:t>. Treatment with IL-12 resulted in greater cytotoxicity of NK cells, higher production of IFN-γ in cytotoxic CD8+ T cells, increased proliferative activity, and improved differentiation of naïve</w:t>
      </w:r>
      <w:r w:rsidR="00C079EB" w:rsidRPr="00E242F1">
        <w:rPr>
          <w:color w:val="252525"/>
        </w:rPr>
        <w:t xml:space="preserve"> </w:t>
      </w:r>
      <w:proofErr w:type="spellStart"/>
      <w:r w:rsidR="00C079EB" w:rsidRPr="00E242F1">
        <w:rPr>
          <w:color w:val="252525"/>
        </w:rPr>
        <w:t>Th</w:t>
      </w:r>
      <w:proofErr w:type="spellEnd"/>
      <w:r w:rsidR="00C079EB" w:rsidRPr="00E242F1">
        <w:rPr>
          <w:color w:val="252525"/>
        </w:rPr>
        <w:t xml:space="preserve"> cells to Th1 cells </w:t>
      </w:r>
      <w:r w:rsidR="00C079EB" w:rsidRPr="00E242F1">
        <w:rPr>
          <w:color w:val="252525"/>
        </w:rPr>
        <w:lastRenderedPageBreak/>
        <w:t>(</w:t>
      </w:r>
      <w:proofErr w:type="spellStart"/>
      <w:r w:rsidR="00C079EB" w:rsidRPr="00C079EB">
        <w:t>Mukhopadhyay</w:t>
      </w:r>
      <w:proofErr w:type="spellEnd"/>
      <w:r w:rsidR="00C079EB" w:rsidRPr="00E242F1">
        <w:t xml:space="preserve"> </w:t>
      </w:r>
      <w:r w:rsidR="00C079EB" w:rsidRPr="00E242F1">
        <w:rPr>
          <w:i/>
        </w:rPr>
        <w:t>et al.,</w:t>
      </w:r>
      <w:r w:rsidR="00C079EB" w:rsidRPr="00E242F1">
        <w:t xml:space="preserve"> 2019</w:t>
      </w:r>
      <w:r w:rsidR="00C079EB" w:rsidRPr="00E242F1">
        <w:rPr>
          <w:color w:val="252525"/>
        </w:rPr>
        <w:t>)</w:t>
      </w:r>
      <w:r w:rsidRPr="00E242F1">
        <w:rPr>
          <w:color w:val="252525"/>
        </w:rPr>
        <w:t>. However, severe side effects were seen during IL-12 administration, limiting its application in immunotherap</w:t>
      </w:r>
      <w:r w:rsidR="006F498D" w:rsidRPr="00E242F1">
        <w:rPr>
          <w:color w:val="252525"/>
        </w:rPr>
        <w:t>y (</w:t>
      </w:r>
      <w:proofErr w:type="spellStart"/>
      <w:r w:rsidR="006F498D" w:rsidRPr="00E242F1">
        <w:rPr>
          <w:color w:val="252525"/>
        </w:rPr>
        <w:t>Chulpanova</w:t>
      </w:r>
      <w:proofErr w:type="spellEnd"/>
      <w:r w:rsidR="006F498D" w:rsidRPr="00E242F1">
        <w:rPr>
          <w:color w:val="252525"/>
        </w:rPr>
        <w:t xml:space="preserve"> </w:t>
      </w:r>
      <w:r w:rsidR="006F498D" w:rsidRPr="00E242F1">
        <w:rPr>
          <w:i/>
          <w:color w:val="252525"/>
        </w:rPr>
        <w:t>et al.,</w:t>
      </w:r>
      <w:r w:rsidR="006F498D" w:rsidRPr="00E242F1">
        <w:rPr>
          <w:color w:val="252525"/>
        </w:rPr>
        <w:t xml:space="preserve"> 2020)</w:t>
      </w:r>
      <w:r w:rsidRPr="00E242F1">
        <w:rPr>
          <w:color w:val="252525"/>
        </w:rPr>
        <w:t>. Another member of the IL-2 cytokine family, IL-21, has been utilized to increase the proliferation</w:t>
      </w:r>
      <w:r w:rsidR="006F498D" w:rsidRPr="00E242F1">
        <w:rPr>
          <w:color w:val="252525"/>
        </w:rPr>
        <w:t xml:space="preserve"> of germinal center B cells</w:t>
      </w:r>
      <w:r w:rsidRPr="00E242F1">
        <w:rPr>
          <w:color w:val="252525"/>
        </w:rPr>
        <w:t xml:space="preserve"> and induce the differentiation of CD40L-stimulated B cells into plasma cells. Clinical experiments using recombinant IL-21 have shown that it can increase the number of CD3+CD56+ NKT-like cells in patients with s</w:t>
      </w:r>
      <w:r w:rsidR="006F498D" w:rsidRPr="00E242F1">
        <w:rPr>
          <w:color w:val="252525"/>
        </w:rPr>
        <w:t xml:space="preserve">tage IV malignant melanoma </w:t>
      </w:r>
      <w:r w:rsidRPr="00E242F1">
        <w:rPr>
          <w:color w:val="252525"/>
        </w:rPr>
        <w:t xml:space="preserve">and activate T and NK cells in </w:t>
      </w:r>
      <w:r w:rsidR="006F498D" w:rsidRPr="00E242F1">
        <w:rPr>
          <w:color w:val="252525"/>
        </w:rPr>
        <w:t xml:space="preserve">patients with stage IV CRC (Coquet </w:t>
      </w:r>
      <w:r w:rsidR="006F498D" w:rsidRPr="00E242F1">
        <w:rPr>
          <w:i/>
          <w:color w:val="252525"/>
        </w:rPr>
        <w:t>et al.,</w:t>
      </w:r>
      <w:r w:rsidR="006F498D" w:rsidRPr="00E242F1">
        <w:rPr>
          <w:color w:val="252525"/>
        </w:rPr>
        <w:t xml:space="preserve"> 2013)</w:t>
      </w:r>
      <w:r w:rsidRPr="00E242F1">
        <w:rPr>
          <w:color w:val="252525"/>
        </w:rPr>
        <w:t>.</w:t>
      </w:r>
    </w:p>
    <w:p w:rsidR="00E242F1" w:rsidRPr="00E242F1" w:rsidRDefault="00E961E2" w:rsidP="00E242F1">
      <w:pPr>
        <w:pStyle w:val="NormalWeb"/>
        <w:spacing w:before="0" w:beforeAutospacing="0" w:after="0" w:afterAutospacing="0" w:line="360" w:lineRule="auto"/>
        <w:jc w:val="both"/>
        <w:rPr>
          <w:color w:val="252525"/>
        </w:rPr>
      </w:pPr>
      <w:r w:rsidRPr="00E961E2">
        <w:rPr>
          <w:color w:val="252525"/>
        </w:rPr>
        <w:t>Paracrine signaling factors involved in the crosstalk between cancerous and non-malignant cells in the cancer environment have a signific</w:t>
      </w:r>
      <w:r w:rsidR="00954805" w:rsidRPr="00E242F1">
        <w:rPr>
          <w:color w:val="252525"/>
        </w:rPr>
        <w:t>ant impact on tumor biology (</w:t>
      </w:r>
      <w:proofErr w:type="spellStart"/>
      <w:r w:rsidR="00954805" w:rsidRPr="00E242F1">
        <w:rPr>
          <w:color w:val="252525"/>
        </w:rPr>
        <w:t>Lacina</w:t>
      </w:r>
      <w:proofErr w:type="spellEnd"/>
      <w:r w:rsidR="00954805" w:rsidRPr="00E242F1">
        <w:rPr>
          <w:color w:val="252525"/>
        </w:rPr>
        <w:t xml:space="preserve"> </w:t>
      </w:r>
      <w:r w:rsidR="00954805" w:rsidRPr="00E242F1">
        <w:rPr>
          <w:i/>
          <w:color w:val="252525"/>
        </w:rPr>
        <w:t>et al</w:t>
      </w:r>
      <w:r w:rsidR="00954805" w:rsidRPr="00E242F1">
        <w:rPr>
          <w:color w:val="252525"/>
        </w:rPr>
        <w:t>., 2019)</w:t>
      </w:r>
      <w:r w:rsidRPr="00E961E2">
        <w:rPr>
          <w:color w:val="252525"/>
        </w:rPr>
        <w:t>. The abundant synthesis of IL-6 by CAFs and other cell types (for example, adipocytes in breast cancer) in various types of tumors demonstrates the importance of this factor in cancer cell biology. IL-6 promote</w:t>
      </w:r>
      <w:r w:rsidR="00954805" w:rsidRPr="00E242F1">
        <w:rPr>
          <w:color w:val="252525"/>
        </w:rPr>
        <w:t>s cancer cell proliferation</w:t>
      </w:r>
      <w:r w:rsidRPr="00E961E2">
        <w:rPr>
          <w:color w:val="252525"/>
        </w:rPr>
        <w:t xml:space="preserve"> and the epithelia</w:t>
      </w:r>
      <w:r w:rsidR="00954805" w:rsidRPr="00E242F1">
        <w:rPr>
          <w:color w:val="252525"/>
        </w:rPr>
        <w:t>l-to-</w:t>
      </w:r>
      <w:proofErr w:type="spellStart"/>
      <w:r w:rsidR="00954805" w:rsidRPr="00E242F1">
        <w:rPr>
          <w:color w:val="252525"/>
        </w:rPr>
        <w:t>mesenchymal</w:t>
      </w:r>
      <w:proofErr w:type="spellEnd"/>
      <w:r w:rsidR="00954805" w:rsidRPr="00E242F1">
        <w:rPr>
          <w:color w:val="252525"/>
        </w:rPr>
        <w:t xml:space="preserve"> transition (</w:t>
      </w:r>
      <w:proofErr w:type="spellStart"/>
      <w:r w:rsidR="00954805" w:rsidRPr="00E242F1">
        <w:rPr>
          <w:color w:val="252525"/>
        </w:rPr>
        <w:t>Goulet</w:t>
      </w:r>
      <w:proofErr w:type="spellEnd"/>
      <w:r w:rsidR="00954805" w:rsidRPr="00E242F1">
        <w:rPr>
          <w:color w:val="252525"/>
        </w:rPr>
        <w:t xml:space="preserve"> </w:t>
      </w:r>
      <w:r w:rsidR="00954805" w:rsidRPr="00E242F1">
        <w:rPr>
          <w:i/>
          <w:color w:val="252525"/>
        </w:rPr>
        <w:t>et al.,</w:t>
      </w:r>
      <w:r w:rsidR="00954805" w:rsidRPr="00E242F1">
        <w:rPr>
          <w:color w:val="252525"/>
        </w:rPr>
        <w:t xml:space="preserve"> 2019)</w:t>
      </w:r>
      <w:r w:rsidRPr="00E961E2">
        <w:rPr>
          <w:color w:val="252525"/>
        </w:rPr>
        <w:t>. Experimental IL-6 blockade combined with IL-8 suppression effectively reduced cancer cel</w:t>
      </w:r>
      <w:r w:rsidR="00954805" w:rsidRPr="00E242F1">
        <w:rPr>
          <w:color w:val="252525"/>
        </w:rPr>
        <w:t xml:space="preserve">l invasiveness in vitro (Zhang </w:t>
      </w:r>
      <w:r w:rsidR="00954805" w:rsidRPr="00E242F1">
        <w:rPr>
          <w:i/>
          <w:color w:val="252525"/>
        </w:rPr>
        <w:t>et al.,</w:t>
      </w:r>
      <w:r w:rsidR="00954805" w:rsidRPr="00E242F1">
        <w:rPr>
          <w:color w:val="252525"/>
        </w:rPr>
        <w:t xml:space="preserve"> 2022)</w:t>
      </w:r>
      <w:r w:rsidRPr="00E961E2">
        <w:rPr>
          <w:color w:val="252525"/>
        </w:rPr>
        <w:t xml:space="preserve">. The activation of STAT3, JAK/STAT, </w:t>
      </w:r>
      <w:proofErr w:type="spellStart"/>
      <w:r w:rsidRPr="00E961E2">
        <w:rPr>
          <w:color w:val="252525"/>
        </w:rPr>
        <w:t>mTOR</w:t>
      </w:r>
      <w:proofErr w:type="spellEnd"/>
      <w:r w:rsidRPr="00E961E2">
        <w:rPr>
          <w:color w:val="252525"/>
        </w:rPr>
        <w:t>, sonic hedgehog, and nuclear factor κ B (</w:t>
      </w:r>
      <w:proofErr w:type="spellStart"/>
      <w:r w:rsidRPr="00E961E2">
        <w:rPr>
          <w:color w:val="252525"/>
        </w:rPr>
        <w:t>NFκB</w:t>
      </w:r>
      <w:proofErr w:type="spellEnd"/>
      <w:r w:rsidRPr="00E961E2">
        <w:rPr>
          <w:color w:val="252525"/>
        </w:rPr>
        <w:t xml:space="preserve">) signaling is crucial for the IL-6 action on cancer cells and supports the metastatic spread of </w:t>
      </w:r>
      <w:r w:rsidR="00954805" w:rsidRPr="00E242F1">
        <w:rPr>
          <w:color w:val="252525"/>
        </w:rPr>
        <w:t xml:space="preserve">malignant disease (von Ahrens </w:t>
      </w:r>
      <w:r w:rsidR="00954805" w:rsidRPr="00E242F1">
        <w:rPr>
          <w:i/>
          <w:color w:val="252525"/>
        </w:rPr>
        <w:t xml:space="preserve">et al., </w:t>
      </w:r>
      <w:r w:rsidR="00954805" w:rsidRPr="00E242F1">
        <w:rPr>
          <w:color w:val="252525"/>
        </w:rPr>
        <w:t>2017)</w:t>
      </w:r>
      <w:r w:rsidRPr="00E961E2">
        <w:rPr>
          <w:color w:val="252525"/>
        </w:rPr>
        <w:t>. </w:t>
      </w:r>
      <w:r w:rsidRPr="00E242F1">
        <w:rPr>
          <w:color w:val="252525"/>
        </w:rPr>
        <w:t xml:space="preserve">The involvement of IL-6 in neo-vascularization and, as a result, cancer </w:t>
      </w:r>
      <w:r w:rsidR="00C86A5C" w:rsidRPr="00E242F1">
        <w:rPr>
          <w:color w:val="252525"/>
        </w:rPr>
        <w:t>progression has been proven (</w:t>
      </w:r>
      <w:r w:rsidR="00C86A5C" w:rsidRPr="00C86A5C">
        <w:t>Middleton</w:t>
      </w:r>
      <w:r w:rsidR="00C86A5C" w:rsidRPr="00E242F1">
        <w:t xml:space="preserve"> </w:t>
      </w:r>
      <w:r w:rsidR="00C86A5C" w:rsidRPr="00E242F1">
        <w:rPr>
          <w:i/>
        </w:rPr>
        <w:t>et al.,</w:t>
      </w:r>
      <w:r w:rsidR="00C86A5C" w:rsidRPr="00E242F1">
        <w:t xml:space="preserve"> 2014)</w:t>
      </w:r>
      <w:r w:rsidRPr="00E242F1">
        <w:rPr>
          <w:color w:val="252525"/>
        </w:rPr>
        <w:t xml:space="preserve">. </w:t>
      </w:r>
      <w:r w:rsidR="00C86A5C" w:rsidRPr="00E242F1">
        <w:rPr>
          <w:color w:val="252525"/>
        </w:rPr>
        <w:t>As</w:t>
      </w:r>
      <w:r w:rsidRPr="00E242F1">
        <w:rPr>
          <w:color w:val="252525"/>
        </w:rPr>
        <w:t xml:space="preserve"> widely addres</w:t>
      </w:r>
      <w:r w:rsidR="00C86A5C" w:rsidRPr="00E242F1">
        <w:rPr>
          <w:color w:val="252525"/>
        </w:rPr>
        <w:t xml:space="preserve">sed by </w:t>
      </w:r>
      <w:proofErr w:type="spellStart"/>
      <w:r w:rsidR="00C86A5C" w:rsidRPr="00E242F1">
        <w:rPr>
          <w:color w:val="252525"/>
        </w:rPr>
        <w:t>Lacina</w:t>
      </w:r>
      <w:proofErr w:type="spellEnd"/>
      <w:r w:rsidR="00C86A5C" w:rsidRPr="00E242F1">
        <w:rPr>
          <w:color w:val="252525"/>
        </w:rPr>
        <w:t xml:space="preserve"> and coworkers (2019)</w:t>
      </w:r>
      <w:r w:rsidRPr="00E242F1">
        <w:rPr>
          <w:color w:val="252525"/>
        </w:rPr>
        <w:t xml:space="preserve">, cancer cells, including CMM cells, release IL-6. This cytokine's synthesis via both paracrine and </w:t>
      </w:r>
      <w:proofErr w:type="spellStart"/>
      <w:r w:rsidRPr="00E242F1">
        <w:rPr>
          <w:color w:val="252525"/>
        </w:rPr>
        <w:t>autocrine</w:t>
      </w:r>
      <w:proofErr w:type="spellEnd"/>
      <w:r w:rsidRPr="00E242F1">
        <w:rPr>
          <w:color w:val="252525"/>
        </w:rPr>
        <w:t xml:space="preserve"> mechanisms, as well as their complex regulation, must be expected to influence CMM cell biology. Factors of intercellular crosstalk from the cancer site can pass the capillary wall and enter the systemic bloodstream. As a result, these bioactive compounds can be detected in the blo</w:t>
      </w:r>
      <w:r w:rsidR="00C86A5C" w:rsidRPr="00E242F1">
        <w:rPr>
          <w:color w:val="252525"/>
        </w:rPr>
        <w:t>od serum of cancer patients (</w:t>
      </w:r>
      <w:proofErr w:type="spellStart"/>
      <w:r w:rsidR="00C86A5C" w:rsidRPr="00C86A5C">
        <w:t>Kučera</w:t>
      </w:r>
      <w:proofErr w:type="spellEnd"/>
      <w:r w:rsidR="00C86A5C" w:rsidRPr="00E242F1">
        <w:t xml:space="preserve"> </w:t>
      </w:r>
      <w:r w:rsidR="00C86A5C" w:rsidRPr="00E242F1">
        <w:rPr>
          <w:i/>
        </w:rPr>
        <w:t>et al.,</w:t>
      </w:r>
      <w:r w:rsidR="00C86A5C" w:rsidRPr="00E242F1">
        <w:t xml:space="preserve"> 2019</w:t>
      </w:r>
      <w:r w:rsidR="00C86A5C" w:rsidRPr="00E242F1">
        <w:rPr>
          <w:color w:val="252525"/>
        </w:rPr>
        <w:t>)</w:t>
      </w:r>
      <w:r w:rsidRPr="00E242F1">
        <w:rPr>
          <w:color w:val="252525"/>
        </w:rPr>
        <w:t>. This finding shows that these compounds could act as biomarkers, allowing researchers to evaluate illness progression.</w:t>
      </w:r>
      <w:r w:rsidR="00A34A04" w:rsidRPr="00E242F1">
        <w:rPr>
          <w:color w:val="252525"/>
        </w:rPr>
        <w:t xml:space="preserve"> However, issues may arise due to the specificity of these findings. Furthermore, the patient's overall health status must be carefully considered, as even a small respiratory infection before the examination might drastically alter the serum profile. These factors, produced by the cancer ecosystem and transported by circulation, appear to play a role in shaping the </w:t>
      </w:r>
      <w:proofErr w:type="spellStart"/>
      <w:r w:rsidR="00A34A04" w:rsidRPr="00E242F1">
        <w:rPr>
          <w:color w:val="252525"/>
        </w:rPr>
        <w:t>premetastatic</w:t>
      </w:r>
      <w:proofErr w:type="spellEnd"/>
      <w:r w:rsidR="00A34A04" w:rsidRPr="00E242F1">
        <w:rPr>
          <w:color w:val="252525"/>
        </w:rPr>
        <w:t xml:space="preserve"> tissue landscape, a safe niche that serves as a suitable cradle for cancer cell homing and subsequent metastasis development, as demonstrated in the cases of breast cancer </w:t>
      </w:r>
      <w:r w:rsidR="00C86A5C" w:rsidRPr="00E242F1">
        <w:rPr>
          <w:color w:val="252525"/>
        </w:rPr>
        <w:t xml:space="preserve">and malignant melanoma (Kolb </w:t>
      </w:r>
      <w:r w:rsidR="00C86A5C" w:rsidRPr="00E242F1">
        <w:rPr>
          <w:i/>
          <w:color w:val="252525"/>
        </w:rPr>
        <w:t>et</w:t>
      </w:r>
      <w:r w:rsidR="00C86A5C" w:rsidRPr="00E242F1">
        <w:rPr>
          <w:color w:val="252525"/>
        </w:rPr>
        <w:t xml:space="preserve"> </w:t>
      </w:r>
      <w:r w:rsidR="00C86A5C" w:rsidRPr="00E242F1">
        <w:rPr>
          <w:i/>
          <w:color w:val="252525"/>
        </w:rPr>
        <w:t>al</w:t>
      </w:r>
      <w:r w:rsidR="00C86A5C" w:rsidRPr="00E242F1">
        <w:rPr>
          <w:color w:val="252525"/>
        </w:rPr>
        <w:t>., 2021)</w:t>
      </w:r>
      <w:r w:rsidR="00A34A04" w:rsidRPr="00E242F1">
        <w:rPr>
          <w:color w:val="252525"/>
        </w:rPr>
        <w:t xml:space="preserve">. High levels of IL-6, IL-10, and TNF-α in serum can predict death in patients with </w:t>
      </w:r>
      <w:r w:rsidR="00C86A5C" w:rsidRPr="00E242F1">
        <w:rPr>
          <w:color w:val="252525"/>
        </w:rPr>
        <w:t xml:space="preserve">advanced malignant illness (Stoll </w:t>
      </w:r>
      <w:r w:rsidR="00C86A5C" w:rsidRPr="00E242F1">
        <w:rPr>
          <w:i/>
          <w:color w:val="252525"/>
        </w:rPr>
        <w:t>et al.,</w:t>
      </w:r>
      <w:r w:rsidR="00C86A5C" w:rsidRPr="00E242F1">
        <w:rPr>
          <w:color w:val="252525"/>
        </w:rPr>
        <w:t xml:space="preserve"> 2021)</w:t>
      </w:r>
      <w:r w:rsidR="00A34A04" w:rsidRPr="00E242F1">
        <w:rPr>
          <w:color w:val="252525"/>
        </w:rPr>
        <w:t xml:space="preserve">. </w:t>
      </w:r>
      <w:r w:rsidR="00954805" w:rsidRPr="00E242F1">
        <w:rPr>
          <w:color w:val="252525"/>
        </w:rPr>
        <w:t xml:space="preserve">Cancer patients typically die in the terminal, therapy-refractive stage of the disease from cancer-related cachexia and wasting. IL-6 and TNF-α play a significant role in this process, </w:t>
      </w:r>
      <w:r w:rsidR="00954805" w:rsidRPr="00E242F1">
        <w:rPr>
          <w:color w:val="252525"/>
        </w:rPr>
        <w:lastRenderedPageBreak/>
        <w:t xml:space="preserve">affecting adipocytes, hepatocytes, and striated muscle fibers. These hormones cause skeletal muscle atrophy, lipolysis, "browning" of white adipocytes, and </w:t>
      </w:r>
      <w:proofErr w:type="spellStart"/>
      <w:r w:rsidR="00954805" w:rsidRPr="00E242F1">
        <w:rPr>
          <w:color w:val="252525"/>
        </w:rPr>
        <w:t>ketoge</w:t>
      </w:r>
      <w:r w:rsidR="00B82C78" w:rsidRPr="00E242F1">
        <w:rPr>
          <w:color w:val="252525"/>
        </w:rPr>
        <w:t>nesis</w:t>
      </w:r>
      <w:proofErr w:type="spellEnd"/>
      <w:r w:rsidR="00B82C78" w:rsidRPr="00E242F1">
        <w:rPr>
          <w:color w:val="252525"/>
        </w:rPr>
        <w:t xml:space="preserve"> in the liver (</w:t>
      </w:r>
      <w:proofErr w:type="spellStart"/>
      <w:r w:rsidR="00B82C78" w:rsidRPr="00E242F1">
        <w:rPr>
          <w:color w:val="252525"/>
        </w:rPr>
        <w:t>Lacina</w:t>
      </w:r>
      <w:proofErr w:type="spellEnd"/>
      <w:r w:rsidR="00B82C78" w:rsidRPr="00E242F1">
        <w:rPr>
          <w:color w:val="252525"/>
        </w:rPr>
        <w:t xml:space="preserve"> </w:t>
      </w:r>
      <w:r w:rsidR="00B82C78" w:rsidRPr="00E242F1">
        <w:rPr>
          <w:i/>
          <w:color w:val="252525"/>
        </w:rPr>
        <w:t>et al.,</w:t>
      </w:r>
      <w:r w:rsidR="00B82C78" w:rsidRPr="00E242F1">
        <w:rPr>
          <w:color w:val="252525"/>
        </w:rPr>
        <w:t xml:space="preserve"> 2019</w:t>
      </w:r>
      <w:r w:rsidR="00954805" w:rsidRPr="00E242F1">
        <w:rPr>
          <w:color w:val="252525"/>
        </w:rPr>
        <w:t xml:space="preserve">). It appears that there is a clear relationship between high IL-6 levels produced by malignant tissue, low skeletal muscle </w:t>
      </w:r>
      <w:r w:rsidR="00B82C78" w:rsidRPr="00E242F1">
        <w:rPr>
          <w:color w:val="252525"/>
        </w:rPr>
        <w:t>mass, and patient survival (</w:t>
      </w:r>
      <w:proofErr w:type="spellStart"/>
      <w:r w:rsidR="00B82C78" w:rsidRPr="00E242F1">
        <w:rPr>
          <w:color w:val="252525"/>
        </w:rPr>
        <w:t>Kays</w:t>
      </w:r>
      <w:proofErr w:type="spellEnd"/>
      <w:r w:rsidR="00B82C78" w:rsidRPr="00E242F1">
        <w:rPr>
          <w:color w:val="252525"/>
        </w:rPr>
        <w:t xml:space="preserve"> </w:t>
      </w:r>
      <w:r w:rsidR="00B82C78" w:rsidRPr="00E242F1">
        <w:rPr>
          <w:i/>
          <w:color w:val="252525"/>
        </w:rPr>
        <w:t>et al.,</w:t>
      </w:r>
      <w:r w:rsidR="00B82C78" w:rsidRPr="00E242F1">
        <w:rPr>
          <w:color w:val="252525"/>
        </w:rPr>
        <w:t xml:space="preserve"> 2020)</w:t>
      </w:r>
      <w:r w:rsidR="00954805" w:rsidRPr="00E242F1">
        <w:rPr>
          <w:color w:val="252525"/>
        </w:rPr>
        <w:t>. In addition to these severe metabolic abnormalities, IL-6 can pass the blood-brain barrier and be recognized by hypothalamus and hippocampus neurons that regulate food intake</w:t>
      </w:r>
      <w:r w:rsidR="00B82C78" w:rsidRPr="00E242F1">
        <w:rPr>
          <w:color w:val="252525"/>
        </w:rPr>
        <w:t xml:space="preserve"> and cause depression (Shimura </w:t>
      </w:r>
      <w:r w:rsidR="00B82C78" w:rsidRPr="00E242F1">
        <w:rPr>
          <w:i/>
          <w:color w:val="252525"/>
        </w:rPr>
        <w:t>et al.,</w:t>
      </w:r>
      <w:r w:rsidR="00B82C78" w:rsidRPr="00E242F1">
        <w:rPr>
          <w:color w:val="252525"/>
        </w:rPr>
        <w:t xml:space="preserve"> 2017)</w:t>
      </w:r>
      <w:r w:rsidR="00954805" w:rsidRPr="00E242F1">
        <w:rPr>
          <w:color w:val="252525"/>
        </w:rPr>
        <w:t>. A high level of IL-6 has been linked to an</w:t>
      </w:r>
      <w:r w:rsidR="00B82C78" w:rsidRPr="00E242F1">
        <w:rPr>
          <w:color w:val="252525"/>
        </w:rPr>
        <w:t xml:space="preserve"> increased risk of suicide (</w:t>
      </w:r>
      <w:r w:rsidR="00B82C78" w:rsidRPr="00B82C78">
        <w:t>Keaton</w:t>
      </w:r>
      <w:r w:rsidR="00B82C78" w:rsidRPr="00E242F1">
        <w:t xml:space="preserve"> </w:t>
      </w:r>
      <w:r w:rsidR="00B82C78" w:rsidRPr="00E242F1">
        <w:rPr>
          <w:i/>
        </w:rPr>
        <w:t>et al.,</w:t>
      </w:r>
      <w:r w:rsidR="00B82C78" w:rsidRPr="00E242F1">
        <w:t xml:space="preserve"> 2019)</w:t>
      </w:r>
      <w:r w:rsidR="00954805" w:rsidRPr="00E242F1">
        <w:rPr>
          <w:color w:val="252525"/>
        </w:rPr>
        <w:t>. The combination of metabolic and central nervous system disorders appears to be lethal in the late stages of the disease, once anti-cancer therapy has failed</w:t>
      </w:r>
      <w:r w:rsidR="00B82C78" w:rsidRPr="00E242F1">
        <w:rPr>
          <w:color w:val="252525"/>
        </w:rPr>
        <w:t xml:space="preserve"> (</w:t>
      </w:r>
      <w:proofErr w:type="spellStart"/>
      <w:r w:rsidR="00B82C78" w:rsidRPr="00E242F1">
        <w:rPr>
          <w:color w:val="252525"/>
        </w:rPr>
        <w:t>Brabek</w:t>
      </w:r>
      <w:proofErr w:type="spellEnd"/>
      <w:r w:rsidR="00B82C78" w:rsidRPr="00E242F1">
        <w:rPr>
          <w:color w:val="252525"/>
        </w:rPr>
        <w:t xml:space="preserve"> </w:t>
      </w:r>
      <w:r w:rsidR="00B82C78" w:rsidRPr="00E242F1">
        <w:rPr>
          <w:i/>
          <w:color w:val="252525"/>
        </w:rPr>
        <w:t>et al.,</w:t>
      </w:r>
      <w:r w:rsidR="00B82C78" w:rsidRPr="00E242F1">
        <w:rPr>
          <w:color w:val="252525"/>
        </w:rPr>
        <w:t xml:space="preserve"> 2020)</w:t>
      </w:r>
      <w:r w:rsidR="00954805" w:rsidRPr="00E242F1">
        <w:rPr>
          <w:color w:val="252525"/>
        </w:rPr>
        <w:t>.</w:t>
      </w:r>
    </w:p>
    <w:p w:rsidR="00E961E2" w:rsidRPr="00E242F1" w:rsidRDefault="00E961E2" w:rsidP="00E242F1">
      <w:pPr>
        <w:pStyle w:val="NormalWeb"/>
        <w:spacing w:before="0" w:beforeAutospacing="0" w:after="0" w:afterAutospacing="0" w:line="360" w:lineRule="auto"/>
        <w:jc w:val="both"/>
        <w:rPr>
          <w:b/>
          <w:color w:val="252525"/>
        </w:rPr>
      </w:pPr>
      <w:proofErr w:type="spellStart"/>
      <w:r w:rsidRPr="00E242F1">
        <w:rPr>
          <w:b/>
          <w:color w:val="252525"/>
        </w:rPr>
        <w:t>Tumour</w:t>
      </w:r>
      <w:proofErr w:type="spellEnd"/>
      <w:r w:rsidRPr="00E242F1">
        <w:rPr>
          <w:b/>
          <w:color w:val="252525"/>
        </w:rPr>
        <w:t xml:space="preserve"> Markers</w:t>
      </w:r>
    </w:p>
    <w:p w:rsidR="00E961E2" w:rsidRPr="00E242F1" w:rsidRDefault="00E961E2" w:rsidP="00E242F1">
      <w:pPr>
        <w:pStyle w:val="NormalWeb"/>
        <w:spacing w:before="0" w:beforeAutospacing="0" w:after="0" w:afterAutospacing="0" w:line="360" w:lineRule="auto"/>
        <w:jc w:val="both"/>
        <w:rPr>
          <w:b/>
          <w:color w:val="252525"/>
        </w:rPr>
      </w:pPr>
      <w:r w:rsidRPr="00E242F1">
        <w:rPr>
          <w:b/>
          <w:color w:val="252525"/>
        </w:rPr>
        <w:t>CA-125</w:t>
      </w:r>
    </w:p>
    <w:p w:rsidR="006F498D" w:rsidRPr="006F498D" w:rsidRDefault="006F498D" w:rsidP="00E242F1">
      <w:pPr>
        <w:spacing w:line="360" w:lineRule="auto"/>
        <w:jc w:val="both"/>
        <w:rPr>
          <w:color w:val="252525"/>
        </w:rPr>
      </w:pPr>
      <w:r w:rsidRPr="006F498D">
        <w:rPr>
          <w:color w:val="252525"/>
        </w:rPr>
        <w:t xml:space="preserve">A woman with suspected advanced ovarian cancer should undergo a physical examination, ultrasonography, serum cancer antigen (CA-125) measurement, and imaging analysis (CT scan or MRI). These standard techniques demonstrated little accuracy in predicting the results of primary surgery with a tumor </w:t>
      </w:r>
      <w:proofErr w:type="spellStart"/>
      <w:r w:rsidRPr="006F498D">
        <w:rPr>
          <w:color w:val="252525"/>
        </w:rPr>
        <w:t>resectability</w:t>
      </w:r>
      <w:proofErr w:type="spellEnd"/>
      <w:r w:rsidRPr="006F498D">
        <w:rPr>
          <w:color w:val="252525"/>
        </w:rPr>
        <w:t xml:space="preserve"> deposition of more than 1 cm. Furthermore, the location of the tumor influences metastatic tumor </w:t>
      </w:r>
      <w:proofErr w:type="spellStart"/>
      <w:r w:rsidRPr="006F498D">
        <w:rPr>
          <w:color w:val="252525"/>
        </w:rPr>
        <w:t>resectability</w:t>
      </w:r>
      <w:proofErr w:type="spellEnd"/>
      <w:r w:rsidRPr="006F498D">
        <w:rPr>
          <w:color w:val="252525"/>
        </w:rPr>
        <w:t xml:space="preserve">, and optimal </w:t>
      </w:r>
      <w:proofErr w:type="spellStart"/>
      <w:r w:rsidRPr="006F498D">
        <w:rPr>
          <w:color w:val="252525"/>
        </w:rPr>
        <w:t>cytoreduction</w:t>
      </w:r>
      <w:proofErr w:type="spellEnd"/>
      <w:r w:rsidRPr="006F498D">
        <w:rPr>
          <w:color w:val="252525"/>
        </w:rPr>
        <w:t xml:space="preserve"> is difficult when the cancer spreads into the diaphragm, liver parenchyma, small intestinal surface area, smalle</w:t>
      </w:r>
      <w:r w:rsidR="0065555A" w:rsidRPr="00E242F1">
        <w:rPr>
          <w:color w:val="252525"/>
        </w:rPr>
        <w:t xml:space="preserve">r </w:t>
      </w:r>
      <w:proofErr w:type="spellStart"/>
      <w:r w:rsidR="0065555A" w:rsidRPr="00E242F1">
        <w:rPr>
          <w:color w:val="252525"/>
        </w:rPr>
        <w:t>omentum</w:t>
      </w:r>
      <w:proofErr w:type="spellEnd"/>
      <w:r w:rsidR="0065555A" w:rsidRPr="00E242F1">
        <w:rPr>
          <w:color w:val="252525"/>
        </w:rPr>
        <w:t>, or hepatic portal (</w:t>
      </w:r>
      <w:proofErr w:type="spellStart"/>
      <w:r w:rsidR="0065555A" w:rsidRPr="00E242F1">
        <w:rPr>
          <w:color w:val="252525"/>
        </w:rPr>
        <w:t>Llueca</w:t>
      </w:r>
      <w:proofErr w:type="spellEnd"/>
      <w:r w:rsidR="0065555A" w:rsidRPr="00E242F1">
        <w:rPr>
          <w:color w:val="252525"/>
        </w:rPr>
        <w:t xml:space="preserve"> </w:t>
      </w:r>
      <w:r w:rsidR="0065555A" w:rsidRPr="00E242F1">
        <w:rPr>
          <w:i/>
          <w:color w:val="252525"/>
        </w:rPr>
        <w:t>et al.,</w:t>
      </w:r>
      <w:r w:rsidR="0065555A" w:rsidRPr="00E242F1">
        <w:rPr>
          <w:color w:val="252525"/>
        </w:rPr>
        <w:t xml:space="preserve"> 2018)</w:t>
      </w:r>
      <w:r w:rsidRPr="006F498D">
        <w:rPr>
          <w:color w:val="252525"/>
        </w:rPr>
        <w:t>.</w:t>
      </w:r>
      <w:r w:rsidR="0008073F" w:rsidRPr="00E242F1">
        <w:rPr>
          <w:color w:val="252525"/>
        </w:rPr>
        <w:t xml:space="preserve"> </w:t>
      </w:r>
      <w:r w:rsidR="0008073F" w:rsidRPr="00E242F1">
        <w:t>Cancer antigen 125 (CA-125) is a protein found in the blood that is widely used to diagnose early ovarian cancer. CA-125 levels are also connected with other cancers, including pancreatic, lung, breast, colorectal, and benign ovarian cysts. The examination of CA-125 has a low specificity for diagnosing ovarian cancer but has the ability to examine, monitor, and evaluate ovarian c</w:t>
      </w:r>
      <w:r w:rsidR="00E961E2" w:rsidRPr="00E242F1">
        <w:t>ancer medication responses (</w:t>
      </w:r>
      <w:proofErr w:type="spellStart"/>
      <w:r w:rsidR="00E961E2" w:rsidRPr="00E961E2">
        <w:t>Charkhchi</w:t>
      </w:r>
      <w:proofErr w:type="spellEnd"/>
      <w:r w:rsidR="00E961E2" w:rsidRPr="00E242F1">
        <w:t xml:space="preserve"> </w:t>
      </w:r>
      <w:r w:rsidR="00E961E2" w:rsidRPr="00E242F1">
        <w:rPr>
          <w:i/>
        </w:rPr>
        <w:t>et al.,</w:t>
      </w:r>
      <w:r w:rsidR="00E961E2" w:rsidRPr="00E242F1">
        <w:t xml:space="preserve"> 2020)</w:t>
      </w:r>
      <w:r w:rsidR="0008073F" w:rsidRPr="00E242F1">
        <w:t>.</w:t>
      </w:r>
    </w:p>
    <w:p w:rsidR="00C41E28" w:rsidRPr="00E242F1" w:rsidRDefault="00C41E28" w:rsidP="00E242F1">
      <w:pPr>
        <w:tabs>
          <w:tab w:val="left" w:pos="2430"/>
        </w:tabs>
        <w:spacing w:line="360" w:lineRule="auto"/>
        <w:ind w:right="-244"/>
        <w:jc w:val="both"/>
      </w:pPr>
    </w:p>
    <w:p w:rsidR="004C0CE5" w:rsidRDefault="004C0CE5" w:rsidP="004C0CE5">
      <w:pPr>
        <w:tabs>
          <w:tab w:val="left" w:pos="2430"/>
        </w:tabs>
        <w:spacing w:line="360" w:lineRule="auto"/>
        <w:ind w:right="-244"/>
        <w:jc w:val="both"/>
        <w:rPr>
          <w:b/>
        </w:rPr>
      </w:pPr>
      <w:r w:rsidRPr="004C0CE5">
        <w:rPr>
          <w:b/>
        </w:rPr>
        <w:t>CONCLUSION</w:t>
      </w:r>
    </w:p>
    <w:p w:rsidR="004C0CE5" w:rsidRPr="004C0CE5" w:rsidRDefault="004C0CE5" w:rsidP="004C0CE5">
      <w:pPr>
        <w:tabs>
          <w:tab w:val="left" w:pos="2430"/>
        </w:tabs>
        <w:spacing w:line="360" w:lineRule="auto"/>
        <w:ind w:right="-244"/>
        <w:jc w:val="both"/>
      </w:pPr>
      <w:r w:rsidRPr="004C0CE5">
        <w:t>Cancer biomarkers have the promise to improve the management of cancer across all stages, including screening, diagnos</w:t>
      </w:r>
      <w:r>
        <w:t>is, detection,</w:t>
      </w:r>
      <w:r w:rsidRPr="004C0CE5">
        <w:t xml:space="preserve"> </w:t>
      </w:r>
      <w:proofErr w:type="gramStart"/>
      <w:r w:rsidRPr="004C0CE5">
        <w:t>staging</w:t>
      </w:r>
      <w:proofErr w:type="gramEnd"/>
      <w:r w:rsidRPr="004C0CE5">
        <w:t>, prognosis, and treatment response assessment. Biomarkers can help detect cancer early, follow progression</w:t>
      </w:r>
      <w:r>
        <w:t>, and prevent recurrence.</w:t>
      </w:r>
      <w:r w:rsidRPr="004C0CE5">
        <w:t xml:space="preserve"> Early identification can increase survival rates for HIV-positive cancer patients by identifying high-risk individuals, distinguishing between aggressive and indolent tumors, and monitoring disease progression.</w:t>
      </w:r>
      <w:r>
        <w:t xml:space="preserve"> </w:t>
      </w:r>
      <w:r w:rsidRPr="004C0CE5">
        <w:t xml:space="preserve">The dawn of a revolutionary era in cancer medicine is upon us, where the individual patient's molecular makeup takes center stage in guiding detection, diagnosis, and treatment. Biomarkers, like beacons illuminating the intricate landscape of cancer, hold the immense </w:t>
      </w:r>
      <w:r w:rsidRPr="004C0CE5">
        <w:lastRenderedPageBreak/>
        <w:t>potential to identify tumors years before symptoms arise, paving the way for early intervention and improved outcomes. This paradigm shift, driven by the burgeoning field of precision oncology, promises to transform cancer management from a one-size-fits-all approach to a meticulously tailored strategy for each patient.</w:t>
      </w:r>
    </w:p>
    <w:p w:rsidR="004C0CE5" w:rsidRPr="00E242F1" w:rsidRDefault="004C0CE5" w:rsidP="00E242F1">
      <w:pPr>
        <w:tabs>
          <w:tab w:val="left" w:pos="2430"/>
        </w:tabs>
        <w:spacing w:line="360" w:lineRule="auto"/>
        <w:ind w:right="-244"/>
        <w:jc w:val="both"/>
      </w:pPr>
    </w:p>
    <w:p w:rsidR="00CE2A48" w:rsidRPr="00E242F1" w:rsidRDefault="00CE2A48" w:rsidP="00E242F1">
      <w:pPr>
        <w:tabs>
          <w:tab w:val="left" w:pos="2430"/>
        </w:tabs>
        <w:spacing w:line="360" w:lineRule="auto"/>
        <w:ind w:right="-244"/>
        <w:jc w:val="both"/>
      </w:pPr>
    </w:p>
    <w:p w:rsidR="00CE2A48" w:rsidRPr="00E242F1" w:rsidRDefault="00CE2A48" w:rsidP="00E242F1">
      <w:pPr>
        <w:tabs>
          <w:tab w:val="left" w:pos="2430"/>
        </w:tabs>
        <w:spacing w:line="360" w:lineRule="auto"/>
        <w:ind w:right="-244"/>
        <w:jc w:val="both"/>
      </w:pPr>
    </w:p>
    <w:p w:rsidR="00CE2A48" w:rsidRPr="00E242F1" w:rsidRDefault="00CE2A48"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Default="004C0CE5" w:rsidP="00E242F1">
      <w:pPr>
        <w:tabs>
          <w:tab w:val="left" w:pos="2430"/>
        </w:tabs>
        <w:spacing w:line="360" w:lineRule="auto"/>
        <w:ind w:right="-244"/>
        <w:jc w:val="both"/>
      </w:pPr>
    </w:p>
    <w:p w:rsidR="004C0CE5" w:rsidRPr="00E242F1" w:rsidRDefault="004C0CE5" w:rsidP="00E242F1">
      <w:pPr>
        <w:tabs>
          <w:tab w:val="left" w:pos="2430"/>
        </w:tabs>
        <w:spacing w:line="360" w:lineRule="auto"/>
        <w:ind w:right="-244"/>
        <w:jc w:val="both"/>
      </w:pPr>
    </w:p>
    <w:p w:rsidR="00CE2A48" w:rsidRPr="00E242F1" w:rsidRDefault="00CE2A48" w:rsidP="00E242F1">
      <w:pPr>
        <w:tabs>
          <w:tab w:val="left" w:pos="2430"/>
        </w:tabs>
        <w:spacing w:line="360" w:lineRule="auto"/>
        <w:ind w:right="-244"/>
        <w:jc w:val="both"/>
      </w:pPr>
      <w:r w:rsidRPr="00E242F1">
        <w:rPr>
          <w:b/>
        </w:rPr>
        <w:t>REFERENCES</w:t>
      </w:r>
    </w:p>
    <w:p w:rsidR="00EF7268" w:rsidRPr="00E242F1" w:rsidRDefault="00EF7268" w:rsidP="00E242F1">
      <w:pPr>
        <w:spacing w:line="360" w:lineRule="auto"/>
        <w:jc w:val="both"/>
      </w:pPr>
      <w:r w:rsidRPr="00EF7268">
        <w:t xml:space="preserve">Ayers, L. W., </w:t>
      </w:r>
      <w:proofErr w:type="spellStart"/>
      <w:r w:rsidRPr="00EF7268">
        <w:t>Barbachano</w:t>
      </w:r>
      <w:proofErr w:type="spellEnd"/>
      <w:r w:rsidRPr="00EF7268">
        <w:t xml:space="preserve">-Guerrero, A., McAllister, S. C., Ritchie, J. A., </w:t>
      </w:r>
      <w:proofErr w:type="spellStart"/>
      <w:r w:rsidRPr="00EF7268">
        <w:t>Asiago</w:t>
      </w:r>
      <w:proofErr w:type="spellEnd"/>
      <w:r w:rsidRPr="00EF7268">
        <w:t xml:space="preserve">-Reddy, E., Bartlett, L. C., </w:t>
      </w:r>
      <w:proofErr w:type="spellStart"/>
      <w:r w:rsidRPr="00EF7268">
        <w:t>Cesarman</w:t>
      </w:r>
      <w:proofErr w:type="spellEnd"/>
      <w:r w:rsidRPr="00EF7268">
        <w:t xml:space="preserve">, E., Wang, D., </w:t>
      </w:r>
      <w:proofErr w:type="spellStart"/>
      <w:r w:rsidRPr="00EF7268">
        <w:t>Rochford</w:t>
      </w:r>
      <w:proofErr w:type="spellEnd"/>
      <w:r w:rsidRPr="00EF7268">
        <w:t xml:space="preserve">, R., Martin, J. N., &amp; King, C. A. (2018). Mast Cell Activation and KSHV Infection in Kaposi Sarcoma. </w:t>
      </w:r>
      <w:r w:rsidRPr="00EF7268">
        <w:rPr>
          <w:i/>
          <w:iCs/>
        </w:rPr>
        <w:t xml:space="preserve">Clinical cancer </w:t>
      </w:r>
      <w:proofErr w:type="gramStart"/>
      <w:r w:rsidRPr="00EF7268">
        <w:rPr>
          <w:i/>
          <w:iCs/>
        </w:rPr>
        <w:t>research :</w:t>
      </w:r>
      <w:proofErr w:type="gramEnd"/>
      <w:r w:rsidRPr="00EF7268">
        <w:rPr>
          <w:i/>
          <w:iCs/>
        </w:rPr>
        <w:t xml:space="preserve"> an official journal of the American Association for Cancer Research</w:t>
      </w:r>
      <w:r w:rsidRPr="00EF7268">
        <w:t xml:space="preserve">, </w:t>
      </w:r>
      <w:r w:rsidRPr="00EF7268">
        <w:rPr>
          <w:i/>
          <w:iCs/>
        </w:rPr>
        <w:t>24</w:t>
      </w:r>
      <w:r w:rsidRPr="00EF7268">
        <w:t xml:space="preserve">(20), 5085–5097. </w:t>
      </w:r>
      <w:hyperlink r:id="rId7" w:history="1">
        <w:r w:rsidRPr="00E242F1">
          <w:rPr>
            <w:rStyle w:val="Hyperlink"/>
          </w:rPr>
          <w:t>https://doi.org/10.1158/1078-0432.CCR-18-0873</w:t>
        </w:r>
      </w:hyperlink>
    </w:p>
    <w:p w:rsidR="00EF7268" w:rsidRPr="00E242F1" w:rsidRDefault="00EF7268" w:rsidP="00E242F1">
      <w:pPr>
        <w:spacing w:line="360" w:lineRule="auto"/>
        <w:jc w:val="both"/>
      </w:pPr>
    </w:p>
    <w:p w:rsidR="00E02874" w:rsidRPr="00E242F1" w:rsidRDefault="00B357E1" w:rsidP="00E242F1">
      <w:pPr>
        <w:spacing w:line="360" w:lineRule="auto"/>
        <w:jc w:val="both"/>
      </w:pPr>
      <w:proofErr w:type="spellStart"/>
      <w:r w:rsidRPr="00B357E1">
        <w:t>Barta</w:t>
      </w:r>
      <w:proofErr w:type="spellEnd"/>
      <w:r w:rsidRPr="00B357E1">
        <w:t xml:space="preserve">, S. K., Samuel, M. S., </w:t>
      </w:r>
      <w:proofErr w:type="spellStart"/>
      <w:r w:rsidRPr="00B357E1">
        <w:t>Xue</w:t>
      </w:r>
      <w:proofErr w:type="spellEnd"/>
      <w:r w:rsidRPr="00B357E1">
        <w:t xml:space="preserve">, X., Wang, D., Lee, J. Y., </w:t>
      </w:r>
      <w:proofErr w:type="spellStart"/>
      <w:r w:rsidRPr="00B357E1">
        <w:t>Mounier</w:t>
      </w:r>
      <w:proofErr w:type="spellEnd"/>
      <w:r w:rsidRPr="00B357E1">
        <w:t xml:space="preserve">, N., Ribera, J. M., </w:t>
      </w:r>
      <w:proofErr w:type="spellStart"/>
      <w:r w:rsidRPr="00B357E1">
        <w:t>Spina</w:t>
      </w:r>
      <w:proofErr w:type="spellEnd"/>
      <w:r w:rsidRPr="00B357E1">
        <w:t xml:space="preserve">, M., </w:t>
      </w:r>
      <w:proofErr w:type="spellStart"/>
      <w:r w:rsidRPr="00B357E1">
        <w:t>Tirelli</w:t>
      </w:r>
      <w:proofErr w:type="spellEnd"/>
      <w:r w:rsidRPr="00B357E1">
        <w:t xml:space="preserve">, U., Weiss, R., </w:t>
      </w:r>
      <w:proofErr w:type="spellStart"/>
      <w:r w:rsidRPr="00B357E1">
        <w:t>Galicier</w:t>
      </w:r>
      <w:proofErr w:type="spellEnd"/>
      <w:r w:rsidRPr="00B357E1">
        <w:t xml:space="preserve">, L., </w:t>
      </w:r>
      <w:proofErr w:type="spellStart"/>
      <w:r w:rsidRPr="00B357E1">
        <w:t>Boue</w:t>
      </w:r>
      <w:proofErr w:type="spellEnd"/>
      <w:r w:rsidRPr="00B357E1">
        <w:t xml:space="preserve">, F., Little, R. F., Dunleavy, K., Wilson, W. H., </w:t>
      </w:r>
      <w:proofErr w:type="spellStart"/>
      <w:r w:rsidRPr="00B357E1">
        <w:t>Wyen</w:t>
      </w:r>
      <w:proofErr w:type="spellEnd"/>
      <w:r w:rsidRPr="00B357E1">
        <w:t xml:space="preserve">, C., </w:t>
      </w:r>
      <w:proofErr w:type="spellStart"/>
      <w:r w:rsidRPr="00B357E1">
        <w:t>Remick</w:t>
      </w:r>
      <w:proofErr w:type="spellEnd"/>
      <w:r w:rsidRPr="00B357E1">
        <w:t xml:space="preserve">, S. C., Kaplan, L. D., Ratner, L., </w:t>
      </w:r>
      <w:proofErr w:type="spellStart"/>
      <w:r w:rsidRPr="00B357E1">
        <w:t>Noy</w:t>
      </w:r>
      <w:proofErr w:type="spellEnd"/>
      <w:r w:rsidRPr="00B357E1">
        <w:t xml:space="preserve">, A., … </w:t>
      </w:r>
      <w:proofErr w:type="spellStart"/>
      <w:r w:rsidRPr="00B357E1">
        <w:t>Sparano</w:t>
      </w:r>
      <w:proofErr w:type="spellEnd"/>
      <w:r w:rsidRPr="00B357E1">
        <w:t xml:space="preserve">, J. A. (2015). Changes in the influence of lymphoma- and HIV-specific factors on outcomes in AIDS-related non-Hodgkin lymphoma. </w:t>
      </w:r>
      <w:r w:rsidRPr="00B357E1">
        <w:rPr>
          <w:i/>
          <w:iCs/>
        </w:rPr>
        <w:t xml:space="preserve">Annals of </w:t>
      </w:r>
      <w:proofErr w:type="gramStart"/>
      <w:r w:rsidRPr="00B357E1">
        <w:rPr>
          <w:i/>
          <w:iCs/>
        </w:rPr>
        <w:t>oncology :</w:t>
      </w:r>
      <w:proofErr w:type="gramEnd"/>
      <w:r w:rsidRPr="00B357E1">
        <w:rPr>
          <w:i/>
          <w:iCs/>
        </w:rPr>
        <w:t xml:space="preserve"> official journal of the European Society for Medical Oncology</w:t>
      </w:r>
      <w:r w:rsidRPr="00B357E1">
        <w:t xml:space="preserve">, </w:t>
      </w:r>
      <w:r w:rsidRPr="00B357E1">
        <w:rPr>
          <w:i/>
          <w:iCs/>
        </w:rPr>
        <w:t>26</w:t>
      </w:r>
      <w:r w:rsidRPr="00B357E1">
        <w:t xml:space="preserve">(5), 958–966. </w:t>
      </w:r>
      <w:hyperlink r:id="rId8" w:history="1">
        <w:r w:rsidRPr="00E242F1">
          <w:rPr>
            <w:rStyle w:val="Hyperlink"/>
          </w:rPr>
          <w:t>https://doi.org/10.1093/annonc/mdv036</w:t>
        </w:r>
      </w:hyperlink>
    </w:p>
    <w:p w:rsidR="00E02874" w:rsidRPr="00E242F1" w:rsidRDefault="00E02874" w:rsidP="00E242F1">
      <w:pPr>
        <w:spacing w:line="360" w:lineRule="auto"/>
        <w:jc w:val="both"/>
      </w:pPr>
    </w:p>
    <w:p w:rsidR="00E02874" w:rsidRPr="00E02874" w:rsidRDefault="00E02874" w:rsidP="00E242F1">
      <w:pPr>
        <w:spacing w:line="360" w:lineRule="auto"/>
        <w:jc w:val="both"/>
      </w:pPr>
      <w:proofErr w:type="spellStart"/>
      <w:r w:rsidRPr="00E02874">
        <w:t>Brábek</w:t>
      </w:r>
      <w:proofErr w:type="spellEnd"/>
      <w:r w:rsidRPr="00E02874">
        <w:t xml:space="preserve">, J., </w:t>
      </w:r>
      <w:proofErr w:type="spellStart"/>
      <w:r w:rsidRPr="00E02874">
        <w:t>Jakubek</w:t>
      </w:r>
      <w:proofErr w:type="spellEnd"/>
      <w:r w:rsidRPr="00E02874">
        <w:t xml:space="preserve">, M., </w:t>
      </w:r>
      <w:proofErr w:type="spellStart"/>
      <w:r w:rsidRPr="00E02874">
        <w:t>Vellieux</w:t>
      </w:r>
      <w:proofErr w:type="spellEnd"/>
      <w:r w:rsidRPr="00E02874">
        <w:t xml:space="preserve">, F., </w:t>
      </w:r>
      <w:proofErr w:type="spellStart"/>
      <w:r w:rsidRPr="00E02874">
        <w:t>Novotný</w:t>
      </w:r>
      <w:proofErr w:type="spellEnd"/>
      <w:r w:rsidRPr="00E02874">
        <w:t xml:space="preserve">, J., </w:t>
      </w:r>
      <w:proofErr w:type="spellStart"/>
      <w:r w:rsidRPr="00E02874">
        <w:t>Kolář</w:t>
      </w:r>
      <w:proofErr w:type="spellEnd"/>
      <w:r w:rsidRPr="00E02874">
        <w:t xml:space="preserve">, M., </w:t>
      </w:r>
      <w:proofErr w:type="spellStart"/>
      <w:r w:rsidRPr="00E02874">
        <w:t>Lacina</w:t>
      </w:r>
      <w:proofErr w:type="spellEnd"/>
      <w:r w:rsidRPr="00E02874">
        <w:t xml:space="preserve">, L., </w:t>
      </w:r>
      <w:proofErr w:type="spellStart"/>
      <w:r w:rsidRPr="00E02874">
        <w:t>Szabo</w:t>
      </w:r>
      <w:proofErr w:type="spellEnd"/>
      <w:r w:rsidRPr="00E02874">
        <w:t xml:space="preserve">, P., </w:t>
      </w:r>
      <w:proofErr w:type="spellStart"/>
      <w:r w:rsidRPr="00E02874">
        <w:t>Strnadová</w:t>
      </w:r>
      <w:proofErr w:type="spellEnd"/>
      <w:r w:rsidRPr="00E02874">
        <w:t xml:space="preserve">, K., </w:t>
      </w:r>
      <w:proofErr w:type="spellStart"/>
      <w:r w:rsidRPr="00E02874">
        <w:t>Rösel</w:t>
      </w:r>
      <w:proofErr w:type="spellEnd"/>
      <w:r w:rsidRPr="00E02874">
        <w:t xml:space="preserve">, D., </w:t>
      </w:r>
      <w:proofErr w:type="spellStart"/>
      <w:r w:rsidRPr="00E02874">
        <w:t>Dvořánková</w:t>
      </w:r>
      <w:proofErr w:type="spellEnd"/>
      <w:r w:rsidRPr="00E02874">
        <w:t xml:space="preserve">, B., &amp; Smetana, K., </w:t>
      </w:r>
      <w:proofErr w:type="spellStart"/>
      <w:r w:rsidRPr="00E02874">
        <w:t>Jr</w:t>
      </w:r>
      <w:proofErr w:type="spellEnd"/>
      <w:r w:rsidRPr="00E02874">
        <w:t xml:space="preserve"> (2020). Interleukin-6: Molecule in the Intersection of Cancer, Ageing and COVID-19. </w:t>
      </w:r>
      <w:r w:rsidRPr="00E02874">
        <w:rPr>
          <w:i/>
          <w:iCs/>
        </w:rPr>
        <w:t>International journal of molecular sciences</w:t>
      </w:r>
      <w:r w:rsidRPr="00E02874">
        <w:t xml:space="preserve">, </w:t>
      </w:r>
      <w:r w:rsidRPr="00E02874">
        <w:rPr>
          <w:i/>
          <w:iCs/>
        </w:rPr>
        <w:t>21</w:t>
      </w:r>
      <w:r w:rsidRPr="00E02874">
        <w:t>(21), 7937. https://doi.org/10.3390/ijms21217937</w:t>
      </w:r>
    </w:p>
    <w:p w:rsidR="00E02874" w:rsidRPr="00E242F1" w:rsidRDefault="00E02874" w:rsidP="00E242F1">
      <w:pPr>
        <w:spacing w:line="360" w:lineRule="auto"/>
        <w:jc w:val="both"/>
      </w:pPr>
    </w:p>
    <w:p w:rsidR="00CB4167" w:rsidRPr="00E242F1" w:rsidRDefault="00CB4167" w:rsidP="00E242F1">
      <w:pPr>
        <w:spacing w:line="360" w:lineRule="auto"/>
        <w:jc w:val="both"/>
      </w:pPr>
      <w:r w:rsidRPr="00E242F1">
        <w:t xml:space="preserve">Carbone, A., </w:t>
      </w:r>
      <w:proofErr w:type="spellStart"/>
      <w:r w:rsidRPr="00E242F1">
        <w:t>Vaccher</w:t>
      </w:r>
      <w:proofErr w:type="spellEnd"/>
      <w:r w:rsidRPr="00E242F1">
        <w:t xml:space="preserve">, A. and </w:t>
      </w:r>
      <w:proofErr w:type="spellStart"/>
      <w:r w:rsidRPr="00E242F1">
        <w:t>Gloghini</w:t>
      </w:r>
      <w:proofErr w:type="spellEnd"/>
      <w:r w:rsidRPr="00E242F1">
        <w:t xml:space="preserve">, A. (2022). Hematologic cancers in individuals infected by HIV. </w:t>
      </w:r>
      <w:r w:rsidRPr="00E242F1">
        <w:rPr>
          <w:i/>
        </w:rPr>
        <w:t>Blood</w:t>
      </w:r>
      <w:r w:rsidRPr="00E242F1">
        <w:t xml:space="preserve">, </w:t>
      </w:r>
      <w:r w:rsidRPr="00E242F1">
        <w:rPr>
          <w:b/>
        </w:rPr>
        <w:t>139</w:t>
      </w:r>
      <w:r w:rsidRPr="00E242F1">
        <w:t xml:space="preserve"> (7): 995-1012.</w:t>
      </w:r>
    </w:p>
    <w:p w:rsidR="00FC00A7" w:rsidRPr="00E242F1" w:rsidRDefault="00FC00A7" w:rsidP="00E242F1">
      <w:pPr>
        <w:spacing w:line="360" w:lineRule="auto"/>
        <w:jc w:val="both"/>
      </w:pPr>
    </w:p>
    <w:p w:rsidR="00E90F4A" w:rsidRPr="00E242F1" w:rsidRDefault="00FC00A7" w:rsidP="00E242F1">
      <w:pPr>
        <w:spacing w:line="360" w:lineRule="auto"/>
        <w:jc w:val="both"/>
      </w:pPr>
      <w:proofErr w:type="spellStart"/>
      <w:r w:rsidRPr="00E242F1">
        <w:t>Cavallin</w:t>
      </w:r>
      <w:proofErr w:type="spellEnd"/>
      <w:r w:rsidRPr="00E242F1">
        <w:t xml:space="preserve">, L. E., Ma, Q., </w:t>
      </w:r>
      <w:proofErr w:type="spellStart"/>
      <w:r w:rsidRPr="00E242F1">
        <w:t>Naipauer</w:t>
      </w:r>
      <w:proofErr w:type="spellEnd"/>
      <w:r w:rsidRPr="00E242F1">
        <w:t xml:space="preserve">, J., Gupta, S., Kurian, M., </w:t>
      </w:r>
      <w:proofErr w:type="spellStart"/>
      <w:r w:rsidRPr="00E242F1">
        <w:t>Locatelli</w:t>
      </w:r>
      <w:proofErr w:type="spellEnd"/>
      <w:r w:rsidRPr="00E242F1">
        <w:t xml:space="preserve">, P., </w:t>
      </w:r>
      <w:proofErr w:type="spellStart"/>
      <w:r w:rsidRPr="00E242F1">
        <w:t>Romanelli</w:t>
      </w:r>
      <w:proofErr w:type="spellEnd"/>
      <w:r w:rsidRPr="00E242F1">
        <w:t xml:space="preserve">, P., </w:t>
      </w:r>
      <w:proofErr w:type="spellStart"/>
      <w:r w:rsidRPr="00E242F1">
        <w:t>Nadji</w:t>
      </w:r>
      <w:proofErr w:type="spellEnd"/>
      <w:r w:rsidRPr="00E242F1">
        <w:t xml:space="preserve">, M., Goldschmidt-Clermont, P. J., &amp; </w:t>
      </w:r>
      <w:proofErr w:type="spellStart"/>
      <w:r w:rsidRPr="00E242F1">
        <w:t>Mesri</w:t>
      </w:r>
      <w:proofErr w:type="spellEnd"/>
      <w:r w:rsidRPr="00E242F1">
        <w:t xml:space="preserve">, E. A. (2018). KSHV-induced ligand mediated activation of PDGF receptor-alpha drives Kaposi's </w:t>
      </w:r>
      <w:proofErr w:type="spellStart"/>
      <w:r w:rsidRPr="00E242F1">
        <w:t>sarcomagenesis</w:t>
      </w:r>
      <w:proofErr w:type="spellEnd"/>
      <w:r w:rsidRPr="00E242F1">
        <w:t xml:space="preserve">. </w:t>
      </w:r>
      <w:proofErr w:type="spellStart"/>
      <w:r w:rsidRPr="00E242F1">
        <w:rPr>
          <w:i/>
          <w:iCs/>
        </w:rPr>
        <w:t>PLoS</w:t>
      </w:r>
      <w:proofErr w:type="spellEnd"/>
      <w:r w:rsidRPr="00E242F1">
        <w:rPr>
          <w:i/>
          <w:iCs/>
        </w:rPr>
        <w:t xml:space="preserve"> pathogens</w:t>
      </w:r>
      <w:r w:rsidRPr="00E242F1">
        <w:t xml:space="preserve">, </w:t>
      </w:r>
      <w:r w:rsidRPr="00E242F1">
        <w:rPr>
          <w:i/>
          <w:iCs/>
        </w:rPr>
        <w:t>14</w:t>
      </w:r>
      <w:r w:rsidRPr="00E242F1">
        <w:t xml:space="preserve">(7), e1007175. </w:t>
      </w:r>
      <w:hyperlink r:id="rId9" w:history="1">
        <w:r w:rsidRPr="00E242F1">
          <w:rPr>
            <w:rStyle w:val="Hyperlink"/>
          </w:rPr>
          <w:t>https://doi.org/10.1371/journal.ppat.1007175</w:t>
        </w:r>
      </w:hyperlink>
    </w:p>
    <w:p w:rsidR="00E961E2" w:rsidRPr="00E242F1" w:rsidRDefault="00E961E2" w:rsidP="00E242F1">
      <w:pPr>
        <w:spacing w:line="360" w:lineRule="auto"/>
        <w:jc w:val="both"/>
      </w:pPr>
    </w:p>
    <w:p w:rsidR="006F498D" w:rsidRPr="00E242F1" w:rsidRDefault="00E961E2" w:rsidP="00E242F1">
      <w:pPr>
        <w:spacing w:line="360" w:lineRule="auto"/>
        <w:jc w:val="both"/>
      </w:pPr>
      <w:proofErr w:type="spellStart"/>
      <w:r w:rsidRPr="00E961E2">
        <w:t>Charkhchi</w:t>
      </w:r>
      <w:proofErr w:type="spellEnd"/>
      <w:r w:rsidRPr="00E961E2">
        <w:t xml:space="preserve">, P., </w:t>
      </w:r>
      <w:proofErr w:type="spellStart"/>
      <w:r w:rsidRPr="00E961E2">
        <w:t>Cybulski</w:t>
      </w:r>
      <w:proofErr w:type="spellEnd"/>
      <w:r w:rsidRPr="00E961E2">
        <w:t xml:space="preserve">, C., </w:t>
      </w:r>
      <w:proofErr w:type="spellStart"/>
      <w:r w:rsidRPr="00E961E2">
        <w:t>Gronwald</w:t>
      </w:r>
      <w:proofErr w:type="spellEnd"/>
      <w:r w:rsidRPr="00E961E2">
        <w:t xml:space="preserve">, J., Wong, F. O., </w:t>
      </w:r>
      <w:proofErr w:type="spellStart"/>
      <w:r w:rsidRPr="00E961E2">
        <w:t>Narod</w:t>
      </w:r>
      <w:proofErr w:type="spellEnd"/>
      <w:r w:rsidRPr="00E961E2">
        <w:t xml:space="preserve">, S. A., &amp; </w:t>
      </w:r>
      <w:proofErr w:type="spellStart"/>
      <w:r w:rsidRPr="00E961E2">
        <w:t>Akbari</w:t>
      </w:r>
      <w:proofErr w:type="spellEnd"/>
      <w:r w:rsidRPr="00E961E2">
        <w:t xml:space="preserve">, M. R. (2020). CA125 and Ovarian Cancer: A Comprehensive Review. </w:t>
      </w:r>
      <w:r w:rsidRPr="00E961E2">
        <w:rPr>
          <w:i/>
          <w:iCs/>
        </w:rPr>
        <w:t>Cancers</w:t>
      </w:r>
      <w:r w:rsidRPr="00E961E2">
        <w:t xml:space="preserve">, </w:t>
      </w:r>
      <w:r w:rsidRPr="00E961E2">
        <w:rPr>
          <w:i/>
          <w:iCs/>
        </w:rPr>
        <w:t>12</w:t>
      </w:r>
      <w:r w:rsidRPr="00E961E2">
        <w:t xml:space="preserve">(12), 3730. </w:t>
      </w:r>
      <w:hyperlink r:id="rId10" w:history="1">
        <w:r w:rsidRPr="00E242F1">
          <w:rPr>
            <w:rStyle w:val="Hyperlink"/>
          </w:rPr>
          <w:t>https://doi.org/10.3390/cancers12123730</w:t>
        </w:r>
      </w:hyperlink>
    </w:p>
    <w:p w:rsidR="00E961E2" w:rsidRPr="00E242F1" w:rsidRDefault="00E961E2" w:rsidP="00E242F1">
      <w:pPr>
        <w:spacing w:line="360" w:lineRule="auto"/>
        <w:jc w:val="both"/>
      </w:pPr>
    </w:p>
    <w:p w:rsidR="006F498D" w:rsidRPr="00E242F1" w:rsidRDefault="006F498D" w:rsidP="00E242F1">
      <w:pPr>
        <w:spacing w:line="360" w:lineRule="auto"/>
        <w:jc w:val="both"/>
      </w:pPr>
      <w:proofErr w:type="spellStart"/>
      <w:r w:rsidRPr="006F498D">
        <w:lastRenderedPageBreak/>
        <w:t>Chulpanova</w:t>
      </w:r>
      <w:proofErr w:type="spellEnd"/>
      <w:r w:rsidRPr="006F498D">
        <w:t xml:space="preserve">, D. S., </w:t>
      </w:r>
      <w:proofErr w:type="spellStart"/>
      <w:r w:rsidRPr="006F498D">
        <w:t>Kitaeva</w:t>
      </w:r>
      <w:proofErr w:type="spellEnd"/>
      <w:r w:rsidRPr="006F498D">
        <w:t xml:space="preserve">, K. V., Green, A. R., </w:t>
      </w:r>
      <w:proofErr w:type="spellStart"/>
      <w:r w:rsidRPr="006F498D">
        <w:t>Rizvanov</w:t>
      </w:r>
      <w:proofErr w:type="spellEnd"/>
      <w:r w:rsidRPr="006F498D">
        <w:t xml:space="preserve">, A. A., &amp; </w:t>
      </w:r>
      <w:proofErr w:type="spellStart"/>
      <w:r w:rsidRPr="006F498D">
        <w:t>Solovyeva</w:t>
      </w:r>
      <w:proofErr w:type="spellEnd"/>
      <w:r w:rsidRPr="006F498D">
        <w:t xml:space="preserve">, V. V. (2020). Molecular Aspects and Future Perspectives of Cytokine-Based Anti-cancer Immunotherapy. </w:t>
      </w:r>
      <w:r w:rsidRPr="006F498D">
        <w:rPr>
          <w:i/>
          <w:iCs/>
        </w:rPr>
        <w:t>Frontiers in cell and developmental biology</w:t>
      </w:r>
      <w:r w:rsidRPr="006F498D">
        <w:t xml:space="preserve">, </w:t>
      </w:r>
      <w:r w:rsidRPr="006F498D">
        <w:rPr>
          <w:i/>
          <w:iCs/>
        </w:rPr>
        <w:t>8</w:t>
      </w:r>
      <w:r w:rsidRPr="006F498D">
        <w:t xml:space="preserve">, 402. </w:t>
      </w:r>
      <w:hyperlink r:id="rId11" w:history="1">
        <w:r w:rsidRPr="00E242F1">
          <w:rPr>
            <w:rStyle w:val="Hyperlink"/>
          </w:rPr>
          <w:t>https://doi.org/10.3389/fcell.2020.00402</w:t>
        </w:r>
      </w:hyperlink>
    </w:p>
    <w:p w:rsidR="006F498D" w:rsidRPr="00E242F1" w:rsidRDefault="006F498D" w:rsidP="00E242F1">
      <w:pPr>
        <w:spacing w:line="360" w:lineRule="auto"/>
        <w:jc w:val="both"/>
      </w:pPr>
    </w:p>
    <w:p w:rsidR="006F498D" w:rsidRPr="006F498D" w:rsidRDefault="006F498D" w:rsidP="00E242F1">
      <w:pPr>
        <w:spacing w:line="360" w:lineRule="auto"/>
        <w:jc w:val="both"/>
      </w:pPr>
      <w:r w:rsidRPr="006F498D">
        <w:t xml:space="preserve">Coquet, J. M., </w:t>
      </w:r>
      <w:proofErr w:type="spellStart"/>
      <w:r w:rsidRPr="006F498D">
        <w:t>Skak</w:t>
      </w:r>
      <w:proofErr w:type="spellEnd"/>
      <w:r w:rsidRPr="006F498D">
        <w:t xml:space="preserve">, K., Davis, I. D., Smyth, M. J., &amp; Godfrey, D. I. (2013). IL-21 Modulates Activation of NKT Cells in Patients with Stage IV Malignant Melanoma. </w:t>
      </w:r>
      <w:r w:rsidRPr="006F498D">
        <w:rPr>
          <w:i/>
          <w:iCs/>
        </w:rPr>
        <w:t>Clinical &amp; translational immunology</w:t>
      </w:r>
      <w:r w:rsidRPr="006F498D">
        <w:t xml:space="preserve">, </w:t>
      </w:r>
      <w:r w:rsidRPr="006F498D">
        <w:rPr>
          <w:i/>
          <w:iCs/>
        </w:rPr>
        <w:t>2</w:t>
      </w:r>
      <w:r w:rsidRPr="006F498D">
        <w:t>(10), e6. https://doi.org/10.1038/cti.2013.7</w:t>
      </w:r>
    </w:p>
    <w:p w:rsidR="00FC00A7" w:rsidRPr="00E242F1" w:rsidRDefault="00FC00A7" w:rsidP="00E242F1">
      <w:pPr>
        <w:spacing w:line="360" w:lineRule="auto"/>
        <w:jc w:val="both"/>
      </w:pPr>
    </w:p>
    <w:p w:rsidR="00D049ED" w:rsidRPr="00E242F1" w:rsidRDefault="00D049ED" w:rsidP="00E242F1">
      <w:pPr>
        <w:spacing w:line="360" w:lineRule="auto"/>
        <w:jc w:val="both"/>
      </w:pPr>
      <w:proofErr w:type="spellStart"/>
      <w:r w:rsidRPr="00E242F1">
        <w:t>Flepisi</w:t>
      </w:r>
      <w:proofErr w:type="spellEnd"/>
      <w:r w:rsidRPr="00E242F1">
        <w:t xml:space="preserve">, B. T., </w:t>
      </w:r>
      <w:proofErr w:type="spellStart"/>
      <w:r w:rsidRPr="00E242F1">
        <w:t>Bouic</w:t>
      </w:r>
      <w:proofErr w:type="spellEnd"/>
      <w:r w:rsidRPr="00E242F1">
        <w:t xml:space="preserve">, P., </w:t>
      </w:r>
      <w:proofErr w:type="spellStart"/>
      <w:r w:rsidRPr="00E242F1">
        <w:t>Sissolak</w:t>
      </w:r>
      <w:proofErr w:type="spellEnd"/>
      <w:r w:rsidRPr="00E242F1">
        <w:t xml:space="preserve">, G., &amp; </w:t>
      </w:r>
      <w:proofErr w:type="spellStart"/>
      <w:r w:rsidRPr="00E242F1">
        <w:t>Rosenkranz</w:t>
      </w:r>
      <w:proofErr w:type="spellEnd"/>
      <w:r w:rsidRPr="00E242F1">
        <w:t xml:space="preserve">, B. (2014). Biomarkers of HIV-associated Cancer. </w:t>
      </w:r>
      <w:r w:rsidRPr="00E242F1">
        <w:rPr>
          <w:i/>
          <w:iCs/>
        </w:rPr>
        <w:t>Biomarkers in cancer</w:t>
      </w:r>
      <w:r w:rsidRPr="00E242F1">
        <w:t xml:space="preserve">, </w:t>
      </w:r>
      <w:r w:rsidRPr="00E242F1">
        <w:rPr>
          <w:i/>
          <w:iCs/>
        </w:rPr>
        <w:t>6</w:t>
      </w:r>
      <w:r w:rsidRPr="00E242F1">
        <w:t xml:space="preserve">, 11–20. </w:t>
      </w:r>
      <w:hyperlink r:id="rId12" w:history="1">
        <w:r w:rsidRPr="00E242F1">
          <w:rPr>
            <w:rStyle w:val="Hyperlink"/>
          </w:rPr>
          <w:t>https://doi.org/10.4137/BIC.S15056</w:t>
        </w:r>
      </w:hyperlink>
    </w:p>
    <w:p w:rsidR="00D049ED" w:rsidRPr="00E242F1" w:rsidRDefault="00D049ED" w:rsidP="00E242F1">
      <w:pPr>
        <w:spacing w:line="360" w:lineRule="auto"/>
        <w:jc w:val="both"/>
      </w:pPr>
    </w:p>
    <w:p w:rsidR="00B357E1" w:rsidRPr="00E242F1" w:rsidRDefault="00E90F4A" w:rsidP="00E242F1">
      <w:pPr>
        <w:spacing w:line="360" w:lineRule="auto"/>
        <w:jc w:val="both"/>
      </w:pPr>
      <w:proofErr w:type="spellStart"/>
      <w:r w:rsidRPr="00E90F4A">
        <w:t>Gagliardi</w:t>
      </w:r>
      <w:proofErr w:type="spellEnd"/>
      <w:r w:rsidRPr="00E90F4A">
        <w:t xml:space="preserve">, A., Porter, V. L., </w:t>
      </w:r>
      <w:proofErr w:type="spellStart"/>
      <w:r w:rsidRPr="00E90F4A">
        <w:t>Zong</w:t>
      </w:r>
      <w:proofErr w:type="spellEnd"/>
      <w:r w:rsidRPr="00E90F4A">
        <w:t xml:space="preserve">, Z., Bowlby, R., </w:t>
      </w:r>
      <w:proofErr w:type="spellStart"/>
      <w:r w:rsidRPr="00E90F4A">
        <w:t>Titmuss</w:t>
      </w:r>
      <w:proofErr w:type="spellEnd"/>
      <w:r w:rsidRPr="00E90F4A">
        <w:t xml:space="preserve">, E., </w:t>
      </w:r>
      <w:proofErr w:type="spellStart"/>
      <w:r w:rsidRPr="00E90F4A">
        <w:t>Namirembe</w:t>
      </w:r>
      <w:proofErr w:type="spellEnd"/>
      <w:r w:rsidRPr="00E90F4A">
        <w:t xml:space="preserve">, C., </w:t>
      </w:r>
      <w:proofErr w:type="spellStart"/>
      <w:r w:rsidRPr="00E90F4A">
        <w:t>Griner</w:t>
      </w:r>
      <w:proofErr w:type="spellEnd"/>
      <w:r w:rsidRPr="00E90F4A">
        <w:t xml:space="preserve">, N. B., </w:t>
      </w:r>
      <w:proofErr w:type="spellStart"/>
      <w:r w:rsidRPr="00E90F4A">
        <w:t>Petrello</w:t>
      </w:r>
      <w:proofErr w:type="spellEnd"/>
      <w:r w:rsidRPr="00E90F4A">
        <w:t xml:space="preserve">, H., Bowen, J., Chan, S. K., </w:t>
      </w:r>
      <w:proofErr w:type="spellStart"/>
      <w:r w:rsidRPr="00E90F4A">
        <w:t>Culibrk</w:t>
      </w:r>
      <w:proofErr w:type="spellEnd"/>
      <w:r w:rsidRPr="00E90F4A">
        <w:t xml:space="preserve">, L., </w:t>
      </w:r>
      <w:proofErr w:type="spellStart"/>
      <w:r w:rsidRPr="00E90F4A">
        <w:t>Darragh</w:t>
      </w:r>
      <w:proofErr w:type="spellEnd"/>
      <w:r w:rsidRPr="00E90F4A">
        <w:t xml:space="preserve">, T. M., </w:t>
      </w:r>
      <w:proofErr w:type="spellStart"/>
      <w:r w:rsidRPr="00E90F4A">
        <w:t>Stoler</w:t>
      </w:r>
      <w:proofErr w:type="spellEnd"/>
      <w:r w:rsidRPr="00E90F4A">
        <w:t xml:space="preserve">, M. H., Wright, T. C., </w:t>
      </w:r>
      <w:proofErr w:type="spellStart"/>
      <w:r w:rsidRPr="00E90F4A">
        <w:t>Gesuwan</w:t>
      </w:r>
      <w:proofErr w:type="spellEnd"/>
      <w:r w:rsidRPr="00E90F4A">
        <w:t xml:space="preserve">, P., Dyer, M. A., Ma, Y., </w:t>
      </w:r>
      <w:proofErr w:type="spellStart"/>
      <w:r w:rsidRPr="00E90F4A">
        <w:t>Mungall</w:t>
      </w:r>
      <w:proofErr w:type="spellEnd"/>
      <w:r w:rsidRPr="00E90F4A">
        <w:t xml:space="preserve">, K. L., Jones, S. J. M., </w:t>
      </w:r>
      <w:proofErr w:type="spellStart"/>
      <w:r w:rsidRPr="00E90F4A">
        <w:t>Nakisige</w:t>
      </w:r>
      <w:proofErr w:type="spellEnd"/>
      <w:r w:rsidRPr="00E90F4A">
        <w:t xml:space="preserve">, C., … </w:t>
      </w:r>
      <w:proofErr w:type="spellStart"/>
      <w:r w:rsidRPr="00E90F4A">
        <w:t>Marra</w:t>
      </w:r>
      <w:proofErr w:type="spellEnd"/>
      <w:r w:rsidRPr="00E90F4A">
        <w:t xml:space="preserve">, M. A. (2020). Analysis of Ugandan cervical carcinomas identifies human papillomavirus clade-specific </w:t>
      </w:r>
      <w:proofErr w:type="spellStart"/>
      <w:r w:rsidRPr="00E90F4A">
        <w:t>epigenome</w:t>
      </w:r>
      <w:proofErr w:type="spellEnd"/>
      <w:r w:rsidRPr="00E90F4A">
        <w:t xml:space="preserve"> and </w:t>
      </w:r>
      <w:proofErr w:type="spellStart"/>
      <w:r w:rsidRPr="00E90F4A">
        <w:t>transcriptome</w:t>
      </w:r>
      <w:proofErr w:type="spellEnd"/>
      <w:r w:rsidRPr="00E90F4A">
        <w:t xml:space="preserve"> landscapes. </w:t>
      </w:r>
      <w:r w:rsidRPr="00E90F4A">
        <w:rPr>
          <w:i/>
          <w:iCs/>
        </w:rPr>
        <w:t>Nature genetics</w:t>
      </w:r>
      <w:r w:rsidRPr="00E90F4A">
        <w:t xml:space="preserve">, </w:t>
      </w:r>
      <w:r w:rsidRPr="00E90F4A">
        <w:rPr>
          <w:i/>
          <w:iCs/>
        </w:rPr>
        <w:t>52</w:t>
      </w:r>
      <w:r w:rsidRPr="00E90F4A">
        <w:t xml:space="preserve">(8), 800–810. </w:t>
      </w:r>
      <w:hyperlink r:id="rId13" w:history="1">
        <w:r w:rsidRPr="00E242F1">
          <w:rPr>
            <w:rStyle w:val="Hyperlink"/>
          </w:rPr>
          <w:t>https://doi.org/10.1038/s41588-020-0673-7</w:t>
        </w:r>
      </w:hyperlink>
    </w:p>
    <w:p w:rsidR="00954805" w:rsidRPr="00E242F1" w:rsidRDefault="00954805" w:rsidP="00E242F1">
      <w:pPr>
        <w:spacing w:line="360" w:lineRule="auto"/>
        <w:jc w:val="both"/>
      </w:pPr>
    </w:p>
    <w:p w:rsidR="00954805" w:rsidRPr="00E242F1" w:rsidRDefault="00954805" w:rsidP="00E242F1">
      <w:pPr>
        <w:spacing w:line="360" w:lineRule="auto"/>
        <w:jc w:val="both"/>
      </w:pPr>
      <w:proofErr w:type="spellStart"/>
      <w:r w:rsidRPr="00954805">
        <w:t>Goulet</w:t>
      </w:r>
      <w:proofErr w:type="spellEnd"/>
      <w:r w:rsidRPr="00954805">
        <w:t xml:space="preserve">, C. R., Champagne, A., Bernard, G., Vandal, D., </w:t>
      </w:r>
      <w:proofErr w:type="spellStart"/>
      <w:r w:rsidRPr="00954805">
        <w:t>Chabaud</w:t>
      </w:r>
      <w:proofErr w:type="spellEnd"/>
      <w:r w:rsidRPr="00954805">
        <w:t xml:space="preserve">, S., </w:t>
      </w:r>
      <w:proofErr w:type="spellStart"/>
      <w:r w:rsidRPr="00954805">
        <w:t>Pouliot</w:t>
      </w:r>
      <w:proofErr w:type="spellEnd"/>
      <w:r w:rsidRPr="00954805">
        <w:t>, F., &amp; Bolduc, S. (2019). Cancer-associated fibroblasts induce epithelial-</w:t>
      </w:r>
      <w:proofErr w:type="spellStart"/>
      <w:r w:rsidRPr="00954805">
        <w:t>mesenchymal</w:t>
      </w:r>
      <w:proofErr w:type="spellEnd"/>
      <w:r w:rsidRPr="00954805">
        <w:t xml:space="preserve"> transition of bladder cancer cells through paracrine IL-6 </w:t>
      </w:r>
      <w:proofErr w:type="spellStart"/>
      <w:r w:rsidRPr="00954805">
        <w:t>signalling</w:t>
      </w:r>
      <w:proofErr w:type="spellEnd"/>
      <w:r w:rsidRPr="00954805">
        <w:t xml:space="preserve">. </w:t>
      </w:r>
      <w:r w:rsidRPr="00954805">
        <w:rPr>
          <w:i/>
          <w:iCs/>
        </w:rPr>
        <w:t>BMC cancer</w:t>
      </w:r>
      <w:r w:rsidRPr="00954805">
        <w:t xml:space="preserve">, </w:t>
      </w:r>
      <w:r w:rsidRPr="00954805">
        <w:rPr>
          <w:i/>
          <w:iCs/>
        </w:rPr>
        <w:t>19</w:t>
      </w:r>
      <w:r w:rsidRPr="00954805">
        <w:t>(1), 137. https://doi.org/10.1186/s12885-019-5353-6</w:t>
      </w:r>
    </w:p>
    <w:p w:rsidR="00174437" w:rsidRPr="00E242F1" w:rsidRDefault="00174437" w:rsidP="00E242F1">
      <w:pPr>
        <w:spacing w:line="360" w:lineRule="auto"/>
        <w:jc w:val="both"/>
      </w:pPr>
    </w:p>
    <w:p w:rsidR="00174437" w:rsidRPr="00E242F1" w:rsidRDefault="00174437" w:rsidP="00E242F1">
      <w:pPr>
        <w:spacing w:line="360" w:lineRule="auto"/>
        <w:jc w:val="both"/>
      </w:pPr>
      <w:r w:rsidRPr="00E242F1">
        <w:t xml:space="preserve">Gupta, </w:t>
      </w:r>
      <w:r w:rsidR="00452114" w:rsidRPr="00E242F1">
        <w:t xml:space="preserve">I., </w:t>
      </w:r>
      <w:r w:rsidRPr="00E242F1">
        <w:t xml:space="preserve">Hussein, </w:t>
      </w:r>
      <w:r w:rsidR="00452114" w:rsidRPr="00E242F1">
        <w:t xml:space="preserve">O., </w:t>
      </w:r>
      <w:proofErr w:type="spellStart"/>
      <w:r w:rsidRPr="00E242F1">
        <w:t>Sastry</w:t>
      </w:r>
      <w:proofErr w:type="spellEnd"/>
      <w:r w:rsidRPr="00E242F1">
        <w:t xml:space="preserve">, </w:t>
      </w:r>
      <w:r w:rsidR="00452114" w:rsidRPr="00E242F1">
        <w:t xml:space="preserve">K. S., </w:t>
      </w:r>
      <w:proofErr w:type="spellStart"/>
      <w:r w:rsidRPr="00E242F1">
        <w:t>Bougarn</w:t>
      </w:r>
      <w:proofErr w:type="spellEnd"/>
      <w:r w:rsidRPr="00E242F1">
        <w:t xml:space="preserve">, </w:t>
      </w:r>
      <w:r w:rsidR="00452114" w:rsidRPr="00E242F1">
        <w:t xml:space="preserve">B., </w:t>
      </w:r>
      <w:proofErr w:type="spellStart"/>
      <w:r w:rsidRPr="00E242F1">
        <w:t>Gopinath</w:t>
      </w:r>
      <w:proofErr w:type="spellEnd"/>
      <w:r w:rsidRPr="00E242F1">
        <w:t xml:space="preserve">, </w:t>
      </w:r>
      <w:r w:rsidR="00452114" w:rsidRPr="00E242F1">
        <w:t xml:space="preserve">N., </w:t>
      </w:r>
      <w:r w:rsidRPr="00E242F1">
        <w:t xml:space="preserve">Chin-Smith, </w:t>
      </w:r>
      <w:r w:rsidR="00452114" w:rsidRPr="00E242F1">
        <w:t xml:space="preserve">E., </w:t>
      </w:r>
      <w:r w:rsidRPr="00E242F1">
        <w:t xml:space="preserve">Sinha, </w:t>
      </w:r>
      <w:r w:rsidR="00452114" w:rsidRPr="00E242F1">
        <w:t xml:space="preserve">Y., </w:t>
      </w:r>
      <w:proofErr w:type="spellStart"/>
      <w:r w:rsidRPr="00E242F1">
        <w:t>Korashy</w:t>
      </w:r>
      <w:proofErr w:type="spellEnd"/>
      <w:r w:rsidRPr="00E242F1">
        <w:t xml:space="preserve">, </w:t>
      </w:r>
      <w:r w:rsidR="00452114" w:rsidRPr="00E242F1">
        <w:t xml:space="preserve">H. M. and </w:t>
      </w:r>
      <w:proofErr w:type="spellStart"/>
      <w:r w:rsidRPr="00E242F1">
        <w:t>Maccalli</w:t>
      </w:r>
      <w:proofErr w:type="spellEnd"/>
      <w:r w:rsidR="00452114" w:rsidRPr="00E242F1">
        <w:t>, C. (</w:t>
      </w:r>
      <w:r w:rsidR="00452114" w:rsidRPr="00E242F1">
        <w:t>2023</w:t>
      </w:r>
      <w:r w:rsidR="00452114" w:rsidRPr="00E242F1">
        <w:t xml:space="preserve">). </w:t>
      </w:r>
      <w:r w:rsidRPr="00E242F1">
        <w:t>Deciphering the complexities of cancer cell immune evasion: Mechanism</w:t>
      </w:r>
      <w:r w:rsidR="00452114" w:rsidRPr="00E242F1">
        <w:t xml:space="preserve">s and therapeutic implications, </w:t>
      </w:r>
      <w:r w:rsidRPr="00E242F1">
        <w:rPr>
          <w:i/>
        </w:rPr>
        <w:t>Advances in Cancer Biology - Metastasis</w:t>
      </w:r>
      <w:r w:rsidRPr="00E242F1">
        <w:t>,</w:t>
      </w:r>
    </w:p>
    <w:p w:rsidR="00174437" w:rsidRPr="00E242F1" w:rsidRDefault="00452114" w:rsidP="00E242F1">
      <w:pPr>
        <w:spacing w:line="360" w:lineRule="auto"/>
        <w:jc w:val="both"/>
      </w:pPr>
      <w:r w:rsidRPr="00E242F1">
        <w:t xml:space="preserve">8, 100107, ISSN 2667-3940, </w:t>
      </w:r>
      <w:r w:rsidR="00174437" w:rsidRPr="00E242F1">
        <w:t>https://doi.org/10.1016/j.adcanc.2023.100107.</w:t>
      </w:r>
    </w:p>
    <w:p w:rsidR="00CB4167" w:rsidRPr="00E242F1" w:rsidRDefault="00CB4167" w:rsidP="00E242F1">
      <w:pPr>
        <w:spacing w:line="360" w:lineRule="auto"/>
        <w:jc w:val="both"/>
      </w:pPr>
    </w:p>
    <w:p w:rsidR="00CB4167" w:rsidRPr="00E242F1" w:rsidRDefault="00CB4167" w:rsidP="00E242F1">
      <w:pPr>
        <w:spacing w:line="360" w:lineRule="auto"/>
        <w:jc w:val="both"/>
      </w:pPr>
      <w:proofErr w:type="spellStart"/>
      <w:r w:rsidRPr="00E242F1">
        <w:t>Ifeanyichukwu</w:t>
      </w:r>
      <w:proofErr w:type="spellEnd"/>
      <w:r w:rsidRPr="00E242F1">
        <w:t xml:space="preserve">, M., </w:t>
      </w:r>
      <w:proofErr w:type="spellStart"/>
      <w:r w:rsidRPr="00E242F1">
        <w:t>Onyenekwe</w:t>
      </w:r>
      <w:proofErr w:type="spellEnd"/>
      <w:r w:rsidRPr="00E242F1">
        <w:t xml:space="preserve">, C.C., </w:t>
      </w:r>
      <w:proofErr w:type="spellStart"/>
      <w:proofErr w:type="gramStart"/>
      <w:r w:rsidRPr="00E242F1">
        <w:t>Ele</w:t>
      </w:r>
      <w:proofErr w:type="spellEnd"/>
      <w:r w:rsidRPr="00E242F1">
        <w:t xml:space="preserve"> ,</w:t>
      </w:r>
      <w:proofErr w:type="gramEnd"/>
      <w:r w:rsidRPr="00E242F1">
        <w:t xml:space="preserve"> P.U., </w:t>
      </w:r>
      <w:proofErr w:type="spellStart"/>
      <w:r w:rsidRPr="00E242F1">
        <w:t>Ukibe</w:t>
      </w:r>
      <w:proofErr w:type="spellEnd"/>
      <w:r w:rsidRPr="00E242F1">
        <w:t xml:space="preserve">, N.K., </w:t>
      </w:r>
      <w:proofErr w:type="spellStart"/>
      <w:r w:rsidRPr="00E242F1">
        <w:t>Meludu</w:t>
      </w:r>
      <w:proofErr w:type="spellEnd"/>
      <w:r w:rsidRPr="00E242F1">
        <w:t xml:space="preserve">, S.C., </w:t>
      </w:r>
      <w:proofErr w:type="spellStart"/>
      <w:r w:rsidRPr="00E242F1">
        <w:t>Ezeani</w:t>
      </w:r>
      <w:proofErr w:type="spellEnd"/>
      <w:r w:rsidRPr="00E242F1">
        <w:t xml:space="preserve"> , M.C., </w:t>
      </w:r>
      <w:proofErr w:type="spellStart"/>
      <w:r w:rsidRPr="00E242F1">
        <w:t>Ezechukwu</w:t>
      </w:r>
      <w:proofErr w:type="spellEnd"/>
      <w:r w:rsidRPr="00E242F1">
        <w:t xml:space="preserve">, C.C., </w:t>
      </w:r>
      <w:proofErr w:type="spellStart"/>
      <w:r w:rsidRPr="00E242F1">
        <w:t>Amilo</w:t>
      </w:r>
      <w:proofErr w:type="spellEnd"/>
      <w:r w:rsidRPr="00E242F1">
        <w:t xml:space="preserve">, G.I.  </w:t>
      </w:r>
      <w:proofErr w:type="gramStart"/>
      <w:r w:rsidRPr="00E242F1">
        <w:t>and</w:t>
      </w:r>
      <w:proofErr w:type="gramEnd"/>
      <w:r w:rsidRPr="00E242F1">
        <w:t xml:space="preserve"> </w:t>
      </w:r>
      <w:proofErr w:type="spellStart"/>
      <w:r w:rsidRPr="00E242F1">
        <w:t>Umeanaeto</w:t>
      </w:r>
      <w:proofErr w:type="spellEnd"/>
      <w:r w:rsidRPr="00E242F1">
        <w:t xml:space="preserve">, P.U.  (2011). Evaluation of some cellular immune index in HIV infected participants. </w:t>
      </w:r>
      <w:r w:rsidRPr="00E242F1">
        <w:rPr>
          <w:i/>
        </w:rPr>
        <w:t>International Journal of Biological and Chemical Sciences,</w:t>
      </w:r>
      <w:r w:rsidRPr="00E242F1">
        <w:t xml:space="preserve"> </w:t>
      </w:r>
      <w:r w:rsidRPr="00E242F1">
        <w:rPr>
          <w:b/>
        </w:rPr>
        <w:t>5</w:t>
      </w:r>
      <w:r w:rsidRPr="00E242F1">
        <w:t xml:space="preserve"> (3): 1310-1315.</w:t>
      </w:r>
    </w:p>
    <w:p w:rsidR="00CB4167" w:rsidRPr="00E242F1" w:rsidRDefault="00CB4167" w:rsidP="00E242F1">
      <w:pPr>
        <w:spacing w:line="360" w:lineRule="auto"/>
        <w:jc w:val="both"/>
      </w:pPr>
    </w:p>
    <w:p w:rsidR="00B82C78" w:rsidRPr="00E242F1" w:rsidRDefault="00B82C78" w:rsidP="00E242F1">
      <w:pPr>
        <w:spacing w:line="360" w:lineRule="auto"/>
        <w:jc w:val="both"/>
      </w:pPr>
      <w:proofErr w:type="spellStart"/>
      <w:r w:rsidRPr="00B82C78">
        <w:lastRenderedPageBreak/>
        <w:t>Kays</w:t>
      </w:r>
      <w:proofErr w:type="spellEnd"/>
      <w:r w:rsidRPr="00B82C78">
        <w:t xml:space="preserve">, J. K., </w:t>
      </w:r>
      <w:proofErr w:type="spellStart"/>
      <w:r w:rsidRPr="00B82C78">
        <w:t>Koniaris</w:t>
      </w:r>
      <w:proofErr w:type="spellEnd"/>
      <w:r w:rsidRPr="00B82C78">
        <w:t xml:space="preserve">, L. G., Cooper, C. A., </w:t>
      </w:r>
      <w:proofErr w:type="spellStart"/>
      <w:r w:rsidRPr="00B82C78">
        <w:t>Pili</w:t>
      </w:r>
      <w:proofErr w:type="spellEnd"/>
      <w:r w:rsidRPr="00B82C78">
        <w:t xml:space="preserve">, R., Jiang, G., Liu, Y., &amp; </w:t>
      </w:r>
      <w:proofErr w:type="spellStart"/>
      <w:r w:rsidRPr="00B82C78">
        <w:t>Zimmers</w:t>
      </w:r>
      <w:proofErr w:type="spellEnd"/>
      <w:r w:rsidRPr="00B82C78">
        <w:t xml:space="preserve">, T. A. (2020). The Combination of Low Skeletal Muscle Mass and High Tumor Interleukin-6 Associates with Decreased Survival in Clear Cell Renal Cell Carcinoma. </w:t>
      </w:r>
      <w:r w:rsidRPr="00B82C78">
        <w:rPr>
          <w:i/>
          <w:iCs/>
        </w:rPr>
        <w:t>Cancers</w:t>
      </w:r>
      <w:r w:rsidRPr="00B82C78">
        <w:t xml:space="preserve">, </w:t>
      </w:r>
      <w:r w:rsidRPr="00B82C78">
        <w:rPr>
          <w:i/>
          <w:iCs/>
        </w:rPr>
        <w:t>12</w:t>
      </w:r>
      <w:r w:rsidRPr="00B82C78">
        <w:t xml:space="preserve">(6), 1605. </w:t>
      </w:r>
      <w:hyperlink r:id="rId14" w:history="1">
        <w:r w:rsidRPr="00E242F1">
          <w:rPr>
            <w:rStyle w:val="Hyperlink"/>
          </w:rPr>
          <w:t>https://doi.org/10.3390/cancers12061605</w:t>
        </w:r>
      </w:hyperlink>
    </w:p>
    <w:p w:rsidR="00B82C78" w:rsidRPr="00B82C78" w:rsidRDefault="00B82C78" w:rsidP="00E242F1">
      <w:pPr>
        <w:spacing w:line="360" w:lineRule="auto"/>
        <w:jc w:val="both"/>
      </w:pPr>
      <w:r w:rsidRPr="00B82C78">
        <w:t xml:space="preserve">Keaton, S. A., </w:t>
      </w:r>
      <w:proofErr w:type="spellStart"/>
      <w:r w:rsidRPr="00B82C78">
        <w:t>Madaj</w:t>
      </w:r>
      <w:proofErr w:type="spellEnd"/>
      <w:r w:rsidRPr="00B82C78">
        <w:t xml:space="preserve">, Z. B., </w:t>
      </w:r>
      <w:proofErr w:type="spellStart"/>
      <w:r w:rsidRPr="00B82C78">
        <w:t>Heilman</w:t>
      </w:r>
      <w:proofErr w:type="spellEnd"/>
      <w:r w:rsidRPr="00B82C78">
        <w:t xml:space="preserve">, P., Smart, L., Grit, J., Gibbons, R., </w:t>
      </w:r>
      <w:proofErr w:type="spellStart"/>
      <w:r w:rsidRPr="00B82C78">
        <w:t>Postolache</w:t>
      </w:r>
      <w:proofErr w:type="spellEnd"/>
      <w:r w:rsidRPr="00B82C78">
        <w:t xml:space="preserve">, T. T., </w:t>
      </w:r>
      <w:proofErr w:type="spellStart"/>
      <w:r w:rsidRPr="00B82C78">
        <w:t>Roaten</w:t>
      </w:r>
      <w:proofErr w:type="spellEnd"/>
      <w:r w:rsidRPr="00B82C78">
        <w:t xml:space="preserve">, K., </w:t>
      </w:r>
      <w:proofErr w:type="spellStart"/>
      <w:r w:rsidRPr="00B82C78">
        <w:t>Achtyes</w:t>
      </w:r>
      <w:proofErr w:type="spellEnd"/>
      <w:r w:rsidRPr="00B82C78">
        <w:t xml:space="preserve">, E. D., &amp; </w:t>
      </w:r>
      <w:proofErr w:type="spellStart"/>
      <w:r w:rsidRPr="00B82C78">
        <w:t>Brundin</w:t>
      </w:r>
      <w:proofErr w:type="spellEnd"/>
      <w:r w:rsidRPr="00B82C78">
        <w:t xml:space="preserve">, L. (2019). An inflammatory profile linked to increased suicide risk. </w:t>
      </w:r>
      <w:r w:rsidRPr="00B82C78">
        <w:rPr>
          <w:i/>
          <w:iCs/>
        </w:rPr>
        <w:t>Journal of affective disorders</w:t>
      </w:r>
      <w:r w:rsidRPr="00B82C78">
        <w:t xml:space="preserve">, </w:t>
      </w:r>
      <w:r w:rsidRPr="00B82C78">
        <w:rPr>
          <w:i/>
          <w:iCs/>
        </w:rPr>
        <w:t>247</w:t>
      </w:r>
      <w:r w:rsidRPr="00B82C78">
        <w:t>, 57–65. https://doi.org/10.1016/j.jad.2018.12.100</w:t>
      </w:r>
    </w:p>
    <w:p w:rsidR="00B82C78" w:rsidRPr="00E242F1" w:rsidRDefault="00B82C78" w:rsidP="00E242F1">
      <w:pPr>
        <w:spacing w:line="360" w:lineRule="auto"/>
        <w:jc w:val="both"/>
      </w:pPr>
    </w:p>
    <w:p w:rsidR="00C86A5C" w:rsidRPr="00C86A5C" w:rsidRDefault="00C86A5C" w:rsidP="00E242F1">
      <w:pPr>
        <w:spacing w:line="360" w:lineRule="auto"/>
        <w:jc w:val="both"/>
      </w:pPr>
      <w:r w:rsidRPr="00C86A5C">
        <w:t xml:space="preserve">Kolb, A. D., Dai, J., Keller, E. T., &amp; </w:t>
      </w:r>
      <w:proofErr w:type="spellStart"/>
      <w:r w:rsidRPr="00C86A5C">
        <w:t>Bussard</w:t>
      </w:r>
      <w:proofErr w:type="spellEnd"/>
      <w:r w:rsidRPr="00C86A5C">
        <w:t xml:space="preserve">, K. M. (2021). 'Educated' Osteoblasts Reduce </w:t>
      </w:r>
      <w:proofErr w:type="spellStart"/>
      <w:r w:rsidRPr="00C86A5C">
        <w:t>Osteoclastogenesis</w:t>
      </w:r>
      <w:proofErr w:type="spellEnd"/>
      <w:r w:rsidRPr="00C86A5C">
        <w:t xml:space="preserve"> in a Bone-Tumor Mimetic Microenvironment. </w:t>
      </w:r>
      <w:r w:rsidRPr="00C86A5C">
        <w:rPr>
          <w:i/>
          <w:iCs/>
        </w:rPr>
        <w:t>Cancers</w:t>
      </w:r>
      <w:r w:rsidRPr="00C86A5C">
        <w:t xml:space="preserve">, </w:t>
      </w:r>
      <w:r w:rsidRPr="00C86A5C">
        <w:rPr>
          <w:i/>
          <w:iCs/>
        </w:rPr>
        <w:t>13</w:t>
      </w:r>
      <w:r w:rsidRPr="00C86A5C">
        <w:t>(2), 263. https://doi.org/10.3390/cancers13020263</w:t>
      </w:r>
    </w:p>
    <w:p w:rsidR="00C86A5C" w:rsidRPr="00E242F1" w:rsidRDefault="00C86A5C" w:rsidP="00E242F1">
      <w:pPr>
        <w:spacing w:line="360" w:lineRule="auto"/>
        <w:jc w:val="both"/>
      </w:pPr>
    </w:p>
    <w:p w:rsidR="00C86A5C" w:rsidRPr="00C86A5C" w:rsidRDefault="00C86A5C" w:rsidP="00E242F1">
      <w:pPr>
        <w:spacing w:line="360" w:lineRule="auto"/>
        <w:jc w:val="both"/>
      </w:pPr>
      <w:proofErr w:type="spellStart"/>
      <w:r w:rsidRPr="00C86A5C">
        <w:t>Kučera</w:t>
      </w:r>
      <w:proofErr w:type="spellEnd"/>
      <w:r w:rsidRPr="00C86A5C">
        <w:t xml:space="preserve">, J., </w:t>
      </w:r>
      <w:proofErr w:type="spellStart"/>
      <w:r w:rsidRPr="00C86A5C">
        <w:t>Strnadová</w:t>
      </w:r>
      <w:proofErr w:type="spellEnd"/>
      <w:r w:rsidRPr="00C86A5C">
        <w:t xml:space="preserve">, K., </w:t>
      </w:r>
      <w:proofErr w:type="spellStart"/>
      <w:r w:rsidRPr="00C86A5C">
        <w:t>Dvořánková</w:t>
      </w:r>
      <w:proofErr w:type="spellEnd"/>
      <w:r w:rsidRPr="00C86A5C">
        <w:t xml:space="preserve">, B., </w:t>
      </w:r>
      <w:proofErr w:type="spellStart"/>
      <w:r w:rsidRPr="00C86A5C">
        <w:t>Lacina</w:t>
      </w:r>
      <w:proofErr w:type="spellEnd"/>
      <w:r w:rsidRPr="00C86A5C">
        <w:t xml:space="preserve">, L., </w:t>
      </w:r>
      <w:proofErr w:type="spellStart"/>
      <w:r w:rsidRPr="00C86A5C">
        <w:t>Krajsová</w:t>
      </w:r>
      <w:proofErr w:type="spellEnd"/>
      <w:r w:rsidRPr="00C86A5C">
        <w:t xml:space="preserve">, I., </w:t>
      </w:r>
      <w:proofErr w:type="spellStart"/>
      <w:r w:rsidRPr="00C86A5C">
        <w:t>Štork</w:t>
      </w:r>
      <w:proofErr w:type="spellEnd"/>
      <w:r w:rsidRPr="00C86A5C">
        <w:t xml:space="preserve">, J., </w:t>
      </w:r>
      <w:proofErr w:type="spellStart"/>
      <w:r w:rsidRPr="00C86A5C">
        <w:t>Kovářová</w:t>
      </w:r>
      <w:proofErr w:type="spellEnd"/>
      <w:r w:rsidRPr="00C86A5C">
        <w:t xml:space="preserve">, H., </w:t>
      </w:r>
      <w:proofErr w:type="spellStart"/>
      <w:r w:rsidRPr="00C86A5C">
        <w:t>Skalníková</w:t>
      </w:r>
      <w:proofErr w:type="spellEnd"/>
      <w:r w:rsidRPr="00C86A5C">
        <w:t xml:space="preserve">, H. K., </w:t>
      </w:r>
      <w:proofErr w:type="spellStart"/>
      <w:r w:rsidRPr="00C86A5C">
        <w:t>Vodička</w:t>
      </w:r>
      <w:proofErr w:type="spellEnd"/>
      <w:r w:rsidRPr="00C86A5C">
        <w:t xml:space="preserve">, P., </w:t>
      </w:r>
      <w:proofErr w:type="spellStart"/>
      <w:r w:rsidRPr="00C86A5C">
        <w:t>Motlík</w:t>
      </w:r>
      <w:proofErr w:type="spellEnd"/>
      <w:r w:rsidRPr="00C86A5C">
        <w:t xml:space="preserve">, J., </w:t>
      </w:r>
      <w:proofErr w:type="spellStart"/>
      <w:r w:rsidRPr="00C86A5C">
        <w:t>Dundr</w:t>
      </w:r>
      <w:proofErr w:type="spellEnd"/>
      <w:r w:rsidRPr="00C86A5C">
        <w:t xml:space="preserve">, P., Smetana, K., </w:t>
      </w:r>
      <w:proofErr w:type="spellStart"/>
      <w:r w:rsidRPr="00C86A5C">
        <w:t>Jr</w:t>
      </w:r>
      <w:proofErr w:type="spellEnd"/>
      <w:r w:rsidRPr="00C86A5C">
        <w:t xml:space="preserve">, &amp; </w:t>
      </w:r>
      <w:proofErr w:type="spellStart"/>
      <w:r w:rsidRPr="00C86A5C">
        <w:t>Kodet</w:t>
      </w:r>
      <w:proofErr w:type="spellEnd"/>
      <w:r w:rsidRPr="00C86A5C">
        <w:t xml:space="preserve">, O. (2019). Serum proteomic analysis of melanoma patients with </w:t>
      </w:r>
      <w:proofErr w:type="spellStart"/>
      <w:r w:rsidRPr="00C86A5C">
        <w:t>immunohistochemical</w:t>
      </w:r>
      <w:proofErr w:type="spellEnd"/>
      <w:r w:rsidRPr="00C86A5C">
        <w:t xml:space="preserve"> profiling of primary melanomas and cultured cells: Pilot study. </w:t>
      </w:r>
      <w:r w:rsidRPr="00C86A5C">
        <w:rPr>
          <w:i/>
          <w:iCs/>
        </w:rPr>
        <w:t>Oncology reports</w:t>
      </w:r>
      <w:r w:rsidRPr="00C86A5C">
        <w:t xml:space="preserve">, </w:t>
      </w:r>
      <w:r w:rsidRPr="00C86A5C">
        <w:rPr>
          <w:i/>
          <w:iCs/>
        </w:rPr>
        <w:t>42</w:t>
      </w:r>
      <w:r w:rsidRPr="00C86A5C">
        <w:t>(5), 1793–1804. https://doi.org/10.3892/or.2019.7319</w:t>
      </w:r>
    </w:p>
    <w:p w:rsidR="00C86A5C" w:rsidRPr="00E242F1" w:rsidRDefault="00C86A5C" w:rsidP="00E242F1">
      <w:pPr>
        <w:spacing w:line="360" w:lineRule="auto"/>
        <w:jc w:val="both"/>
      </w:pPr>
    </w:p>
    <w:p w:rsidR="00E90F4A" w:rsidRPr="00E242F1" w:rsidRDefault="00FC00A7" w:rsidP="00E242F1">
      <w:pPr>
        <w:spacing w:line="360" w:lineRule="auto"/>
        <w:jc w:val="both"/>
      </w:pPr>
      <w:r w:rsidRPr="00E242F1">
        <w:t>Kumar, B., Roy, A., Asha, K., Sharma-</w:t>
      </w:r>
      <w:proofErr w:type="spellStart"/>
      <w:r w:rsidRPr="00E242F1">
        <w:t>Walia</w:t>
      </w:r>
      <w:proofErr w:type="spellEnd"/>
      <w:r w:rsidRPr="00E242F1">
        <w:t xml:space="preserve">, N., Ansari, M. A., &amp; </w:t>
      </w:r>
      <w:proofErr w:type="spellStart"/>
      <w:r w:rsidRPr="00E242F1">
        <w:t>Chandran</w:t>
      </w:r>
      <w:proofErr w:type="spellEnd"/>
      <w:r w:rsidRPr="00E242F1">
        <w:t xml:space="preserve">, B. (2019). HACE1, an E3 Ubiquitin Protein Ligase, Mitigates Kaposi's Sarcoma-Associated </w:t>
      </w:r>
      <w:proofErr w:type="spellStart"/>
      <w:r w:rsidRPr="00E242F1">
        <w:t>Herpesvirus</w:t>
      </w:r>
      <w:proofErr w:type="spellEnd"/>
      <w:r w:rsidRPr="00E242F1">
        <w:t xml:space="preserve"> Infection-Induced Oxidative Stress by Promoting Nrf2 Activity. </w:t>
      </w:r>
      <w:r w:rsidRPr="00E242F1">
        <w:rPr>
          <w:i/>
          <w:iCs/>
        </w:rPr>
        <w:t>Journal of virology</w:t>
      </w:r>
      <w:r w:rsidRPr="00E242F1">
        <w:t xml:space="preserve">, </w:t>
      </w:r>
      <w:r w:rsidRPr="00E242F1">
        <w:rPr>
          <w:i/>
          <w:iCs/>
        </w:rPr>
        <w:t>93</w:t>
      </w:r>
      <w:r w:rsidRPr="00E242F1">
        <w:t xml:space="preserve">(9), e01812-18. </w:t>
      </w:r>
      <w:hyperlink r:id="rId15" w:history="1">
        <w:r w:rsidRPr="00E242F1">
          <w:rPr>
            <w:rStyle w:val="Hyperlink"/>
          </w:rPr>
          <w:t>https://doi.org/10.1128/JVI.01812-18</w:t>
        </w:r>
      </w:hyperlink>
    </w:p>
    <w:p w:rsidR="00954805" w:rsidRPr="00E242F1" w:rsidRDefault="00954805" w:rsidP="00E242F1">
      <w:pPr>
        <w:spacing w:line="360" w:lineRule="auto"/>
        <w:jc w:val="both"/>
      </w:pPr>
    </w:p>
    <w:p w:rsidR="00954805" w:rsidRPr="00E242F1" w:rsidRDefault="00954805" w:rsidP="00E242F1">
      <w:pPr>
        <w:spacing w:line="360" w:lineRule="auto"/>
        <w:jc w:val="both"/>
      </w:pPr>
      <w:proofErr w:type="spellStart"/>
      <w:r w:rsidRPr="00954805">
        <w:t>Lacina</w:t>
      </w:r>
      <w:proofErr w:type="spellEnd"/>
      <w:r w:rsidRPr="00954805">
        <w:t xml:space="preserve">, L., </w:t>
      </w:r>
      <w:proofErr w:type="spellStart"/>
      <w:r w:rsidRPr="00954805">
        <w:t>Brábek</w:t>
      </w:r>
      <w:proofErr w:type="spellEnd"/>
      <w:r w:rsidRPr="00954805">
        <w:t xml:space="preserve">, J., </w:t>
      </w:r>
      <w:proofErr w:type="spellStart"/>
      <w:r w:rsidRPr="00954805">
        <w:t>Král</w:t>
      </w:r>
      <w:proofErr w:type="spellEnd"/>
      <w:r w:rsidRPr="00954805">
        <w:t xml:space="preserve">, V., </w:t>
      </w:r>
      <w:proofErr w:type="spellStart"/>
      <w:r w:rsidRPr="00954805">
        <w:t>Kodet</w:t>
      </w:r>
      <w:proofErr w:type="spellEnd"/>
      <w:r w:rsidRPr="00954805">
        <w:t xml:space="preserve">, O., &amp; Smetana, K., </w:t>
      </w:r>
      <w:proofErr w:type="spellStart"/>
      <w:r w:rsidRPr="00954805">
        <w:t>Jr</w:t>
      </w:r>
      <w:proofErr w:type="spellEnd"/>
      <w:r w:rsidRPr="00954805">
        <w:t xml:space="preserve"> (2019). Interleukin-6: a molecule with complex biological impact in cancer. </w:t>
      </w:r>
      <w:r w:rsidRPr="00954805">
        <w:rPr>
          <w:i/>
          <w:iCs/>
        </w:rPr>
        <w:t>Histology and histopathology</w:t>
      </w:r>
      <w:r w:rsidRPr="00954805">
        <w:t xml:space="preserve">, </w:t>
      </w:r>
      <w:r w:rsidRPr="00954805">
        <w:rPr>
          <w:i/>
          <w:iCs/>
        </w:rPr>
        <w:t>34</w:t>
      </w:r>
      <w:r w:rsidRPr="00954805">
        <w:t>(2), 125–136. https://doi.org/10.14670/HH-18-033</w:t>
      </w:r>
    </w:p>
    <w:p w:rsidR="00D049ED" w:rsidRPr="00E242F1" w:rsidRDefault="00D049ED" w:rsidP="00E242F1">
      <w:pPr>
        <w:spacing w:line="360" w:lineRule="auto"/>
        <w:jc w:val="both"/>
      </w:pPr>
    </w:p>
    <w:p w:rsidR="00FC00A7" w:rsidRPr="00E242F1" w:rsidRDefault="00D049ED" w:rsidP="00E242F1">
      <w:pPr>
        <w:spacing w:line="360" w:lineRule="auto"/>
        <w:jc w:val="both"/>
      </w:pPr>
      <w:proofErr w:type="spellStart"/>
      <w:r w:rsidRPr="00E242F1">
        <w:t>Lesko</w:t>
      </w:r>
      <w:proofErr w:type="spellEnd"/>
      <w:r w:rsidRPr="00E242F1">
        <w:t xml:space="preserve">, L. J., &amp; Atkinson, A. J., </w:t>
      </w:r>
      <w:proofErr w:type="spellStart"/>
      <w:r w:rsidRPr="00E242F1">
        <w:t>Jr</w:t>
      </w:r>
      <w:proofErr w:type="spellEnd"/>
      <w:r w:rsidRPr="00E242F1">
        <w:t xml:space="preserve"> (2001). Use of biomarkers and surrogate endpoints in drug development and regulatory decision making: criteria, validation, strategies. </w:t>
      </w:r>
      <w:r w:rsidRPr="00E242F1">
        <w:rPr>
          <w:i/>
          <w:iCs/>
        </w:rPr>
        <w:t>Annual review of pharmacology and toxicology</w:t>
      </w:r>
      <w:r w:rsidRPr="00E242F1">
        <w:t xml:space="preserve">, </w:t>
      </w:r>
      <w:r w:rsidRPr="00E242F1">
        <w:rPr>
          <w:i/>
          <w:iCs/>
        </w:rPr>
        <w:t>41</w:t>
      </w:r>
      <w:r w:rsidRPr="00E242F1">
        <w:t xml:space="preserve">, 347–366. </w:t>
      </w:r>
      <w:hyperlink r:id="rId16" w:history="1">
        <w:r w:rsidRPr="00E242F1">
          <w:rPr>
            <w:rStyle w:val="Hyperlink"/>
          </w:rPr>
          <w:t>https://doi.org/10.1146/annurev.pharmtox.41.1.347</w:t>
        </w:r>
      </w:hyperlink>
    </w:p>
    <w:p w:rsidR="00174437" w:rsidRPr="00E242F1" w:rsidRDefault="00174437" w:rsidP="00E242F1">
      <w:pPr>
        <w:spacing w:line="360" w:lineRule="auto"/>
        <w:jc w:val="both"/>
      </w:pPr>
    </w:p>
    <w:p w:rsidR="00C079EB" w:rsidRPr="00E242F1" w:rsidRDefault="00C079EB" w:rsidP="00E242F1">
      <w:pPr>
        <w:spacing w:line="360" w:lineRule="auto"/>
        <w:jc w:val="both"/>
      </w:pPr>
      <w:r w:rsidRPr="00C079EB">
        <w:lastRenderedPageBreak/>
        <w:t xml:space="preserve">Liu, K. J., Chao, T. Y., Chang, J. Y., Cheng, A. L., </w:t>
      </w:r>
      <w:proofErr w:type="spellStart"/>
      <w:r w:rsidRPr="00C079EB">
        <w:t>Ch'ang</w:t>
      </w:r>
      <w:proofErr w:type="spellEnd"/>
      <w:r w:rsidRPr="00C079EB">
        <w:t xml:space="preserve">, H. J., Kao, W. Y., Wu, Y. C., Yu, W. L., Chung, T. R., &amp; </w:t>
      </w:r>
      <w:proofErr w:type="spellStart"/>
      <w:r w:rsidRPr="00C079EB">
        <w:t>Whang-Peng</w:t>
      </w:r>
      <w:proofErr w:type="spellEnd"/>
      <w:r w:rsidRPr="00C079EB">
        <w:t xml:space="preserve">, J. (2016). A phase I clinical study of immunotherapy for advanced colorectal cancers using </w:t>
      </w:r>
      <w:proofErr w:type="spellStart"/>
      <w:r w:rsidRPr="00C079EB">
        <w:t>carcinoembryonic</w:t>
      </w:r>
      <w:proofErr w:type="spellEnd"/>
      <w:r w:rsidRPr="00C079EB">
        <w:t xml:space="preserve"> antigen-pulsed dendritic cells mixed with tetanus toxoid and subsequent IL-2 treatment. </w:t>
      </w:r>
      <w:r w:rsidRPr="00C079EB">
        <w:rPr>
          <w:i/>
          <w:iCs/>
        </w:rPr>
        <w:t>Journal of biomedical science</w:t>
      </w:r>
      <w:r w:rsidRPr="00C079EB">
        <w:t xml:space="preserve">, </w:t>
      </w:r>
      <w:r w:rsidRPr="00C079EB">
        <w:rPr>
          <w:i/>
          <w:iCs/>
        </w:rPr>
        <w:t>23</w:t>
      </w:r>
      <w:r w:rsidRPr="00C079EB">
        <w:t xml:space="preserve">(1), 64. </w:t>
      </w:r>
      <w:hyperlink r:id="rId17" w:history="1">
        <w:r w:rsidRPr="00E242F1">
          <w:rPr>
            <w:rStyle w:val="Hyperlink"/>
          </w:rPr>
          <w:t>https://doi.org/10.1186/s12929-016-0279-7</w:t>
        </w:r>
      </w:hyperlink>
    </w:p>
    <w:p w:rsidR="00C86A5C" w:rsidRPr="00E242F1" w:rsidRDefault="00C86A5C" w:rsidP="00E242F1">
      <w:pPr>
        <w:spacing w:line="360" w:lineRule="auto"/>
        <w:jc w:val="both"/>
      </w:pPr>
    </w:p>
    <w:p w:rsidR="0065555A" w:rsidRPr="00E242F1" w:rsidRDefault="0065555A" w:rsidP="00E242F1">
      <w:pPr>
        <w:spacing w:line="360" w:lineRule="auto"/>
        <w:jc w:val="both"/>
      </w:pPr>
      <w:proofErr w:type="spellStart"/>
      <w:r w:rsidRPr="0065555A">
        <w:t>Llueca</w:t>
      </w:r>
      <w:proofErr w:type="spellEnd"/>
      <w:r w:rsidRPr="0065555A">
        <w:t xml:space="preserve">, A., Serra, A., </w:t>
      </w:r>
      <w:proofErr w:type="spellStart"/>
      <w:r w:rsidRPr="0065555A">
        <w:t>Rivadulla</w:t>
      </w:r>
      <w:proofErr w:type="spellEnd"/>
      <w:r w:rsidRPr="0065555A">
        <w:t xml:space="preserve">, I., Gomez, L., </w:t>
      </w:r>
      <w:proofErr w:type="spellStart"/>
      <w:r w:rsidRPr="0065555A">
        <w:t>Escrig</w:t>
      </w:r>
      <w:proofErr w:type="spellEnd"/>
      <w:r w:rsidRPr="0065555A">
        <w:t xml:space="preserve">, J., &amp; MUAPOS working group (Multidisciplinary Unit of Abdominal Pelvic Oncology Surgery) (2018). Prediction of suboptimal </w:t>
      </w:r>
      <w:proofErr w:type="spellStart"/>
      <w:r w:rsidRPr="0065555A">
        <w:t>cytoreductive</w:t>
      </w:r>
      <w:proofErr w:type="spellEnd"/>
      <w:r w:rsidRPr="0065555A">
        <w:t xml:space="preserve"> surgery in patients with advanced ovarian cancer based on preoperative and intraoperative determination of the peritoneal </w:t>
      </w:r>
      <w:proofErr w:type="spellStart"/>
      <w:r w:rsidRPr="0065555A">
        <w:t>carcinomatosis</w:t>
      </w:r>
      <w:proofErr w:type="spellEnd"/>
      <w:r w:rsidRPr="0065555A">
        <w:t xml:space="preserve"> index. </w:t>
      </w:r>
      <w:r w:rsidRPr="0065555A">
        <w:rPr>
          <w:i/>
          <w:iCs/>
        </w:rPr>
        <w:t>World journal of surgical oncology</w:t>
      </w:r>
      <w:r w:rsidRPr="0065555A">
        <w:t xml:space="preserve">, </w:t>
      </w:r>
      <w:r w:rsidRPr="0065555A">
        <w:rPr>
          <w:i/>
          <w:iCs/>
        </w:rPr>
        <w:t>16</w:t>
      </w:r>
      <w:r w:rsidRPr="0065555A">
        <w:t xml:space="preserve">(1), 37. </w:t>
      </w:r>
      <w:hyperlink r:id="rId18" w:history="1">
        <w:r w:rsidR="00C86A5C" w:rsidRPr="00E242F1">
          <w:rPr>
            <w:rStyle w:val="Hyperlink"/>
          </w:rPr>
          <w:t>https://doi.org/10.1186/s12957-018-1339-0</w:t>
        </w:r>
      </w:hyperlink>
    </w:p>
    <w:p w:rsidR="00C86A5C" w:rsidRPr="0065555A" w:rsidRDefault="00C86A5C" w:rsidP="00E242F1">
      <w:pPr>
        <w:spacing w:line="360" w:lineRule="auto"/>
        <w:jc w:val="both"/>
      </w:pPr>
    </w:p>
    <w:p w:rsidR="00C86A5C" w:rsidRPr="00C86A5C" w:rsidRDefault="00C86A5C" w:rsidP="00E242F1">
      <w:pPr>
        <w:spacing w:line="360" w:lineRule="auto"/>
        <w:jc w:val="both"/>
      </w:pPr>
      <w:r w:rsidRPr="00C86A5C">
        <w:t xml:space="preserve">Middleton, K., Jones, J., </w:t>
      </w:r>
      <w:proofErr w:type="spellStart"/>
      <w:r w:rsidRPr="00C86A5C">
        <w:t>Lwin</w:t>
      </w:r>
      <w:proofErr w:type="spellEnd"/>
      <w:r w:rsidRPr="00C86A5C">
        <w:t xml:space="preserve">, Z., &amp; Coward, J. I. (2014). Interleukin-6: an </w:t>
      </w:r>
      <w:proofErr w:type="spellStart"/>
      <w:r w:rsidRPr="00C86A5C">
        <w:t>angiogenic</w:t>
      </w:r>
      <w:proofErr w:type="spellEnd"/>
      <w:r w:rsidRPr="00C86A5C">
        <w:t xml:space="preserve"> target in solid </w:t>
      </w:r>
      <w:proofErr w:type="spellStart"/>
      <w:r w:rsidRPr="00C86A5C">
        <w:t>tumours</w:t>
      </w:r>
      <w:proofErr w:type="spellEnd"/>
      <w:r w:rsidRPr="00C86A5C">
        <w:t xml:space="preserve">. </w:t>
      </w:r>
      <w:r w:rsidRPr="00C86A5C">
        <w:rPr>
          <w:i/>
          <w:iCs/>
        </w:rPr>
        <w:t>Critical reviews in oncology/hematology</w:t>
      </w:r>
      <w:r w:rsidRPr="00C86A5C">
        <w:t xml:space="preserve">, </w:t>
      </w:r>
      <w:r w:rsidRPr="00C86A5C">
        <w:rPr>
          <w:i/>
          <w:iCs/>
        </w:rPr>
        <w:t>89</w:t>
      </w:r>
      <w:r w:rsidRPr="00C86A5C">
        <w:t>(1), 129–139. https://doi.org/10.1016/j.critrevonc.2013.08.004</w:t>
      </w:r>
    </w:p>
    <w:p w:rsidR="00C079EB" w:rsidRPr="00E242F1" w:rsidRDefault="00C079EB" w:rsidP="00E242F1">
      <w:pPr>
        <w:spacing w:line="360" w:lineRule="auto"/>
        <w:jc w:val="both"/>
      </w:pPr>
    </w:p>
    <w:p w:rsidR="00C079EB" w:rsidRPr="00E242F1" w:rsidRDefault="00C079EB" w:rsidP="00E242F1">
      <w:pPr>
        <w:spacing w:line="360" w:lineRule="auto"/>
        <w:jc w:val="both"/>
      </w:pPr>
      <w:proofErr w:type="spellStart"/>
      <w:r w:rsidRPr="00C079EB">
        <w:t>Mukhopadhyay</w:t>
      </w:r>
      <w:proofErr w:type="spellEnd"/>
      <w:r w:rsidRPr="00C079EB">
        <w:t xml:space="preserve">, A., Wright, J., Shirley, S., Canton, D. A., </w:t>
      </w:r>
      <w:proofErr w:type="spellStart"/>
      <w:r w:rsidRPr="00C079EB">
        <w:t>Burkart</w:t>
      </w:r>
      <w:proofErr w:type="spellEnd"/>
      <w:r w:rsidRPr="00C079EB">
        <w:t xml:space="preserve">, C., Connolly, R. J., Campbell, J. S., &amp; Pierce, R. H. (2019). Characterization of </w:t>
      </w:r>
      <w:proofErr w:type="spellStart"/>
      <w:r w:rsidRPr="00C079EB">
        <w:t>abscopal</w:t>
      </w:r>
      <w:proofErr w:type="spellEnd"/>
      <w:r w:rsidRPr="00C079EB">
        <w:t xml:space="preserve"> effects of </w:t>
      </w:r>
      <w:proofErr w:type="spellStart"/>
      <w:r w:rsidRPr="00C079EB">
        <w:t>intratumoral</w:t>
      </w:r>
      <w:proofErr w:type="spellEnd"/>
      <w:r w:rsidRPr="00C079EB">
        <w:t xml:space="preserve"> electroporation-mediated IL-12 gene therapy. </w:t>
      </w:r>
      <w:r w:rsidRPr="00C079EB">
        <w:rPr>
          <w:i/>
          <w:iCs/>
        </w:rPr>
        <w:t>Gene therapy</w:t>
      </w:r>
      <w:r w:rsidRPr="00C079EB">
        <w:t xml:space="preserve">, </w:t>
      </w:r>
      <w:r w:rsidRPr="00C079EB">
        <w:rPr>
          <w:i/>
          <w:iCs/>
        </w:rPr>
        <w:t>26</w:t>
      </w:r>
      <w:r w:rsidRPr="00C079EB">
        <w:t xml:space="preserve">(1-2), 1–15. </w:t>
      </w:r>
      <w:hyperlink r:id="rId19" w:history="1">
        <w:r w:rsidRPr="00E242F1">
          <w:rPr>
            <w:rStyle w:val="Hyperlink"/>
          </w:rPr>
          <w:t>https://doi.org/10.1038/s41434-018-0044-5</w:t>
        </w:r>
      </w:hyperlink>
    </w:p>
    <w:p w:rsidR="00C079EB" w:rsidRPr="00E242F1" w:rsidRDefault="00C079EB" w:rsidP="00E242F1">
      <w:pPr>
        <w:spacing w:line="360" w:lineRule="auto"/>
        <w:jc w:val="both"/>
      </w:pPr>
    </w:p>
    <w:p w:rsidR="00D049ED" w:rsidRPr="00E242F1" w:rsidRDefault="00174437" w:rsidP="00E242F1">
      <w:pPr>
        <w:spacing w:line="360" w:lineRule="auto"/>
        <w:jc w:val="both"/>
      </w:pPr>
      <w:proofErr w:type="spellStart"/>
      <w:r w:rsidRPr="00174437">
        <w:t>Qiu</w:t>
      </w:r>
      <w:proofErr w:type="spellEnd"/>
      <w:r w:rsidRPr="00174437">
        <w:t xml:space="preserve">, Y., Su, M., Liu, L., Tang, Y., Pan, Y., &amp; Sun, J. (2021). Clinical Application of Cytokines in Cancer Immunotherapy. </w:t>
      </w:r>
      <w:r w:rsidRPr="00174437">
        <w:rPr>
          <w:i/>
          <w:iCs/>
        </w:rPr>
        <w:t>Drug design, development and therapy</w:t>
      </w:r>
      <w:r w:rsidRPr="00174437">
        <w:t xml:space="preserve">, </w:t>
      </w:r>
      <w:r w:rsidRPr="00174437">
        <w:rPr>
          <w:i/>
          <w:iCs/>
        </w:rPr>
        <w:t>15</w:t>
      </w:r>
      <w:r w:rsidRPr="00174437">
        <w:t xml:space="preserve">, 2269–2287. </w:t>
      </w:r>
      <w:hyperlink r:id="rId20" w:history="1">
        <w:r w:rsidRPr="00E242F1">
          <w:rPr>
            <w:rStyle w:val="Hyperlink"/>
          </w:rPr>
          <w:t>https://doi.org/10.2147/DDDT.S308578</w:t>
        </w:r>
      </w:hyperlink>
    </w:p>
    <w:p w:rsidR="00C079EB" w:rsidRPr="00E242F1" w:rsidRDefault="00C079EB" w:rsidP="00E242F1">
      <w:pPr>
        <w:spacing w:line="360" w:lineRule="auto"/>
        <w:jc w:val="both"/>
      </w:pPr>
    </w:p>
    <w:p w:rsidR="00174437" w:rsidRPr="00E242F1" w:rsidRDefault="00C079EB" w:rsidP="00E242F1">
      <w:pPr>
        <w:spacing w:line="360" w:lineRule="auto"/>
        <w:jc w:val="both"/>
      </w:pPr>
      <w:r w:rsidRPr="00C079EB">
        <w:t xml:space="preserve">Rosenberg S. A. (2014). IL-2: the first effective immunotherapy for human cancer. </w:t>
      </w:r>
      <w:r w:rsidRPr="00C079EB">
        <w:rPr>
          <w:i/>
          <w:iCs/>
        </w:rPr>
        <w:t>Journal of immunology (Baltimore, Md</w:t>
      </w:r>
      <w:proofErr w:type="gramStart"/>
      <w:r w:rsidRPr="00C079EB">
        <w:rPr>
          <w:i/>
          <w:iCs/>
        </w:rPr>
        <w:t>. :</w:t>
      </w:r>
      <w:proofErr w:type="gramEnd"/>
      <w:r w:rsidRPr="00C079EB">
        <w:rPr>
          <w:i/>
          <w:iCs/>
        </w:rPr>
        <w:t xml:space="preserve"> 1950)</w:t>
      </w:r>
      <w:r w:rsidRPr="00C079EB">
        <w:t xml:space="preserve">, </w:t>
      </w:r>
      <w:r w:rsidRPr="00C079EB">
        <w:rPr>
          <w:i/>
          <w:iCs/>
        </w:rPr>
        <w:t>192</w:t>
      </w:r>
      <w:r w:rsidRPr="00C079EB">
        <w:t xml:space="preserve">(12), 5451–5458. </w:t>
      </w:r>
      <w:hyperlink r:id="rId21" w:history="1">
        <w:r w:rsidRPr="00E242F1">
          <w:rPr>
            <w:rStyle w:val="Hyperlink"/>
          </w:rPr>
          <w:t>https://doi.org/10.4049/jimmunol.1490019</w:t>
        </w:r>
      </w:hyperlink>
    </w:p>
    <w:p w:rsidR="00C079EB" w:rsidRPr="00E242F1" w:rsidRDefault="00C079EB" w:rsidP="00E242F1">
      <w:pPr>
        <w:spacing w:line="360" w:lineRule="auto"/>
        <w:jc w:val="both"/>
      </w:pPr>
    </w:p>
    <w:p w:rsidR="00E90F4A" w:rsidRPr="00E90F4A" w:rsidRDefault="00E90F4A" w:rsidP="00E242F1">
      <w:pPr>
        <w:spacing w:line="360" w:lineRule="auto"/>
        <w:jc w:val="both"/>
      </w:pPr>
      <w:r w:rsidRPr="00E90F4A">
        <w:t xml:space="preserve">Royston, L., </w:t>
      </w:r>
      <w:proofErr w:type="spellStart"/>
      <w:r w:rsidRPr="00E90F4A">
        <w:t>Isnard</w:t>
      </w:r>
      <w:proofErr w:type="spellEnd"/>
      <w:r w:rsidRPr="00E90F4A">
        <w:t xml:space="preserve">, S., </w:t>
      </w:r>
      <w:proofErr w:type="spellStart"/>
      <w:r w:rsidRPr="00E90F4A">
        <w:t>Calmy</w:t>
      </w:r>
      <w:proofErr w:type="spellEnd"/>
      <w:r w:rsidRPr="00E90F4A">
        <w:t xml:space="preserve">, A., &amp; </w:t>
      </w:r>
      <w:proofErr w:type="spellStart"/>
      <w:r w:rsidRPr="00E90F4A">
        <w:t>Routy</w:t>
      </w:r>
      <w:proofErr w:type="spellEnd"/>
      <w:r w:rsidRPr="00E90F4A">
        <w:t xml:space="preserve">, J. P. (2021). Kaposi sarcoma in antiretroviral therapy-treated people with HIV: a wake-up call for research on human herpesvirus-8. </w:t>
      </w:r>
      <w:r w:rsidRPr="00E90F4A">
        <w:rPr>
          <w:i/>
          <w:iCs/>
        </w:rPr>
        <w:t>AIDS (London, England)</w:t>
      </w:r>
      <w:r w:rsidRPr="00E90F4A">
        <w:t xml:space="preserve">, </w:t>
      </w:r>
      <w:r w:rsidRPr="00E90F4A">
        <w:rPr>
          <w:i/>
          <w:iCs/>
        </w:rPr>
        <w:t>35</w:t>
      </w:r>
      <w:r w:rsidRPr="00E90F4A">
        <w:t>(10), 1695–1699. https://doi.org/10.1097/QAD.0000000000002933</w:t>
      </w:r>
    </w:p>
    <w:p w:rsidR="00E90F4A" w:rsidRPr="00E242F1" w:rsidRDefault="00E90F4A" w:rsidP="00E242F1">
      <w:pPr>
        <w:spacing w:line="360" w:lineRule="auto"/>
        <w:jc w:val="both"/>
      </w:pPr>
    </w:p>
    <w:p w:rsidR="00CE2A48" w:rsidRPr="00E242F1" w:rsidRDefault="00CE2A48" w:rsidP="00E242F1">
      <w:pPr>
        <w:spacing w:line="360" w:lineRule="auto"/>
        <w:jc w:val="both"/>
      </w:pPr>
      <w:proofErr w:type="spellStart"/>
      <w:r w:rsidRPr="00CE2A48">
        <w:lastRenderedPageBreak/>
        <w:t>Shiels</w:t>
      </w:r>
      <w:proofErr w:type="spellEnd"/>
      <w:r w:rsidRPr="00CE2A48">
        <w:t xml:space="preserve">, M. S., Islam, J. Y., Rosenberg, P. S., Hall, H. I., Jacobson, E., &amp; Engels, E. A. (2018). Projected Cancer Incidence Rates and Burden of Incident Cancer Cases in HIV-Infected Adults in the United States </w:t>
      </w:r>
      <w:proofErr w:type="gramStart"/>
      <w:r w:rsidRPr="00CE2A48">
        <w:t>Through</w:t>
      </w:r>
      <w:proofErr w:type="gramEnd"/>
      <w:r w:rsidRPr="00CE2A48">
        <w:t xml:space="preserve"> 2030. </w:t>
      </w:r>
      <w:r w:rsidRPr="00CE2A48">
        <w:rPr>
          <w:i/>
          <w:iCs/>
        </w:rPr>
        <w:t>Annals of internal medicine</w:t>
      </w:r>
      <w:r w:rsidRPr="00CE2A48">
        <w:t xml:space="preserve">, </w:t>
      </w:r>
      <w:r w:rsidRPr="00CE2A48">
        <w:rPr>
          <w:i/>
          <w:iCs/>
        </w:rPr>
        <w:t>168</w:t>
      </w:r>
      <w:r w:rsidRPr="00CE2A48">
        <w:t xml:space="preserve">(12), 866–873. </w:t>
      </w:r>
      <w:hyperlink r:id="rId22" w:history="1">
        <w:r w:rsidR="00B357E1" w:rsidRPr="00E242F1">
          <w:rPr>
            <w:rStyle w:val="Hyperlink"/>
          </w:rPr>
          <w:t>https://doi.org/10.7326/M17-2499</w:t>
        </w:r>
      </w:hyperlink>
    </w:p>
    <w:p w:rsidR="00E90F4A" w:rsidRPr="00E242F1" w:rsidRDefault="00E90F4A" w:rsidP="00E242F1">
      <w:pPr>
        <w:spacing w:line="360" w:lineRule="auto"/>
        <w:jc w:val="both"/>
      </w:pPr>
    </w:p>
    <w:p w:rsidR="00B82C78" w:rsidRPr="00E242F1" w:rsidRDefault="00B82C78" w:rsidP="00E242F1">
      <w:pPr>
        <w:spacing w:line="360" w:lineRule="auto"/>
        <w:jc w:val="both"/>
      </w:pPr>
      <w:r w:rsidRPr="00B82C78">
        <w:t xml:space="preserve">Shimura, Y., Kurosawa, H., Tsuchiya, M., </w:t>
      </w:r>
      <w:proofErr w:type="spellStart"/>
      <w:r w:rsidRPr="00B82C78">
        <w:t>Sawa</w:t>
      </w:r>
      <w:proofErr w:type="spellEnd"/>
      <w:r w:rsidRPr="00B82C78">
        <w:t xml:space="preserve">, M., Kaneko, H., Liu, L., Makino, Y., </w:t>
      </w:r>
      <w:proofErr w:type="spellStart"/>
      <w:r w:rsidRPr="00B82C78">
        <w:t>Nojiri</w:t>
      </w:r>
      <w:proofErr w:type="spellEnd"/>
      <w:r w:rsidRPr="00B82C78">
        <w:t xml:space="preserve">, H., Iwase, Y., Kaneko, K., &amp; </w:t>
      </w:r>
      <w:proofErr w:type="spellStart"/>
      <w:r w:rsidRPr="00B82C78">
        <w:t>Ishijima</w:t>
      </w:r>
      <w:proofErr w:type="spellEnd"/>
      <w:r w:rsidRPr="00B82C78">
        <w:t xml:space="preserve">, M. (2017). Serum interleukin 6 levels are associated with depressive state of the patients with knee osteoarthritis irrespective of disease severity. </w:t>
      </w:r>
      <w:r w:rsidRPr="00B82C78">
        <w:rPr>
          <w:i/>
          <w:iCs/>
        </w:rPr>
        <w:t>Clinical rheumatology</w:t>
      </w:r>
      <w:r w:rsidRPr="00B82C78">
        <w:t xml:space="preserve">, </w:t>
      </w:r>
      <w:r w:rsidRPr="00B82C78">
        <w:rPr>
          <w:i/>
          <w:iCs/>
        </w:rPr>
        <w:t>36</w:t>
      </w:r>
      <w:r w:rsidRPr="00B82C78">
        <w:t xml:space="preserve">(12), 2781–2787. </w:t>
      </w:r>
      <w:hyperlink r:id="rId23" w:history="1">
        <w:r w:rsidRPr="00E242F1">
          <w:rPr>
            <w:rStyle w:val="Hyperlink"/>
          </w:rPr>
          <w:t>https://doi.org/10.1007/s10067-017-3826-z</w:t>
        </w:r>
      </w:hyperlink>
    </w:p>
    <w:p w:rsidR="00B82C78" w:rsidRPr="00E242F1" w:rsidRDefault="00B82C78" w:rsidP="00E242F1">
      <w:pPr>
        <w:spacing w:line="360" w:lineRule="auto"/>
        <w:jc w:val="both"/>
      </w:pPr>
    </w:p>
    <w:p w:rsidR="00E90F4A" w:rsidRPr="00E242F1" w:rsidRDefault="00E90F4A" w:rsidP="00E242F1">
      <w:pPr>
        <w:spacing w:line="360" w:lineRule="auto"/>
        <w:jc w:val="both"/>
      </w:pPr>
      <w:r w:rsidRPr="00E90F4A">
        <w:t xml:space="preserve">Silverberg, M. J., Chao, C., Leyden, W. A., </w:t>
      </w:r>
      <w:proofErr w:type="spellStart"/>
      <w:r w:rsidRPr="00E90F4A">
        <w:t>Xu</w:t>
      </w:r>
      <w:proofErr w:type="spellEnd"/>
      <w:r w:rsidRPr="00E90F4A">
        <w:t xml:space="preserve">, L., </w:t>
      </w:r>
      <w:proofErr w:type="spellStart"/>
      <w:r w:rsidRPr="00E90F4A">
        <w:t>Horberg</w:t>
      </w:r>
      <w:proofErr w:type="spellEnd"/>
      <w:r w:rsidRPr="00E90F4A">
        <w:t xml:space="preserve">, M. A., Klein, D., Towner, W. J., </w:t>
      </w:r>
      <w:proofErr w:type="spellStart"/>
      <w:r w:rsidRPr="00E90F4A">
        <w:t>Dubrow</w:t>
      </w:r>
      <w:proofErr w:type="spellEnd"/>
      <w:r w:rsidRPr="00E90F4A">
        <w:t xml:space="preserve">, R., </w:t>
      </w:r>
      <w:proofErr w:type="spellStart"/>
      <w:r w:rsidRPr="00E90F4A">
        <w:t>Quesenberry</w:t>
      </w:r>
      <w:proofErr w:type="spellEnd"/>
      <w:r w:rsidRPr="00E90F4A">
        <w:t xml:space="preserve">, C. P., </w:t>
      </w:r>
      <w:proofErr w:type="spellStart"/>
      <w:r w:rsidRPr="00E90F4A">
        <w:t>Jr</w:t>
      </w:r>
      <w:proofErr w:type="spellEnd"/>
      <w:r w:rsidRPr="00E90F4A">
        <w:t xml:space="preserve">, </w:t>
      </w:r>
      <w:proofErr w:type="spellStart"/>
      <w:r w:rsidRPr="00E90F4A">
        <w:t>Neugebauer</w:t>
      </w:r>
      <w:proofErr w:type="spellEnd"/>
      <w:r w:rsidRPr="00E90F4A">
        <w:t xml:space="preserve">, R. S., &amp; Abrams, D. I. (2011). HIV infection, immunodeficiency, viral replication, and the risk of cancer. </w:t>
      </w:r>
      <w:r w:rsidRPr="00E90F4A">
        <w:rPr>
          <w:i/>
          <w:iCs/>
        </w:rPr>
        <w:t>Cancer epidem</w:t>
      </w:r>
      <w:r w:rsidR="00C86A5C" w:rsidRPr="00E242F1">
        <w:rPr>
          <w:i/>
          <w:iCs/>
        </w:rPr>
        <w:t>iology, biomarkers &amp; prevention</w:t>
      </w:r>
      <w:r w:rsidRPr="00E90F4A">
        <w:rPr>
          <w:i/>
          <w:iCs/>
        </w:rPr>
        <w:t>: a publication of the American Association for Cancer Research, cosponsored by the American Society of Preventive Oncology</w:t>
      </w:r>
      <w:r w:rsidRPr="00E90F4A">
        <w:t xml:space="preserve">, </w:t>
      </w:r>
      <w:r w:rsidRPr="00E90F4A">
        <w:rPr>
          <w:i/>
          <w:iCs/>
        </w:rPr>
        <w:t>20</w:t>
      </w:r>
      <w:r w:rsidRPr="00E90F4A">
        <w:t>(12), 2551–2559. https://doi.org/10.1158/1055-9965.EPI-11-0777</w:t>
      </w:r>
    </w:p>
    <w:p w:rsidR="00B357E1" w:rsidRPr="00E242F1" w:rsidRDefault="00B357E1" w:rsidP="00E242F1">
      <w:pPr>
        <w:spacing w:line="360" w:lineRule="auto"/>
        <w:jc w:val="both"/>
      </w:pPr>
    </w:p>
    <w:p w:rsidR="00B357E1" w:rsidRPr="00E242F1" w:rsidRDefault="00B357E1" w:rsidP="00E242F1">
      <w:pPr>
        <w:spacing w:line="360" w:lineRule="auto"/>
        <w:jc w:val="both"/>
      </w:pPr>
      <w:r w:rsidRPr="00E242F1">
        <w:t>Silver, S. and</w:t>
      </w:r>
      <w:r w:rsidRPr="00E242F1">
        <w:t xml:space="preserve"> </w:t>
      </w:r>
      <w:proofErr w:type="spellStart"/>
      <w:r w:rsidRPr="00E242F1">
        <w:t>Schmelz</w:t>
      </w:r>
      <w:proofErr w:type="spellEnd"/>
      <w:r w:rsidRPr="00E242F1">
        <w:t xml:space="preserve">, M. (2023). The AIDS and Cancer Specimen Resource (ACSR): HIV malignancy specimens and data available at no cost. </w:t>
      </w:r>
      <w:r w:rsidRPr="00E242F1">
        <w:rPr>
          <w:i/>
          <w:iCs/>
        </w:rPr>
        <w:t>AIDS Res</w:t>
      </w:r>
      <w:r w:rsidRPr="00E242F1">
        <w:rPr>
          <w:i/>
          <w:iCs/>
        </w:rPr>
        <w:t>earch and</w:t>
      </w:r>
      <w:r w:rsidRPr="00E242F1">
        <w:rPr>
          <w:i/>
          <w:iCs/>
        </w:rPr>
        <w:t xml:space="preserve"> Ther</w:t>
      </w:r>
      <w:r w:rsidRPr="00E242F1">
        <w:rPr>
          <w:i/>
          <w:iCs/>
        </w:rPr>
        <w:t>apy,</w:t>
      </w:r>
      <w:r w:rsidRPr="00E242F1">
        <w:t xml:space="preserve"> </w:t>
      </w:r>
      <w:r w:rsidRPr="00E242F1">
        <w:rPr>
          <w:b/>
          <w:bCs/>
        </w:rPr>
        <w:t>20</w:t>
      </w:r>
      <w:r w:rsidRPr="00E242F1">
        <w:t xml:space="preserve">, 61 </w:t>
      </w:r>
      <w:hyperlink r:id="rId24" w:history="1">
        <w:r w:rsidR="00E90F4A" w:rsidRPr="00E242F1">
          <w:rPr>
            <w:rStyle w:val="Hyperlink"/>
          </w:rPr>
          <w:t>https://doi.org/10.1186/s12981-023-00558-4</w:t>
        </w:r>
      </w:hyperlink>
    </w:p>
    <w:p w:rsidR="00E90F4A" w:rsidRPr="00CE2A48" w:rsidRDefault="00E90F4A" w:rsidP="00E242F1">
      <w:pPr>
        <w:spacing w:line="360" w:lineRule="auto"/>
        <w:jc w:val="both"/>
      </w:pPr>
    </w:p>
    <w:p w:rsidR="00D049ED" w:rsidRPr="00E242F1" w:rsidRDefault="00D049ED" w:rsidP="00E242F1">
      <w:pPr>
        <w:spacing w:line="360" w:lineRule="auto"/>
        <w:jc w:val="both"/>
      </w:pPr>
      <w:proofErr w:type="spellStart"/>
      <w:r w:rsidRPr="00E242F1">
        <w:t>Srinivas</w:t>
      </w:r>
      <w:proofErr w:type="spellEnd"/>
      <w:r w:rsidRPr="00E242F1">
        <w:t xml:space="preserve">, P. R., Kramer, B. S., &amp; Srivastava, S. (2001). Trends in biomarker research for cancer detection. </w:t>
      </w:r>
      <w:r w:rsidRPr="00E242F1">
        <w:rPr>
          <w:i/>
          <w:iCs/>
        </w:rPr>
        <w:t>The Lancet. Oncology</w:t>
      </w:r>
      <w:r w:rsidRPr="00E242F1">
        <w:t xml:space="preserve">, </w:t>
      </w:r>
      <w:r w:rsidRPr="00E242F1">
        <w:rPr>
          <w:i/>
          <w:iCs/>
        </w:rPr>
        <w:t>2</w:t>
      </w:r>
      <w:r w:rsidRPr="00E242F1">
        <w:t xml:space="preserve">(11), 698–704. </w:t>
      </w:r>
      <w:hyperlink r:id="rId25" w:history="1">
        <w:r w:rsidRPr="00E242F1">
          <w:rPr>
            <w:rStyle w:val="Hyperlink"/>
          </w:rPr>
          <w:t>https://doi.org/10.1016/S1470-2045(01)00560-5</w:t>
        </w:r>
      </w:hyperlink>
    </w:p>
    <w:p w:rsidR="00C86A5C" w:rsidRPr="00E242F1" w:rsidRDefault="00C86A5C" w:rsidP="00E242F1">
      <w:pPr>
        <w:spacing w:line="360" w:lineRule="auto"/>
        <w:jc w:val="both"/>
      </w:pPr>
    </w:p>
    <w:p w:rsidR="00C86A5C" w:rsidRPr="00C86A5C" w:rsidRDefault="00C86A5C" w:rsidP="00E242F1">
      <w:pPr>
        <w:spacing w:line="360" w:lineRule="auto"/>
        <w:jc w:val="both"/>
      </w:pPr>
      <w:r w:rsidRPr="00C86A5C">
        <w:t xml:space="preserve">Stoll, J. R., Vaidya, T. S., Mori, S., </w:t>
      </w:r>
      <w:proofErr w:type="spellStart"/>
      <w:r w:rsidRPr="00C86A5C">
        <w:t>Dusza</w:t>
      </w:r>
      <w:proofErr w:type="spellEnd"/>
      <w:r w:rsidRPr="00C86A5C">
        <w:t xml:space="preserve">, S. W., </w:t>
      </w:r>
      <w:proofErr w:type="spellStart"/>
      <w:r w:rsidRPr="00C86A5C">
        <w:t>Lacouture</w:t>
      </w:r>
      <w:proofErr w:type="spellEnd"/>
      <w:r w:rsidRPr="00C86A5C">
        <w:t xml:space="preserve">, M. E., &amp; Markova, A. (2021). Association of interleukin-6 and tumor necrosis factor-α with mortality in hospitalized patients with cancer. </w:t>
      </w:r>
      <w:r w:rsidRPr="00C86A5C">
        <w:rPr>
          <w:i/>
          <w:iCs/>
        </w:rPr>
        <w:t>Journal of the American Academy of Dermatology</w:t>
      </w:r>
      <w:r w:rsidRPr="00C86A5C">
        <w:t xml:space="preserve">, </w:t>
      </w:r>
      <w:r w:rsidRPr="00C86A5C">
        <w:rPr>
          <w:i/>
          <w:iCs/>
        </w:rPr>
        <w:t>84</w:t>
      </w:r>
      <w:r w:rsidRPr="00C86A5C">
        <w:t>(2), 273–282. https://doi.org/10.1016/j.jaad.2020.03.010</w:t>
      </w:r>
    </w:p>
    <w:p w:rsidR="00C86A5C" w:rsidRPr="00E242F1" w:rsidRDefault="00C86A5C" w:rsidP="00E242F1">
      <w:pPr>
        <w:spacing w:line="360" w:lineRule="auto"/>
        <w:jc w:val="both"/>
      </w:pPr>
    </w:p>
    <w:p w:rsidR="00D049ED" w:rsidRPr="00E242F1" w:rsidRDefault="00954805" w:rsidP="00E242F1">
      <w:pPr>
        <w:spacing w:line="360" w:lineRule="auto"/>
        <w:jc w:val="both"/>
      </w:pPr>
      <w:proofErr w:type="gramStart"/>
      <w:r w:rsidRPr="00954805">
        <w:t>von</w:t>
      </w:r>
      <w:proofErr w:type="gramEnd"/>
      <w:r w:rsidRPr="00954805">
        <w:t xml:space="preserve"> Ahrens, D., </w:t>
      </w:r>
      <w:proofErr w:type="spellStart"/>
      <w:r w:rsidRPr="00954805">
        <w:t>Bhagat</w:t>
      </w:r>
      <w:proofErr w:type="spellEnd"/>
      <w:r w:rsidRPr="00954805">
        <w:t xml:space="preserve">, T. D., </w:t>
      </w:r>
      <w:proofErr w:type="spellStart"/>
      <w:r w:rsidRPr="00954805">
        <w:t>Nagrath</w:t>
      </w:r>
      <w:proofErr w:type="spellEnd"/>
      <w:r w:rsidRPr="00954805">
        <w:t xml:space="preserve">, D., </w:t>
      </w:r>
      <w:proofErr w:type="spellStart"/>
      <w:r w:rsidRPr="00954805">
        <w:t>Maitra</w:t>
      </w:r>
      <w:proofErr w:type="spellEnd"/>
      <w:r w:rsidRPr="00954805">
        <w:t xml:space="preserve">, A., &amp; </w:t>
      </w:r>
      <w:proofErr w:type="spellStart"/>
      <w:r w:rsidRPr="00954805">
        <w:t>Verma</w:t>
      </w:r>
      <w:proofErr w:type="spellEnd"/>
      <w:r w:rsidRPr="00954805">
        <w:t xml:space="preserve">, A. (2017). The role of stromal cancer-associated fibroblasts in pancreatic cancer. </w:t>
      </w:r>
      <w:r w:rsidRPr="00954805">
        <w:rPr>
          <w:i/>
          <w:iCs/>
        </w:rPr>
        <w:t>Journal of hematology &amp; oncology</w:t>
      </w:r>
      <w:r w:rsidRPr="00954805">
        <w:t xml:space="preserve">, </w:t>
      </w:r>
      <w:r w:rsidRPr="00954805">
        <w:rPr>
          <w:i/>
          <w:iCs/>
        </w:rPr>
        <w:t>10</w:t>
      </w:r>
      <w:r w:rsidRPr="00954805">
        <w:t xml:space="preserve">(1), 76. </w:t>
      </w:r>
      <w:hyperlink r:id="rId26" w:history="1">
        <w:r w:rsidRPr="00E242F1">
          <w:rPr>
            <w:rStyle w:val="Hyperlink"/>
          </w:rPr>
          <w:t>https://doi.org/10.1186/s13045-017-0448-5</w:t>
        </w:r>
      </w:hyperlink>
    </w:p>
    <w:p w:rsidR="00954805" w:rsidRPr="00E242F1" w:rsidRDefault="00954805" w:rsidP="00E242F1">
      <w:pPr>
        <w:spacing w:line="360" w:lineRule="auto"/>
        <w:jc w:val="both"/>
      </w:pPr>
    </w:p>
    <w:p w:rsidR="00954805" w:rsidRPr="00E242F1" w:rsidRDefault="00954805" w:rsidP="00E242F1">
      <w:pPr>
        <w:spacing w:line="360" w:lineRule="auto"/>
        <w:jc w:val="both"/>
      </w:pPr>
    </w:p>
    <w:sectPr w:rsidR="00954805" w:rsidRPr="00E242F1">
      <w:headerReference w:type="default" r:id="rId27"/>
      <w:footerReference w:type="default" r:id="rId28"/>
      <w:headerReference w:type="first" r:id="rId29"/>
      <w:footerReference w:type="first" r:id="rId30"/>
      <w:pgSz w:w="11906" w:h="16838"/>
      <w:pgMar w:top="1440" w:right="1440" w:bottom="1440" w:left="1440" w:header="708" w:footer="708" w:gutter="0"/>
      <w:pgNumType w:fmt="upperRoman"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916" w:rsidRDefault="00EC2916">
      <w:r>
        <w:separator/>
      </w:r>
    </w:p>
  </w:endnote>
  <w:endnote w:type="continuationSeparator" w:id="0">
    <w:p w:rsidR="00EC2916" w:rsidRDefault="00EC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7" w:rsidRDefault="002B1987">
    <w:pPr>
      <w:pStyle w:val="Head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7" w:rsidRDefault="0065792B">
    <w:pPr>
      <w:pStyle w:val="Header"/>
      <w:jc w:val="center"/>
    </w:pPr>
    <w:r>
      <w:fldChar w:fldCharType="begin"/>
    </w:r>
    <w:r>
      <w:instrText>PAGE</w:instrText>
    </w:r>
    <w:r>
      <w:fldChar w:fldCharType="separate"/>
    </w:r>
    <w:r w:rsidR="006015FC">
      <w:rPr>
        <w:noProof/>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916" w:rsidRDefault="00EC2916">
      <w:r>
        <w:separator/>
      </w:r>
    </w:p>
  </w:footnote>
  <w:footnote w:type="continuationSeparator" w:id="0">
    <w:p w:rsidR="00EC2916" w:rsidRDefault="00EC2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7" w:rsidRDefault="002B1987">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987" w:rsidRDefault="002B1987">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1EC4B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000002"/>
    <w:multiLevelType w:val="hybridMultilevel"/>
    <w:tmpl w:val="20D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3"/>
    <w:multiLevelType w:val="multilevel"/>
    <w:tmpl w:val="29C260B2"/>
    <w:lvl w:ilvl="0">
      <w:start w:val="1"/>
      <w:numFmt w:val="decimal"/>
      <w:lvlText w:val="%1."/>
      <w:lvlJc w:val="left"/>
      <w:pPr>
        <w:tabs>
          <w:tab w:val="left" w:pos="1440"/>
        </w:tabs>
        <w:ind w:left="1440" w:hanging="720"/>
      </w:pPr>
      <w:rPr>
        <w:rFonts w:hint="default"/>
      </w:rPr>
    </w:lvl>
    <w:lvl w:ilvl="1">
      <w:start w:val="4"/>
      <w:numFmt w:val="decimal"/>
      <w:isLgl/>
      <w:lvlText w:val="%1.%2"/>
      <w:lvlJc w:val="left"/>
      <w:pPr>
        <w:tabs>
          <w:tab w:val="left" w:pos="2160"/>
        </w:tabs>
        <w:ind w:left="2160" w:hanging="1440"/>
      </w:pPr>
      <w:rPr>
        <w:rFonts w:hint="default"/>
      </w:rPr>
    </w:lvl>
    <w:lvl w:ilvl="2">
      <w:start w:val="3"/>
      <w:numFmt w:val="decimal"/>
      <w:isLgl/>
      <w:lvlText w:val="%1.%2.%3"/>
      <w:lvlJc w:val="left"/>
      <w:pPr>
        <w:tabs>
          <w:tab w:val="left" w:pos="2160"/>
        </w:tabs>
        <w:ind w:left="2160" w:hanging="1440"/>
      </w:pPr>
      <w:rPr>
        <w:rFonts w:hint="default"/>
      </w:rPr>
    </w:lvl>
    <w:lvl w:ilvl="3">
      <w:start w:val="1"/>
      <w:numFmt w:val="decimal"/>
      <w:isLgl/>
      <w:lvlText w:val="%1.%2.%3.%4"/>
      <w:lvlJc w:val="left"/>
      <w:pPr>
        <w:tabs>
          <w:tab w:val="left" w:pos="2160"/>
        </w:tabs>
        <w:ind w:left="2160" w:hanging="1440"/>
      </w:pPr>
      <w:rPr>
        <w:rFonts w:hint="default"/>
      </w:rPr>
    </w:lvl>
    <w:lvl w:ilvl="4">
      <w:start w:val="1"/>
      <w:numFmt w:val="decimal"/>
      <w:isLgl/>
      <w:lvlText w:val="%1.%2.%3.%4.%5"/>
      <w:lvlJc w:val="left"/>
      <w:pPr>
        <w:tabs>
          <w:tab w:val="left" w:pos="2160"/>
        </w:tabs>
        <w:ind w:left="2160" w:hanging="1440"/>
      </w:pPr>
      <w:rPr>
        <w:rFonts w:hint="default"/>
      </w:rPr>
    </w:lvl>
    <w:lvl w:ilvl="5">
      <w:start w:val="1"/>
      <w:numFmt w:val="decimal"/>
      <w:isLgl/>
      <w:lvlText w:val="%1.%2.%3.%4.%5.%6"/>
      <w:lvlJc w:val="left"/>
      <w:pPr>
        <w:tabs>
          <w:tab w:val="left" w:pos="2160"/>
        </w:tabs>
        <w:ind w:left="2160" w:hanging="1440"/>
      </w:pPr>
      <w:rPr>
        <w:rFonts w:hint="default"/>
      </w:rPr>
    </w:lvl>
    <w:lvl w:ilvl="6">
      <w:start w:val="1"/>
      <w:numFmt w:val="decimal"/>
      <w:isLgl/>
      <w:lvlText w:val="%1.%2.%3.%4.%5.%6.%7"/>
      <w:lvlJc w:val="left"/>
      <w:pPr>
        <w:tabs>
          <w:tab w:val="left" w:pos="2520"/>
        </w:tabs>
        <w:ind w:left="2520" w:hanging="1800"/>
      </w:pPr>
      <w:rPr>
        <w:rFonts w:hint="default"/>
      </w:rPr>
    </w:lvl>
    <w:lvl w:ilvl="7">
      <w:start w:val="1"/>
      <w:numFmt w:val="decimal"/>
      <w:isLgl/>
      <w:lvlText w:val="%1.%2.%3.%4.%5.%6.%7.%8"/>
      <w:lvlJc w:val="left"/>
      <w:pPr>
        <w:tabs>
          <w:tab w:val="left" w:pos="2880"/>
        </w:tabs>
        <w:ind w:left="2880" w:hanging="2160"/>
      </w:pPr>
      <w:rPr>
        <w:rFonts w:hint="default"/>
      </w:rPr>
    </w:lvl>
    <w:lvl w:ilvl="8">
      <w:start w:val="1"/>
      <w:numFmt w:val="decimal"/>
      <w:isLgl/>
      <w:lvlText w:val="%1.%2.%3.%4.%5.%6.%7.%8.%9"/>
      <w:lvlJc w:val="left"/>
      <w:pPr>
        <w:tabs>
          <w:tab w:val="left" w:pos="2880"/>
        </w:tabs>
        <w:ind w:left="2880" w:hanging="2160"/>
      </w:pPr>
      <w:rPr>
        <w:rFonts w:hint="default"/>
      </w:rPr>
    </w:lvl>
  </w:abstractNum>
  <w:abstractNum w:abstractNumId="3">
    <w:nsid w:val="00000004"/>
    <w:multiLevelType w:val="hybridMultilevel"/>
    <w:tmpl w:val="057CD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multilevel"/>
    <w:tmpl w:val="B3A2065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hybridMultilevel"/>
    <w:tmpl w:val="160C401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7"/>
    <w:multiLevelType w:val="hybridMultilevel"/>
    <w:tmpl w:val="494A13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8"/>
    <w:multiLevelType w:val="hybridMultilevel"/>
    <w:tmpl w:val="55924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F8B25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000000A"/>
    <w:multiLevelType w:val="hybridMultilevel"/>
    <w:tmpl w:val="00F2B3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000000B"/>
    <w:multiLevelType w:val="hybridMultilevel"/>
    <w:tmpl w:val="5C187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000000C"/>
    <w:multiLevelType w:val="multilevel"/>
    <w:tmpl w:val="FFFFFFFF"/>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2">
    <w:nsid w:val="0000000D"/>
    <w:multiLevelType w:val="hybridMultilevel"/>
    <w:tmpl w:val="178476C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000000E"/>
    <w:multiLevelType w:val="hybridMultilevel"/>
    <w:tmpl w:val="045A6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000000F"/>
    <w:multiLevelType w:val="hybridMultilevel"/>
    <w:tmpl w:val="D9A2B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0000010"/>
    <w:multiLevelType w:val="multilevel"/>
    <w:tmpl w:val="DC6A496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6">
    <w:nsid w:val="00000011"/>
    <w:multiLevelType w:val="hybridMultilevel"/>
    <w:tmpl w:val="942C07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2"/>
    <w:multiLevelType w:val="multilevel"/>
    <w:tmpl w:val="5B4E236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8">
    <w:nsid w:val="00000013"/>
    <w:multiLevelType w:val="hybridMultilevel"/>
    <w:tmpl w:val="E5BE44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0000014"/>
    <w:multiLevelType w:val="hybridMultilevel"/>
    <w:tmpl w:val="3CCA8BA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0000015"/>
    <w:multiLevelType w:val="hybridMultilevel"/>
    <w:tmpl w:val="4FEA59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6"/>
    <w:multiLevelType w:val="hybridMultilevel"/>
    <w:tmpl w:val="83364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0000017"/>
    <w:multiLevelType w:val="hybridMultilevel"/>
    <w:tmpl w:val="82183D0A"/>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00000018"/>
    <w:multiLevelType w:val="hybridMultilevel"/>
    <w:tmpl w:val="FFDA06CC"/>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00000019"/>
    <w:multiLevelType w:val="hybridMultilevel"/>
    <w:tmpl w:val="D6FAF5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0000001A"/>
    <w:multiLevelType w:val="hybridMultilevel"/>
    <w:tmpl w:val="460EDC80"/>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26">
    <w:nsid w:val="0000001B"/>
    <w:multiLevelType w:val="hybridMultilevel"/>
    <w:tmpl w:val="6D827AF2"/>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C"/>
    <w:multiLevelType w:val="hybridMultilevel"/>
    <w:tmpl w:val="76F069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131B2022"/>
    <w:multiLevelType w:val="hybridMultilevel"/>
    <w:tmpl w:val="04FED076"/>
    <w:lvl w:ilvl="0" w:tplc="CC88008E">
      <w:start w:val="1"/>
      <w:numFmt w:val="bullet"/>
      <w:lvlText w:val="•"/>
      <w:lvlJc w:val="left"/>
      <w:pPr>
        <w:tabs>
          <w:tab w:val="num" w:pos="720"/>
        </w:tabs>
        <w:ind w:left="720" w:hanging="360"/>
      </w:pPr>
      <w:rPr>
        <w:rFonts w:ascii="Arial" w:hAnsi="Arial" w:hint="default"/>
      </w:rPr>
    </w:lvl>
    <w:lvl w:ilvl="1" w:tplc="9B86FD92" w:tentative="1">
      <w:start w:val="1"/>
      <w:numFmt w:val="bullet"/>
      <w:lvlText w:val="•"/>
      <w:lvlJc w:val="left"/>
      <w:pPr>
        <w:tabs>
          <w:tab w:val="num" w:pos="1440"/>
        </w:tabs>
        <w:ind w:left="1440" w:hanging="360"/>
      </w:pPr>
      <w:rPr>
        <w:rFonts w:ascii="Arial" w:hAnsi="Arial" w:hint="default"/>
      </w:rPr>
    </w:lvl>
    <w:lvl w:ilvl="2" w:tplc="50122744" w:tentative="1">
      <w:start w:val="1"/>
      <w:numFmt w:val="bullet"/>
      <w:lvlText w:val="•"/>
      <w:lvlJc w:val="left"/>
      <w:pPr>
        <w:tabs>
          <w:tab w:val="num" w:pos="2160"/>
        </w:tabs>
        <w:ind w:left="2160" w:hanging="360"/>
      </w:pPr>
      <w:rPr>
        <w:rFonts w:ascii="Arial" w:hAnsi="Arial" w:hint="default"/>
      </w:rPr>
    </w:lvl>
    <w:lvl w:ilvl="3" w:tplc="D750D8F2" w:tentative="1">
      <w:start w:val="1"/>
      <w:numFmt w:val="bullet"/>
      <w:lvlText w:val="•"/>
      <w:lvlJc w:val="left"/>
      <w:pPr>
        <w:tabs>
          <w:tab w:val="num" w:pos="2880"/>
        </w:tabs>
        <w:ind w:left="2880" w:hanging="360"/>
      </w:pPr>
      <w:rPr>
        <w:rFonts w:ascii="Arial" w:hAnsi="Arial" w:hint="default"/>
      </w:rPr>
    </w:lvl>
    <w:lvl w:ilvl="4" w:tplc="6024B8EE" w:tentative="1">
      <w:start w:val="1"/>
      <w:numFmt w:val="bullet"/>
      <w:lvlText w:val="•"/>
      <w:lvlJc w:val="left"/>
      <w:pPr>
        <w:tabs>
          <w:tab w:val="num" w:pos="3600"/>
        </w:tabs>
        <w:ind w:left="3600" w:hanging="360"/>
      </w:pPr>
      <w:rPr>
        <w:rFonts w:ascii="Arial" w:hAnsi="Arial" w:hint="default"/>
      </w:rPr>
    </w:lvl>
    <w:lvl w:ilvl="5" w:tplc="1FAC54C8" w:tentative="1">
      <w:start w:val="1"/>
      <w:numFmt w:val="bullet"/>
      <w:lvlText w:val="•"/>
      <w:lvlJc w:val="left"/>
      <w:pPr>
        <w:tabs>
          <w:tab w:val="num" w:pos="4320"/>
        </w:tabs>
        <w:ind w:left="4320" w:hanging="360"/>
      </w:pPr>
      <w:rPr>
        <w:rFonts w:ascii="Arial" w:hAnsi="Arial" w:hint="default"/>
      </w:rPr>
    </w:lvl>
    <w:lvl w:ilvl="6" w:tplc="1864203A" w:tentative="1">
      <w:start w:val="1"/>
      <w:numFmt w:val="bullet"/>
      <w:lvlText w:val="•"/>
      <w:lvlJc w:val="left"/>
      <w:pPr>
        <w:tabs>
          <w:tab w:val="num" w:pos="5040"/>
        </w:tabs>
        <w:ind w:left="5040" w:hanging="360"/>
      </w:pPr>
      <w:rPr>
        <w:rFonts w:ascii="Arial" w:hAnsi="Arial" w:hint="default"/>
      </w:rPr>
    </w:lvl>
    <w:lvl w:ilvl="7" w:tplc="B1B62570" w:tentative="1">
      <w:start w:val="1"/>
      <w:numFmt w:val="bullet"/>
      <w:lvlText w:val="•"/>
      <w:lvlJc w:val="left"/>
      <w:pPr>
        <w:tabs>
          <w:tab w:val="num" w:pos="5760"/>
        </w:tabs>
        <w:ind w:left="5760" w:hanging="360"/>
      </w:pPr>
      <w:rPr>
        <w:rFonts w:ascii="Arial" w:hAnsi="Arial" w:hint="default"/>
      </w:rPr>
    </w:lvl>
    <w:lvl w:ilvl="8" w:tplc="B270F2CC" w:tentative="1">
      <w:start w:val="1"/>
      <w:numFmt w:val="bullet"/>
      <w:lvlText w:val="•"/>
      <w:lvlJc w:val="left"/>
      <w:pPr>
        <w:tabs>
          <w:tab w:val="num" w:pos="6480"/>
        </w:tabs>
        <w:ind w:left="6480" w:hanging="360"/>
      </w:pPr>
      <w:rPr>
        <w:rFonts w:ascii="Arial" w:hAnsi="Arial" w:hint="default"/>
      </w:rPr>
    </w:lvl>
  </w:abstractNum>
  <w:abstractNum w:abstractNumId="29">
    <w:nsid w:val="45842735"/>
    <w:multiLevelType w:val="hybridMultilevel"/>
    <w:tmpl w:val="F5CC3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1"/>
  </w:num>
  <w:num w:numId="3">
    <w:abstractNumId w:val="0"/>
  </w:num>
  <w:num w:numId="4">
    <w:abstractNumId w:val="29"/>
  </w:num>
  <w:num w:numId="5">
    <w:abstractNumId w:val="25"/>
  </w:num>
  <w:num w:numId="6">
    <w:abstractNumId w:val="3"/>
  </w:num>
  <w:num w:numId="7">
    <w:abstractNumId w:val="2"/>
  </w:num>
  <w:num w:numId="8">
    <w:abstractNumId w:val="11"/>
  </w:num>
  <w:num w:numId="9">
    <w:abstractNumId w:val="8"/>
  </w:num>
  <w:num w:numId="10">
    <w:abstractNumId w:val="10"/>
  </w:num>
  <w:num w:numId="11">
    <w:abstractNumId w:val="15"/>
  </w:num>
  <w:num w:numId="12">
    <w:abstractNumId w:val="4"/>
  </w:num>
  <w:num w:numId="13">
    <w:abstractNumId w:val="17"/>
  </w:num>
  <w:num w:numId="14">
    <w:abstractNumId w:val="16"/>
  </w:num>
  <w:num w:numId="15">
    <w:abstractNumId w:val="14"/>
  </w:num>
  <w:num w:numId="16">
    <w:abstractNumId w:val="5"/>
  </w:num>
  <w:num w:numId="17">
    <w:abstractNumId w:val="12"/>
  </w:num>
  <w:num w:numId="18">
    <w:abstractNumId w:val="9"/>
  </w:num>
  <w:num w:numId="19">
    <w:abstractNumId w:val="7"/>
  </w:num>
  <w:num w:numId="20">
    <w:abstractNumId w:val="13"/>
  </w:num>
  <w:num w:numId="21">
    <w:abstractNumId w:val="6"/>
  </w:num>
  <w:num w:numId="22">
    <w:abstractNumId w:val="21"/>
  </w:num>
  <w:num w:numId="23">
    <w:abstractNumId w:val="24"/>
  </w:num>
  <w:num w:numId="24">
    <w:abstractNumId w:val="20"/>
  </w:num>
  <w:num w:numId="25">
    <w:abstractNumId w:val="19"/>
  </w:num>
  <w:num w:numId="26">
    <w:abstractNumId w:val="22"/>
  </w:num>
  <w:num w:numId="27">
    <w:abstractNumId w:val="26"/>
  </w:num>
  <w:num w:numId="28">
    <w:abstractNumId w:val="23"/>
  </w:num>
  <w:num w:numId="29">
    <w:abstractNumId w:val="18"/>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1987"/>
    <w:rsid w:val="00055359"/>
    <w:rsid w:val="0008073F"/>
    <w:rsid w:val="000A55DE"/>
    <w:rsid w:val="00174437"/>
    <w:rsid w:val="001D4C65"/>
    <w:rsid w:val="002B1987"/>
    <w:rsid w:val="00452114"/>
    <w:rsid w:val="0049290C"/>
    <w:rsid w:val="004C0CE5"/>
    <w:rsid w:val="006015FC"/>
    <w:rsid w:val="006473E1"/>
    <w:rsid w:val="0065555A"/>
    <w:rsid w:val="0065792B"/>
    <w:rsid w:val="006A3916"/>
    <w:rsid w:val="006F498D"/>
    <w:rsid w:val="00720C88"/>
    <w:rsid w:val="00954805"/>
    <w:rsid w:val="00A34A04"/>
    <w:rsid w:val="00B357E1"/>
    <w:rsid w:val="00B82C78"/>
    <w:rsid w:val="00B83666"/>
    <w:rsid w:val="00BC508F"/>
    <w:rsid w:val="00BD0119"/>
    <w:rsid w:val="00BE2040"/>
    <w:rsid w:val="00C079EB"/>
    <w:rsid w:val="00C15175"/>
    <w:rsid w:val="00C41E28"/>
    <w:rsid w:val="00C86A5C"/>
    <w:rsid w:val="00CB4167"/>
    <w:rsid w:val="00CE2A48"/>
    <w:rsid w:val="00D049ED"/>
    <w:rsid w:val="00DA04B2"/>
    <w:rsid w:val="00E02874"/>
    <w:rsid w:val="00E242F1"/>
    <w:rsid w:val="00E3632B"/>
    <w:rsid w:val="00E90F4A"/>
    <w:rsid w:val="00E961E2"/>
    <w:rsid w:val="00EB56F7"/>
    <w:rsid w:val="00EC2916"/>
    <w:rsid w:val="00EF7268"/>
    <w:rsid w:val="00FC00A7"/>
    <w:rsid w:val="00FF06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B7A015-4F4B-474C-ABF7-B2BEE1EF6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kern w:val="2"/>
        <w:sz w:val="22"/>
        <w:szCs w:val="22"/>
        <w:lang w:val="en-US" w:eastAsia="en-GB"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4B2"/>
    <w:rPr>
      <w:rFonts w:ascii="Times New Roman" w:eastAsia="Times New Roman" w:hAnsi="Times New Roman" w:cs="Times New Roman"/>
      <w:kern w:val="0"/>
      <w:sz w:val="24"/>
      <w:szCs w:val="24"/>
      <w:lang w:eastAsia="en-US"/>
      <w14:ligatures w14:val="none"/>
    </w:rPr>
  </w:style>
  <w:style w:type="paragraph" w:styleId="Heading4">
    <w:name w:val="heading 4"/>
    <w:basedOn w:val="Normal"/>
    <w:next w:val="Normal"/>
    <w:link w:val="Heading4Char"/>
    <w:uiPriority w:val="9"/>
    <w:semiHidden/>
    <w:unhideWhenUsed/>
    <w:qFormat/>
    <w:rsid w:val="00C41E28"/>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qFormat/>
    <w:pPr>
      <w:keepNext/>
      <w:keepLines/>
      <w:spacing w:before="40"/>
      <w:outlineLvl w:val="4"/>
    </w:pPr>
    <w:rPr>
      <w:rFonts w:ascii="Calibri Light" w:hAnsi="Calibri Light"/>
      <w:color w:val="2F549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Times New Roman" w:eastAsia="Times New Roman" w:hAnsi="Times New Roman" w:cs="Times New Roman"/>
      <w:kern w:val="0"/>
      <w:sz w:val="16"/>
      <w:szCs w:val="16"/>
      <w:lang w:val="en-US" w:eastAsia="en-US"/>
      <w14:ligatures w14:val="none"/>
    </w:rPr>
  </w:style>
  <w:style w:type="character" w:customStyle="1" w:styleId="Heading5Char">
    <w:name w:val="Heading 5 Char"/>
    <w:basedOn w:val="DefaultParagraphFont"/>
    <w:link w:val="Heading5"/>
    <w:uiPriority w:val="9"/>
    <w:rPr>
      <w:rFonts w:ascii="Calibri Light" w:eastAsia="SimSun" w:hAnsi="Calibri Light" w:cs="SimSun"/>
      <w:color w:val="2F5496"/>
    </w:rPr>
  </w:style>
  <w:style w:type="paragraph" w:styleId="BodyTextIndent2">
    <w:name w:val="Body Text Indent 2"/>
    <w:basedOn w:val="Normal"/>
    <w:link w:val="BodyTextIndent2Char"/>
    <w:pPr>
      <w:spacing w:after="120" w:line="480" w:lineRule="auto"/>
      <w:ind w:left="360"/>
    </w:pPr>
    <w:rPr>
      <w:sz w:val="20"/>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kern w:val="0"/>
      <w:sz w:val="20"/>
      <w:szCs w:val="20"/>
      <w:lang w:val="en-US" w:eastAsia="en-US"/>
      <w14:ligatures w14:val="none"/>
    </w:rPr>
  </w:style>
  <w:style w:type="paragraph" w:styleId="ListParagraph">
    <w:name w:val="List Paragraph"/>
    <w:basedOn w:val="Normal"/>
    <w:uiPriority w:val="34"/>
    <w:qFormat/>
    <w:pPr>
      <w:spacing w:after="200" w:line="276" w:lineRule="auto"/>
      <w:ind w:left="720"/>
      <w:contextualSpacing/>
    </w:pPr>
    <w:rPr>
      <w:rFonts w:eastAsia="Calibri"/>
    </w:rPr>
  </w:style>
  <w:style w:type="character" w:customStyle="1" w:styleId="bumpedfont15">
    <w:name w:val="bumpedfont15"/>
    <w:basedOn w:val="DefaultParagraphFont"/>
  </w:style>
  <w:style w:type="character" w:customStyle="1" w:styleId="apple-converted-space">
    <w:name w:val="apple-converted-space"/>
    <w:basedOn w:val="DefaultParagraphFont"/>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style>
  <w:style w:type="character" w:customStyle="1" w:styleId="UnresolvedMention">
    <w:name w:val="Unresolved Mention"/>
    <w:basedOn w:val="DefaultParagraphFont"/>
    <w:uiPriority w:val="99"/>
    <w:rPr>
      <w:color w:val="605E5C"/>
      <w:shd w:val="clear" w:color="auto" w:fill="E1DFDD"/>
    </w:rPr>
  </w:style>
  <w:style w:type="character" w:customStyle="1" w:styleId="Heading4Char">
    <w:name w:val="Heading 4 Char"/>
    <w:basedOn w:val="DefaultParagraphFont"/>
    <w:link w:val="Heading4"/>
    <w:uiPriority w:val="9"/>
    <w:semiHidden/>
    <w:rsid w:val="00C41E28"/>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C41E2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1399">
      <w:bodyDiv w:val="1"/>
      <w:marLeft w:val="0"/>
      <w:marRight w:val="0"/>
      <w:marTop w:val="0"/>
      <w:marBottom w:val="0"/>
      <w:divBdr>
        <w:top w:val="none" w:sz="0" w:space="0" w:color="auto"/>
        <w:left w:val="none" w:sz="0" w:space="0" w:color="auto"/>
        <w:bottom w:val="none" w:sz="0" w:space="0" w:color="auto"/>
        <w:right w:val="none" w:sz="0" w:space="0" w:color="auto"/>
      </w:divBdr>
    </w:div>
    <w:div w:id="9112711">
      <w:bodyDiv w:val="1"/>
      <w:marLeft w:val="0"/>
      <w:marRight w:val="0"/>
      <w:marTop w:val="0"/>
      <w:marBottom w:val="0"/>
      <w:divBdr>
        <w:top w:val="none" w:sz="0" w:space="0" w:color="auto"/>
        <w:left w:val="none" w:sz="0" w:space="0" w:color="auto"/>
        <w:bottom w:val="none" w:sz="0" w:space="0" w:color="auto"/>
        <w:right w:val="none" w:sz="0" w:space="0" w:color="auto"/>
      </w:divBdr>
      <w:divsChild>
        <w:div w:id="18238115">
          <w:marLeft w:val="0"/>
          <w:marRight w:val="0"/>
          <w:marTop w:val="0"/>
          <w:marBottom w:val="0"/>
          <w:divBdr>
            <w:top w:val="none" w:sz="0" w:space="0" w:color="auto"/>
            <w:left w:val="none" w:sz="0" w:space="0" w:color="auto"/>
            <w:bottom w:val="none" w:sz="0" w:space="0" w:color="auto"/>
            <w:right w:val="none" w:sz="0" w:space="0" w:color="auto"/>
          </w:divBdr>
        </w:div>
      </w:divsChild>
    </w:div>
    <w:div w:id="37511371">
      <w:bodyDiv w:val="1"/>
      <w:marLeft w:val="0"/>
      <w:marRight w:val="0"/>
      <w:marTop w:val="0"/>
      <w:marBottom w:val="0"/>
      <w:divBdr>
        <w:top w:val="none" w:sz="0" w:space="0" w:color="auto"/>
        <w:left w:val="none" w:sz="0" w:space="0" w:color="auto"/>
        <w:bottom w:val="none" w:sz="0" w:space="0" w:color="auto"/>
        <w:right w:val="none" w:sz="0" w:space="0" w:color="auto"/>
      </w:divBdr>
    </w:div>
    <w:div w:id="72700675">
      <w:bodyDiv w:val="1"/>
      <w:marLeft w:val="0"/>
      <w:marRight w:val="0"/>
      <w:marTop w:val="0"/>
      <w:marBottom w:val="0"/>
      <w:divBdr>
        <w:top w:val="none" w:sz="0" w:space="0" w:color="auto"/>
        <w:left w:val="none" w:sz="0" w:space="0" w:color="auto"/>
        <w:bottom w:val="none" w:sz="0" w:space="0" w:color="auto"/>
        <w:right w:val="none" w:sz="0" w:space="0" w:color="auto"/>
      </w:divBdr>
      <w:divsChild>
        <w:div w:id="24408819">
          <w:marLeft w:val="0"/>
          <w:marRight w:val="0"/>
          <w:marTop w:val="0"/>
          <w:marBottom w:val="0"/>
          <w:divBdr>
            <w:top w:val="none" w:sz="0" w:space="0" w:color="auto"/>
            <w:left w:val="none" w:sz="0" w:space="0" w:color="auto"/>
            <w:bottom w:val="none" w:sz="0" w:space="0" w:color="auto"/>
            <w:right w:val="none" w:sz="0" w:space="0" w:color="auto"/>
          </w:divBdr>
        </w:div>
      </w:divsChild>
    </w:div>
    <w:div w:id="103690958">
      <w:bodyDiv w:val="1"/>
      <w:marLeft w:val="0"/>
      <w:marRight w:val="0"/>
      <w:marTop w:val="0"/>
      <w:marBottom w:val="0"/>
      <w:divBdr>
        <w:top w:val="none" w:sz="0" w:space="0" w:color="auto"/>
        <w:left w:val="none" w:sz="0" w:space="0" w:color="auto"/>
        <w:bottom w:val="none" w:sz="0" w:space="0" w:color="auto"/>
        <w:right w:val="none" w:sz="0" w:space="0" w:color="auto"/>
      </w:divBdr>
      <w:divsChild>
        <w:div w:id="2010020803">
          <w:marLeft w:val="0"/>
          <w:marRight w:val="0"/>
          <w:marTop w:val="0"/>
          <w:marBottom w:val="0"/>
          <w:divBdr>
            <w:top w:val="none" w:sz="0" w:space="0" w:color="auto"/>
            <w:left w:val="none" w:sz="0" w:space="0" w:color="auto"/>
            <w:bottom w:val="none" w:sz="0" w:space="0" w:color="auto"/>
            <w:right w:val="none" w:sz="0" w:space="0" w:color="auto"/>
          </w:divBdr>
        </w:div>
      </w:divsChild>
    </w:div>
    <w:div w:id="134643567">
      <w:bodyDiv w:val="1"/>
      <w:marLeft w:val="0"/>
      <w:marRight w:val="0"/>
      <w:marTop w:val="0"/>
      <w:marBottom w:val="0"/>
      <w:divBdr>
        <w:top w:val="none" w:sz="0" w:space="0" w:color="auto"/>
        <w:left w:val="none" w:sz="0" w:space="0" w:color="auto"/>
        <w:bottom w:val="none" w:sz="0" w:space="0" w:color="auto"/>
        <w:right w:val="none" w:sz="0" w:space="0" w:color="auto"/>
      </w:divBdr>
      <w:divsChild>
        <w:div w:id="1466435558">
          <w:marLeft w:val="0"/>
          <w:marRight w:val="0"/>
          <w:marTop w:val="0"/>
          <w:marBottom w:val="0"/>
          <w:divBdr>
            <w:top w:val="none" w:sz="0" w:space="0" w:color="auto"/>
            <w:left w:val="none" w:sz="0" w:space="0" w:color="auto"/>
            <w:bottom w:val="none" w:sz="0" w:space="0" w:color="auto"/>
            <w:right w:val="none" w:sz="0" w:space="0" w:color="auto"/>
          </w:divBdr>
        </w:div>
      </w:divsChild>
    </w:div>
    <w:div w:id="174808977">
      <w:bodyDiv w:val="1"/>
      <w:marLeft w:val="0"/>
      <w:marRight w:val="0"/>
      <w:marTop w:val="0"/>
      <w:marBottom w:val="0"/>
      <w:divBdr>
        <w:top w:val="none" w:sz="0" w:space="0" w:color="auto"/>
        <w:left w:val="none" w:sz="0" w:space="0" w:color="auto"/>
        <w:bottom w:val="none" w:sz="0" w:space="0" w:color="auto"/>
        <w:right w:val="none" w:sz="0" w:space="0" w:color="auto"/>
      </w:divBdr>
      <w:divsChild>
        <w:div w:id="75632244">
          <w:marLeft w:val="0"/>
          <w:marRight w:val="0"/>
          <w:marTop w:val="0"/>
          <w:marBottom w:val="0"/>
          <w:divBdr>
            <w:top w:val="none" w:sz="0" w:space="0" w:color="auto"/>
            <w:left w:val="none" w:sz="0" w:space="0" w:color="auto"/>
            <w:bottom w:val="none" w:sz="0" w:space="0" w:color="auto"/>
            <w:right w:val="none" w:sz="0" w:space="0" w:color="auto"/>
          </w:divBdr>
        </w:div>
      </w:divsChild>
    </w:div>
    <w:div w:id="244075523">
      <w:bodyDiv w:val="1"/>
      <w:marLeft w:val="0"/>
      <w:marRight w:val="0"/>
      <w:marTop w:val="0"/>
      <w:marBottom w:val="0"/>
      <w:divBdr>
        <w:top w:val="none" w:sz="0" w:space="0" w:color="auto"/>
        <w:left w:val="none" w:sz="0" w:space="0" w:color="auto"/>
        <w:bottom w:val="none" w:sz="0" w:space="0" w:color="auto"/>
        <w:right w:val="none" w:sz="0" w:space="0" w:color="auto"/>
      </w:divBdr>
      <w:divsChild>
        <w:div w:id="1503427139">
          <w:marLeft w:val="0"/>
          <w:marRight w:val="0"/>
          <w:marTop w:val="0"/>
          <w:marBottom w:val="0"/>
          <w:divBdr>
            <w:top w:val="none" w:sz="0" w:space="0" w:color="auto"/>
            <w:left w:val="none" w:sz="0" w:space="0" w:color="auto"/>
            <w:bottom w:val="none" w:sz="0" w:space="0" w:color="auto"/>
            <w:right w:val="none" w:sz="0" w:space="0" w:color="auto"/>
          </w:divBdr>
        </w:div>
      </w:divsChild>
    </w:div>
    <w:div w:id="288510504">
      <w:bodyDiv w:val="1"/>
      <w:marLeft w:val="0"/>
      <w:marRight w:val="0"/>
      <w:marTop w:val="0"/>
      <w:marBottom w:val="0"/>
      <w:divBdr>
        <w:top w:val="none" w:sz="0" w:space="0" w:color="auto"/>
        <w:left w:val="none" w:sz="0" w:space="0" w:color="auto"/>
        <w:bottom w:val="none" w:sz="0" w:space="0" w:color="auto"/>
        <w:right w:val="none" w:sz="0" w:space="0" w:color="auto"/>
      </w:divBdr>
    </w:div>
    <w:div w:id="330569658">
      <w:bodyDiv w:val="1"/>
      <w:marLeft w:val="0"/>
      <w:marRight w:val="0"/>
      <w:marTop w:val="0"/>
      <w:marBottom w:val="0"/>
      <w:divBdr>
        <w:top w:val="none" w:sz="0" w:space="0" w:color="auto"/>
        <w:left w:val="none" w:sz="0" w:space="0" w:color="auto"/>
        <w:bottom w:val="none" w:sz="0" w:space="0" w:color="auto"/>
        <w:right w:val="none" w:sz="0" w:space="0" w:color="auto"/>
      </w:divBdr>
    </w:div>
    <w:div w:id="365911491">
      <w:bodyDiv w:val="1"/>
      <w:marLeft w:val="0"/>
      <w:marRight w:val="0"/>
      <w:marTop w:val="0"/>
      <w:marBottom w:val="0"/>
      <w:divBdr>
        <w:top w:val="none" w:sz="0" w:space="0" w:color="auto"/>
        <w:left w:val="none" w:sz="0" w:space="0" w:color="auto"/>
        <w:bottom w:val="none" w:sz="0" w:space="0" w:color="auto"/>
        <w:right w:val="none" w:sz="0" w:space="0" w:color="auto"/>
      </w:divBdr>
      <w:divsChild>
        <w:div w:id="1492790189">
          <w:marLeft w:val="0"/>
          <w:marRight w:val="0"/>
          <w:marTop w:val="0"/>
          <w:marBottom w:val="0"/>
          <w:divBdr>
            <w:top w:val="none" w:sz="0" w:space="0" w:color="auto"/>
            <w:left w:val="none" w:sz="0" w:space="0" w:color="auto"/>
            <w:bottom w:val="none" w:sz="0" w:space="0" w:color="auto"/>
            <w:right w:val="none" w:sz="0" w:space="0" w:color="auto"/>
          </w:divBdr>
        </w:div>
      </w:divsChild>
    </w:div>
    <w:div w:id="393704488">
      <w:bodyDiv w:val="1"/>
      <w:marLeft w:val="0"/>
      <w:marRight w:val="0"/>
      <w:marTop w:val="0"/>
      <w:marBottom w:val="0"/>
      <w:divBdr>
        <w:top w:val="none" w:sz="0" w:space="0" w:color="auto"/>
        <w:left w:val="none" w:sz="0" w:space="0" w:color="auto"/>
        <w:bottom w:val="none" w:sz="0" w:space="0" w:color="auto"/>
        <w:right w:val="none" w:sz="0" w:space="0" w:color="auto"/>
      </w:divBdr>
      <w:divsChild>
        <w:div w:id="742140618">
          <w:marLeft w:val="0"/>
          <w:marRight w:val="0"/>
          <w:marTop w:val="0"/>
          <w:marBottom w:val="0"/>
          <w:divBdr>
            <w:top w:val="none" w:sz="0" w:space="0" w:color="auto"/>
            <w:left w:val="none" w:sz="0" w:space="0" w:color="auto"/>
            <w:bottom w:val="none" w:sz="0" w:space="0" w:color="auto"/>
            <w:right w:val="none" w:sz="0" w:space="0" w:color="auto"/>
          </w:divBdr>
        </w:div>
      </w:divsChild>
    </w:div>
    <w:div w:id="462387850">
      <w:bodyDiv w:val="1"/>
      <w:marLeft w:val="0"/>
      <w:marRight w:val="0"/>
      <w:marTop w:val="0"/>
      <w:marBottom w:val="0"/>
      <w:divBdr>
        <w:top w:val="none" w:sz="0" w:space="0" w:color="auto"/>
        <w:left w:val="none" w:sz="0" w:space="0" w:color="auto"/>
        <w:bottom w:val="none" w:sz="0" w:space="0" w:color="auto"/>
        <w:right w:val="none" w:sz="0" w:space="0" w:color="auto"/>
      </w:divBdr>
      <w:divsChild>
        <w:div w:id="802044502">
          <w:marLeft w:val="0"/>
          <w:marRight w:val="0"/>
          <w:marTop w:val="0"/>
          <w:marBottom w:val="0"/>
          <w:divBdr>
            <w:top w:val="none" w:sz="0" w:space="0" w:color="auto"/>
            <w:left w:val="none" w:sz="0" w:space="0" w:color="auto"/>
            <w:bottom w:val="none" w:sz="0" w:space="0" w:color="auto"/>
            <w:right w:val="none" w:sz="0" w:space="0" w:color="auto"/>
          </w:divBdr>
        </w:div>
      </w:divsChild>
    </w:div>
    <w:div w:id="521093485">
      <w:bodyDiv w:val="1"/>
      <w:marLeft w:val="0"/>
      <w:marRight w:val="0"/>
      <w:marTop w:val="0"/>
      <w:marBottom w:val="0"/>
      <w:divBdr>
        <w:top w:val="none" w:sz="0" w:space="0" w:color="auto"/>
        <w:left w:val="none" w:sz="0" w:space="0" w:color="auto"/>
        <w:bottom w:val="none" w:sz="0" w:space="0" w:color="auto"/>
        <w:right w:val="none" w:sz="0" w:space="0" w:color="auto"/>
      </w:divBdr>
    </w:div>
    <w:div w:id="524562557">
      <w:bodyDiv w:val="1"/>
      <w:marLeft w:val="0"/>
      <w:marRight w:val="0"/>
      <w:marTop w:val="0"/>
      <w:marBottom w:val="0"/>
      <w:divBdr>
        <w:top w:val="none" w:sz="0" w:space="0" w:color="auto"/>
        <w:left w:val="none" w:sz="0" w:space="0" w:color="auto"/>
        <w:bottom w:val="none" w:sz="0" w:space="0" w:color="auto"/>
        <w:right w:val="none" w:sz="0" w:space="0" w:color="auto"/>
      </w:divBdr>
    </w:div>
    <w:div w:id="597716155">
      <w:bodyDiv w:val="1"/>
      <w:marLeft w:val="0"/>
      <w:marRight w:val="0"/>
      <w:marTop w:val="0"/>
      <w:marBottom w:val="0"/>
      <w:divBdr>
        <w:top w:val="none" w:sz="0" w:space="0" w:color="auto"/>
        <w:left w:val="none" w:sz="0" w:space="0" w:color="auto"/>
        <w:bottom w:val="none" w:sz="0" w:space="0" w:color="auto"/>
        <w:right w:val="none" w:sz="0" w:space="0" w:color="auto"/>
      </w:divBdr>
    </w:div>
    <w:div w:id="599723532">
      <w:bodyDiv w:val="1"/>
      <w:marLeft w:val="0"/>
      <w:marRight w:val="0"/>
      <w:marTop w:val="0"/>
      <w:marBottom w:val="0"/>
      <w:divBdr>
        <w:top w:val="none" w:sz="0" w:space="0" w:color="auto"/>
        <w:left w:val="none" w:sz="0" w:space="0" w:color="auto"/>
        <w:bottom w:val="none" w:sz="0" w:space="0" w:color="auto"/>
        <w:right w:val="none" w:sz="0" w:space="0" w:color="auto"/>
      </w:divBdr>
      <w:divsChild>
        <w:div w:id="1220939628">
          <w:marLeft w:val="547"/>
          <w:marRight w:val="0"/>
          <w:marTop w:val="96"/>
          <w:marBottom w:val="0"/>
          <w:divBdr>
            <w:top w:val="none" w:sz="0" w:space="0" w:color="auto"/>
            <w:left w:val="none" w:sz="0" w:space="0" w:color="auto"/>
            <w:bottom w:val="none" w:sz="0" w:space="0" w:color="auto"/>
            <w:right w:val="none" w:sz="0" w:space="0" w:color="auto"/>
          </w:divBdr>
        </w:div>
      </w:divsChild>
    </w:div>
    <w:div w:id="648289383">
      <w:bodyDiv w:val="1"/>
      <w:marLeft w:val="0"/>
      <w:marRight w:val="0"/>
      <w:marTop w:val="0"/>
      <w:marBottom w:val="0"/>
      <w:divBdr>
        <w:top w:val="none" w:sz="0" w:space="0" w:color="auto"/>
        <w:left w:val="none" w:sz="0" w:space="0" w:color="auto"/>
        <w:bottom w:val="none" w:sz="0" w:space="0" w:color="auto"/>
        <w:right w:val="none" w:sz="0" w:space="0" w:color="auto"/>
      </w:divBdr>
      <w:divsChild>
        <w:div w:id="462161745">
          <w:marLeft w:val="0"/>
          <w:marRight w:val="0"/>
          <w:marTop w:val="0"/>
          <w:marBottom w:val="0"/>
          <w:divBdr>
            <w:top w:val="none" w:sz="0" w:space="0" w:color="auto"/>
            <w:left w:val="none" w:sz="0" w:space="0" w:color="auto"/>
            <w:bottom w:val="none" w:sz="0" w:space="0" w:color="auto"/>
            <w:right w:val="none" w:sz="0" w:space="0" w:color="auto"/>
          </w:divBdr>
        </w:div>
      </w:divsChild>
    </w:div>
    <w:div w:id="649402720">
      <w:bodyDiv w:val="1"/>
      <w:marLeft w:val="0"/>
      <w:marRight w:val="0"/>
      <w:marTop w:val="0"/>
      <w:marBottom w:val="0"/>
      <w:divBdr>
        <w:top w:val="none" w:sz="0" w:space="0" w:color="auto"/>
        <w:left w:val="none" w:sz="0" w:space="0" w:color="auto"/>
        <w:bottom w:val="none" w:sz="0" w:space="0" w:color="auto"/>
        <w:right w:val="none" w:sz="0" w:space="0" w:color="auto"/>
      </w:divBdr>
      <w:divsChild>
        <w:div w:id="1939561980">
          <w:marLeft w:val="0"/>
          <w:marRight w:val="0"/>
          <w:marTop w:val="0"/>
          <w:marBottom w:val="0"/>
          <w:divBdr>
            <w:top w:val="none" w:sz="0" w:space="0" w:color="auto"/>
            <w:left w:val="none" w:sz="0" w:space="0" w:color="auto"/>
            <w:bottom w:val="none" w:sz="0" w:space="0" w:color="auto"/>
            <w:right w:val="none" w:sz="0" w:space="0" w:color="auto"/>
          </w:divBdr>
        </w:div>
      </w:divsChild>
    </w:div>
    <w:div w:id="651712949">
      <w:bodyDiv w:val="1"/>
      <w:marLeft w:val="0"/>
      <w:marRight w:val="0"/>
      <w:marTop w:val="0"/>
      <w:marBottom w:val="0"/>
      <w:divBdr>
        <w:top w:val="none" w:sz="0" w:space="0" w:color="auto"/>
        <w:left w:val="none" w:sz="0" w:space="0" w:color="auto"/>
        <w:bottom w:val="none" w:sz="0" w:space="0" w:color="auto"/>
        <w:right w:val="none" w:sz="0" w:space="0" w:color="auto"/>
      </w:divBdr>
      <w:divsChild>
        <w:div w:id="868224499">
          <w:marLeft w:val="0"/>
          <w:marRight w:val="0"/>
          <w:marTop w:val="0"/>
          <w:marBottom w:val="0"/>
          <w:divBdr>
            <w:top w:val="none" w:sz="0" w:space="0" w:color="auto"/>
            <w:left w:val="none" w:sz="0" w:space="0" w:color="auto"/>
            <w:bottom w:val="none" w:sz="0" w:space="0" w:color="auto"/>
            <w:right w:val="none" w:sz="0" w:space="0" w:color="auto"/>
          </w:divBdr>
        </w:div>
      </w:divsChild>
    </w:div>
    <w:div w:id="750081543">
      <w:bodyDiv w:val="1"/>
      <w:marLeft w:val="0"/>
      <w:marRight w:val="0"/>
      <w:marTop w:val="0"/>
      <w:marBottom w:val="0"/>
      <w:divBdr>
        <w:top w:val="none" w:sz="0" w:space="0" w:color="auto"/>
        <w:left w:val="none" w:sz="0" w:space="0" w:color="auto"/>
        <w:bottom w:val="none" w:sz="0" w:space="0" w:color="auto"/>
        <w:right w:val="none" w:sz="0" w:space="0" w:color="auto"/>
      </w:divBdr>
      <w:divsChild>
        <w:div w:id="1740399437">
          <w:marLeft w:val="0"/>
          <w:marRight w:val="0"/>
          <w:marTop w:val="0"/>
          <w:marBottom w:val="0"/>
          <w:divBdr>
            <w:top w:val="none" w:sz="0" w:space="0" w:color="auto"/>
            <w:left w:val="none" w:sz="0" w:space="0" w:color="auto"/>
            <w:bottom w:val="none" w:sz="0" w:space="0" w:color="auto"/>
            <w:right w:val="none" w:sz="0" w:space="0" w:color="auto"/>
          </w:divBdr>
        </w:div>
      </w:divsChild>
    </w:div>
    <w:div w:id="880358150">
      <w:bodyDiv w:val="1"/>
      <w:marLeft w:val="0"/>
      <w:marRight w:val="0"/>
      <w:marTop w:val="0"/>
      <w:marBottom w:val="0"/>
      <w:divBdr>
        <w:top w:val="none" w:sz="0" w:space="0" w:color="auto"/>
        <w:left w:val="none" w:sz="0" w:space="0" w:color="auto"/>
        <w:bottom w:val="none" w:sz="0" w:space="0" w:color="auto"/>
        <w:right w:val="none" w:sz="0" w:space="0" w:color="auto"/>
      </w:divBdr>
      <w:divsChild>
        <w:div w:id="1285697637">
          <w:marLeft w:val="0"/>
          <w:marRight w:val="0"/>
          <w:marTop w:val="0"/>
          <w:marBottom w:val="0"/>
          <w:divBdr>
            <w:top w:val="none" w:sz="0" w:space="0" w:color="auto"/>
            <w:left w:val="none" w:sz="0" w:space="0" w:color="auto"/>
            <w:bottom w:val="none" w:sz="0" w:space="0" w:color="auto"/>
            <w:right w:val="none" w:sz="0" w:space="0" w:color="auto"/>
          </w:divBdr>
        </w:div>
      </w:divsChild>
    </w:div>
    <w:div w:id="903487499">
      <w:bodyDiv w:val="1"/>
      <w:marLeft w:val="0"/>
      <w:marRight w:val="0"/>
      <w:marTop w:val="0"/>
      <w:marBottom w:val="0"/>
      <w:divBdr>
        <w:top w:val="none" w:sz="0" w:space="0" w:color="auto"/>
        <w:left w:val="none" w:sz="0" w:space="0" w:color="auto"/>
        <w:bottom w:val="none" w:sz="0" w:space="0" w:color="auto"/>
        <w:right w:val="none" w:sz="0" w:space="0" w:color="auto"/>
      </w:divBdr>
      <w:divsChild>
        <w:div w:id="1693530644">
          <w:marLeft w:val="0"/>
          <w:marRight w:val="0"/>
          <w:marTop w:val="0"/>
          <w:marBottom w:val="0"/>
          <w:divBdr>
            <w:top w:val="none" w:sz="0" w:space="0" w:color="auto"/>
            <w:left w:val="none" w:sz="0" w:space="0" w:color="auto"/>
            <w:bottom w:val="none" w:sz="0" w:space="0" w:color="auto"/>
            <w:right w:val="none" w:sz="0" w:space="0" w:color="auto"/>
          </w:divBdr>
        </w:div>
      </w:divsChild>
    </w:div>
    <w:div w:id="1000816598">
      <w:bodyDiv w:val="1"/>
      <w:marLeft w:val="0"/>
      <w:marRight w:val="0"/>
      <w:marTop w:val="0"/>
      <w:marBottom w:val="0"/>
      <w:divBdr>
        <w:top w:val="none" w:sz="0" w:space="0" w:color="auto"/>
        <w:left w:val="none" w:sz="0" w:space="0" w:color="auto"/>
        <w:bottom w:val="none" w:sz="0" w:space="0" w:color="auto"/>
        <w:right w:val="none" w:sz="0" w:space="0" w:color="auto"/>
      </w:divBdr>
      <w:divsChild>
        <w:div w:id="1026949191">
          <w:marLeft w:val="0"/>
          <w:marRight w:val="0"/>
          <w:marTop w:val="0"/>
          <w:marBottom w:val="0"/>
          <w:divBdr>
            <w:top w:val="none" w:sz="0" w:space="0" w:color="auto"/>
            <w:left w:val="none" w:sz="0" w:space="0" w:color="auto"/>
            <w:bottom w:val="none" w:sz="0" w:space="0" w:color="auto"/>
            <w:right w:val="none" w:sz="0" w:space="0" w:color="auto"/>
          </w:divBdr>
        </w:div>
      </w:divsChild>
    </w:div>
    <w:div w:id="1045175160">
      <w:bodyDiv w:val="1"/>
      <w:marLeft w:val="0"/>
      <w:marRight w:val="0"/>
      <w:marTop w:val="0"/>
      <w:marBottom w:val="0"/>
      <w:divBdr>
        <w:top w:val="none" w:sz="0" w:space="0" w:color="auto"/>
        <w:left w:val="none" w:sz="0" w:space="0" w:color="auto"/>
        <w:bottom w:val="none" w:sz="0" w:space="0" w:color="auto"/>
        <w:right w:val="none" w:sz="0" w:space="0" w:color="auto"/>
      </w:divBdr>
    </w:div>
    <w:div w:id="1064718363">
      <w:bodyDiv w:val="1"/>
      <w:marLeft w:val="0"/>
      <w:marRight w:val="0"/>
      <w:marTop w:val="0"/>
      <w:marBottom w:val="0"/>
      <w:divBdr>
        <w:top w:val="none" w:sz="0" w:space="0" w:color="auto"/>
        <w:left w:val="none" w:sz="0" w:space="0" w:color="auto"/>
        <w:bottom w:val="none" w:sz="0" w:space="0" w:color="auto"/>
        <w:right w:val="none" w:sz="0" w:space="0" w:color="auto"/>
      </w:divBdr>
      <w:divsChild>
        <w:div w:id="1684287169">
          <w:marLeft w:val="0"/>
          <w:marRight w:val="0"/>
          <w:marTop w:val="0"/>
          <w:marBottom w:val="0"/>
          <w:divBdr>
            <w:top w:val="none" w:sz="0" w:space="0" w:color="auto"/>
            <w:left w:val="none" w:sz="0" w:space="0" w:color="auto"/>
            <w:bottom w:val="none" w:sz="0" w:space="0" w:color="auto"/>
            <w:right w:val="none" w:sz="0" w:space="0" w:color="auto"/>
          </w:divBdr>
        </w:div>
      </w:divsChild>
    </w:div>
    <w:div w:id="1101687132">
      <w:bodyDiv w:val="1"/>
      <w:marLeft w:val="0"/>
      <w:marRight w:val="0"/>
      <w:marTop w:val="0"/>
      <w:marBottom w:val="0"/>
      <w:divBdr>
        <w:top w:val="none" w:sz="0" w:space="0" w:color="auto"/>
        <w:left w:val="none" w:sz="0" w:space="0" w:color="auto"/>
        <w:bottom w:val="none" w:sz="0" w:space="0" w:color="auto"/>
        <w:right w:val="none" w:sz="0" w:space="0" w:color="auto"/>
      </w:divBdr>
      <w:divsChild>
        <w:div w:id="600768927">
          <w:marLeft w:val="0"/>
          <w:marRight w:val="0"/>
          <w:marTop w:val="0"/>
          <w:marBottom w:val="0"/>
          <w:divBdr>
            <w:top w:val="none" w:sz="0" w:space="0" w:color="auto"/>
            <w:left w:val="none" w:sz="0" w:space="0" w:color="auto"/>
            <w:bottom w:val="none" w:sz="0" w:space="0" w:color="auto"/>
            <w:right w:val="none" w:sz="0" w:space="0" w:color="auto"/>
          </w:divBdr>
        </w:div>
      </w:divsChild>
    </w:div>
    <w:div w:id="1155881560">
      <w:bodyDiv w:val="1"/>
      <w:marLeft w:val="0"/>
      <w:marRight w:val="0"/>
      <w:marTop w:val="0"/>
      <w:marBottom w:val="0"/>
      <w:divBdr>
        <w:top w:val="none" w:sz="0" w:space="0" w:color="auto"/>
        <w:left w:val="none" w:sz="0" w:space="0" w:color="auto"/>
        <w:bottom w:val="none" w:sz="0" w:space="0" w:color="auto"/>
        <w:right w:val="none" w:sz="0" w:space="0" w:color="auto"/>
      </w:divBdr>
    </w:div>
    <w:div w:id="1185443395">
      <w:bodyDiv w:val="1"/>
      <w:marLeft w:val="0"/>
      <w:marRight w:val="0"/>
      <w:marTop w:val="0"/>
      <w:marBottom w:val="0"/>
      <w:divBdr>
        <w:top w:val="none" w:sz="0" w:space="0" w:color="auto"/>
        <w:left w:val="none" w:sz="0" w:space="0" w:color="auto"/>
        <w:bottom w:val="none" w:sz="0" w:space="0" w:color="auto"/>
        <w:right w:val="none" w:sz="0" w:space="0" w:color="auto"/>
      </w:divBdr>
      <w:divsChild>
        <w:div w:id="1554123795">
          <w:marLeft w:val="0"/>
          <w:marRight w:val="0"/>
          <w:marTop w:val="0"/>
          <w:marBottom w:val="0"/>
          <w:divBdr>
            <w:top w:val="none" w:sz="0" w:space="0" w:color="auto"/>
            <w:left w:val="none" w:sz="0" w:space="0" w:color="auto"/>
            <w:bottom w:val="none" w:sz="0" w:space="0" w:color="auto"/>
            <w:right w:val="none" w:sz="0" w:space="0" w:color="auto"/>
          </w:divBdr>
        </w:div>
      </w:divsChild>
    </w:div>
    <w:div w:id="1190725532">
      <w:bodyDiv w:val="1"/>
      <w:marLeft w:val="0"/>
      <w:marRight w:val="0"/>
      <w:marTop w:val="0"/>
      <w:marBottom w:val="0"/>
      <w:divBdr>
        <w:top w:val="none" w:sz="0" w:space="0" w:color="auto"/>
        <w:left w:val="none" w:sz="0" w:space="0" w:color="auto"/>
        <w:bottom w:val="none" w:sz="0" w:space="0" w:color="auto"/>
        <w:right w:val="none" w:sz="0" w:space="0" w:color="auto"/>
      </w:divBdr>
      <w:divsChild>
        <w:div w:id="1978143320">
          <w:marLeft w:val="0"/>
          <w:marRight w:val="0"/>
          <w:marTop w:val="0"/>
          <w:marBottom w:val="0"/>
          <w:divBdr>
            <w:top w:val="none" w:sz="0" w:space="0" w:color="auto"/>
            <w:left w:val="none" w:sz="0" w:space="0" w:color="auto"/>
            <w:bottom w:val="none" w:sz="0" w:space="0" w:color="auto"/>
            <w:right w:val="none" w:sz="0" w:space="0" w:color="auto"/>
          </w:divBdr>
        </w:div>
      </w:divsChild>
    </w:div>
    <w:div w:id="1197232783">
      <w:bodyDiv w:val="1"/>
      <w:marLeft w:val="0"/>
      <w:marRight w:val="0"/>
      <w:marTop w:val="0"/>
      <w:marBottom w:val="0"/>
      <w:divBdr>
        <w:top w:val="none" w:sz="0" w:space="0" w:color="auto"/>
        <w:left w:val="none" w:sz="0" w:space="0" w:color="auto"/>
        <w:bottom w:val="none" w:sz="0" w:space="0" w:color="auto"/>
        <w:right w:val="none" w:sz="0" w:space="0" w:color="auto"/>
      </w:divBdr>
      <w:divsChild>
        <w:div w:id="1503739333">
          <w:marLeft w:val="0"/>
          <w:marRight w:val="0"/>
          <w:marTop w:val="0"/>
          <w:marBottom w:val="0"/>
          <w:divBdr>
            <w:top w:val="none" w:sz="0" w:space="0" w:color="auto"/>
            <w:left w:val="none" w:sz="0" w:space="0" w:color="auto"/>
            <w:bottom w:val="none" w:sz="0" w:space="0" w:color="auto"/>
            <w:right w:val="none" w:sz="0" w:space="0" w:color="auto"/>
          </w:divBdr>
        </w:div>
      </w:divsChild>
    </w:div>
    <w:div w:id="1248805900">
      <w:bodyDiv w:val="1"/>
      <w:marLeft w:val="0"/>
      <w:marRight w:val="0"/>
      <w:marTop w:val="0"/>
      <w:marBottom w:val="0"/>
      <w:divBdr>
        <w:top w:val="none" w:sz="0" w:space="0" w:color="auto"/>
        <w:left w:val="none" w:sz="0" w:space="0" w:color="auto"/>
        <w:bottom w:val="none" w:sz="0" w:space="0" w:color="auto"/>
        <w:right w:val="none" w:sz="0" w:space="0" w:color="auto"/>
      </w:divBdr>
    </w:div>
    <w:div w:id="1351489673">
      <w:bodyDiv w:val="1"/>
      <w:marLeft w:val="0"/>
      <w:marRight w:val="0"/>
      <w:marTop w:val="0"/>
      <w:marBottom w:val="0"/>
      <w:divBdr>
        <w:top w:val="none" w:sz="0" w:space="0" w:color="auto"/>
        <w:left w:val="none" w:sz="0" w:space="0" w:color="auto"/>
        <w:bottom w:val="none" w:sz="0" w:space="0" w:color="auto"/>
        <w:right w:val="none" w:sz="0" w:space="0" w:color="auto"/>
      </w:divBdr>
      <w:divsChild>
        <w:div w:id="1397162346">
          <w:marLeft w:val="0"/>
          <w:marRight w:val="0"/>
          <w:marTop w:val="0"/>
          <w:marBottom w:val="0"/>
          <w:divBdr>
            <w:top w:val="none" w:sz="0" w:space="0" w:color="auto"/>
            <w:left w:val="none" w:sz="0" w:space="0" w:color="auto"/>
            <w:bottom w:val="none" w:sz="0" w:space="0" w:color="auto"/>
            <w:right w:val="none" w:sz="0" w:space="0" w:color="auto"/>
          </w:divBdr>
        </w:div>
      </w:divsChild>
    </w:div>
    <w:div w:id="1386756739">
      <w:bodyDiv w:val="1"/>
      <w:marLeft w:val="0"/>
      <w:marRight w:val="0"/>
      <w:marTop w:val="0"/>
      <w:marBottom w:val="0"/>
      <w:divBdr>
        <w:top w:val="none" w:sz="0" w:space="0" w:color="auto"/>
        <w:left w:val="none" w:sz="0" w:space="0" w:color="auto"/>
        <w:bottom w:val="none" w:sz="0" w:space="0" w:color="auto"/>
        <w:right w:val="none" w:sz="0" w:space="0" w:color="auto"/>
      </w:divBdr>
    </w:div>
    <w:div w:id="1503004403">
      <w:bodyDiv w:val="1"/>
      <w:marLeft w:val="0"/>
      <w:marRight w:val="0"/>
      <w:marTop w:val="0"/>
      <w:marBottom w:val="0"/>
      <w:divBdr>
        <w:top w:val="none" w:sz="0" w:space="0" w:color="auto"/>
        <w:left w:val="none" w:sz="0" w:space="0" w:color="auto"/>
        <w:bottom w:val="none" w:sz="0" w:space="0" w:color="auto"/>
        <w:right w:val="none" w:sz="0" w:space="0" w:color="auto"/>
      </w:divBdr>
      <w:divsChild>
        <w:div w:id="1425498141">
          <w:marLeft w:val="0"/>
          <w:marRight w:val="0"/>
          <w:marTop w:val="0"/>
          <w:marBottom w:val="0"/>
          <w:divBdr>
            <w:top w:val="none" w:sz="0" w:space="0" w:color="auto"/>
            <w:left w:val="none" w:sz="0" w:space="0" w:color="auto"/>
            <w:bottom w:val="none" w:sz="0" w:space="0" w:color="auto"/>
            <w:right w:val="none" w:sz="0" w:space="0" w:color="auto"/>
          </w:divBdr>
        </w:div>
      </w:divsChild>
    </w:div>
    <w:div w:id="1547913994">
      <w:bodyDiv w:val="1"/>
      <w:marLeft w:val="0"/>
      <w:marRight w:val="0"/>
      <w:marTop w:val="0"/>
      <w:marBottom w:val="0"/>
      <w:divBdr>
        <w:top w:val="none" w:sz="0" w:space="0" w:color="auto"/>
        <w:left w:val="none" w:sz="0" w:space="0" w:color="auto"/>
        <w:bottom w:val="none" w:sz="0" w:space="0" w:color="auto"/>
        <w:right w:val="none" w:sz="0" w:space="0" w:color="auto"/>
      </w:divBdr>
      <w:divsChild>
        <w:div w:id="281814161">
          <w:marLeft w:val="0"/>
          <w:marRight w:val="0"/>
          <w:marTop w:val="0"/>
          <w:marBottom w:val="0"/>
          <w:divBdr>
            <w:top w:val="none" w:sz="0" w:space="0" w:color="auto"/>
            <w:left w:val="none" w:sz="0" w:space="0" w:color="auto"/>
            <w:bottom w:val="none" w:sz="0" w:space="0" w:color="auto"/>
            <w:right w:val="none" w:sz="0" w:space="0" w:color="auto"/>
          </w:divBdr>
        </w:div>
      </w:divsChild>
    </w:div>
    <w:div w:id="1594508322">
      <w:bodyDiv w:val="1"/>
      <w:marLeft w:val="0"/>
      <w:marRight w:val="0"/>
      <w:marTop w:val="0"/>
      <w:marBottom w:val="0"/>
      <w:divBdr>
        <w:top w:val="none" w:sz="0" w:space="0" w:color="auto"/>
        <w:left w:val="none" w:sz="0" w:space="0" w:color="auto"/>
        <w:bottom w:val="none" w:sz="0" w:space="0" w:color="auto"/>
        <w:right w:val="none" w:sz="0" w:space="0" w:color="auto"/>
      </w:divBdr>
      <w:divsChild>
        <w:div w:id="6953077">
          <w:marLeft w:val="0"/>
          <w:marRight w:val="0"/>
          <w:marTop w:val="0"/>
          <w:marBottom w:val="0"/>
          <w:divBdr>
            <w:top w:val="none" w:sz="0" w:space="0" w:color="auto"/>
            <w:left w:val="none" w:sz="0" w:space="0" w:color="auto"/>
            <w:bottom w:val="none" w:sz="0" w:space="0" w:color="auto"/>
            <w:right w:val="none" w:sz="0" w:space="0" w:color="auto"/>
          </w:divBdr>
        </w:div>
      </w:divsChild>
    </w:div>
    <w:div w:id="1696416628">
      <w:bodyDiv w:val="1"/>
      <w:marLeft w:val="0"/>
      <w:marRight w:val="0"/>
      <w:marTop w:val="0"/>
      <w:marBottom w:val="0"/>
      <w:divBdr>
        <w:top w:val="none" w:sz="0" w:space="0" w:color="auto"/>
        <w:left w:val="none" w:sz="0" w:space="0" w:color="auto"/>
        <w:bottom w:val="none" w:sz="0" w:space="0" w:color="auto"/>
        <w:right w:val="none" w:sz="0" w:space="0" w:color="auto"/>
      </w:divBdr>
      <w:divsChild>
        <w:div w:id="1902861711">
          <w:marLeft w:val="0"/>
          <w:marRight w:val="0"/>
          <w:marTop w:val="0"/>
          <w:marBottom w:val="0"/>
          <w:divBdr>
            <w:top w:val="none" w:sz="0" w:space="0" w:color="auto"/>
            <w:left w:val="none" w:sz="0" w:space="0" w:color="auto"/>
            <w:bottom w:val="none" w:sz="0" w:space="0" w:color="auto"/>
            <w:right w:val="none" w:sz="0" w:space="0" w:color="auto"/>
          </w:divBdr>
        </w:div>
      </w:divsChild>
    </w:div>
    <w:div w:id="1701517157">
      <w:bodyDiv w:val="1"/>
      <w:marLeft w:val="0"/>
      <w:marRight w:val="0"/>
      <w:marTop w:val="0"/>
      <w:marBottom w:val="0"/>
      <w:divBdr>
        <w:top w:val="none" w:sz="0" w:space="0" w:color="auto"/>
        <w:left w:val="none" w:sz="0" w:space="0" w:color="auto"/>
        <w:bottom w:val="none" w:sz="0" w:space="0" w:color="auto"/>
        <w:right w:val="none" w:sz="0" w:space="0" w:color="auto"/>
      </w:divBdr>
    </w:div>
    <w:div w:id="2004622152">
      <w:bodyDiv w:val="1"/>
      <w:marLeft w:val="0"/>
      <w:marRight w:val="0"/>
      <w:marTop w:val="0"/>
      <w:marBottom w:val="0"/>
      <w:divBdr>
        <w:top w:val="none" w:sz="0" w:space="0" w:color="auto"/>
        <w:left w:val="none" w:sz="0" w:space="0" w:color="auto"/>
        <w:bottom w:val="none" w:sz="0" w:space="0" w:color="auto"/>
        <w:right w:val="none" w:sz="0" w:space="0" w:color="auto"/>
      </w:divBdr>
      <w:divsChild>
        <w:div w:id="1022437979">
          <w:marLeft w:val="0"/>
          <w:marRight w:val="0"/>
          <w:marTop w:val="0"/>
          <w:marBottom w:val="0"/>
          <w:divBdr>
            <w:top w:val="none" w:sz="0" w:space="0" w:color="auto"/>
            <w:left w:val="none" w:sz="0" w:space="0" w:color="auto"/>
            <w:bottom w:val="none" w:sz="0" w:space="0" w:color="auto"/>
            <w:right w:val="none" w:sz="0" w:space="0" w:color="auto"/>
          </w:divBdr>
        </w:div>
      </w:divsChild>
    </w:div>
    <w:div w:id="2085107138">
      <w:bodyDiv w:val="1"/>
      <w:marLeft w:val="0"/>
      <w:marRight w:val="0"/>
      <w:marTop w:val="0"/>
      <w:marBottom w:val="0"/>
      <w:divBdr>
        <w:top w:val="none" w:sz="0" w:space="0" w:color="auto"/>
        <w:left w:val="none" w:sz="0" w:space="0" w:color="auto"/>
        <w:bottom w:val="none" w:sz="0" w:space="0" w:color="auto"/>
        <w:right w:val="none" w:sz="0" w:space="0" w:color="auto"/>
      </w:divBdr>
      <w:divsChild>
        <w:div w:id="30542685">
          <w:marLeft w:val="0"/>
          <w:marRight w:val="0"/>
          <w:marTop w:val="0"/>
          <w:marBottom w:val="0"/>
          <w:divBdr>
            <w:top w:val="none" w:sz="0" w:space="0" w:color="auto"/>
            <w:left w:val="none" w:sz="0" w:space="0" w:color="auto"/>
            <w:bottom w:val="none" w:sz="0" w:space="0" w:color="auto"/>
            <w:right w:val="none" w:sz="0" w:space="0" w:color="auto"/>
          </w:divBdr>
        </w:div>
      </w:divsChild>
    </w:div>
    <w:div w:id="2089501103">
      <w:bodyDiv w:val="1"/>
      <w:marLeft w:val="0"/>
      <w:marRight w:val="0"/>
      <w:marTop w:val="0"/>
      <w:marBottom w:val="0"/>
      <w:divBdr>
        <w:top w:val="none" w:sz="0" w:space="0" w:color="auto"/>
        <w:left w:val="none" w:sz="0" w:space="0" w:color="auto"/>
        <w:bottom w:val="none" w:sz="0" w:space="0" w:color="auto"/>
        <w:right w:val="none" w:sz="0" w:space="0" w:color="auto"/>
      </w:divBdr>
      <w:divsChild>
        <w:div w:id="690377977">
          <w:marLeft w:val="0"/>
          <w:marRight w:val="0"/>
          <w:marTop w:val="0"/>
          <w:marBottom w:val="0"/>
          <w:divBdr>
            <w:top w:val="none" w:sz="0" w:space="0" w:color="auto"/>
            <w:left w:val="none" w:sz="0" w:space="0" w:color="auto"/>
            <w:bottom w:val="none" w:sz="0" w:space="0" w:color="auto"/>
            <w:right w:val="none" w:sz="0" w:space="0" w:color="auto"/>
          </w:divBdr>
        </w:div>
      </w:divsChild>
    </w:div>
    <w:div w:id="2109815214">
      <w:bodyDiv w:val="1"/>
      <w:marLeft w:val="0"/>
      <w:marRight w:val="0"/>
      <w:marTop w:val="0"/>
      <w:marBottom w:val="0"/>
      <w:divBdr>
        <w:top w:val="none" w:sz="0" w:space="0" w:color="auto"/>
        <w:left w:val="none" w:sz="0" w:space="0" w:color="auto"/>
        <w:bottom w:val="none" w:sz="0" w:space="0" w:color="auto"/>
        <w:right w:val="none" w:sz="0" w:space="0" w:color="auto"/>
      </w:divBdr>
      <w:divsChild>
        <w:div w:id="297954098">
          <w:marLeft w:val="0"/>
          <w:marRight w:val="0"/>
          <w:marTop w:val="0"/>
          <w:marBottom w:val="0"/>
          <w:divBdr>
            <w:top w:val="none" w:sz="0" w:space="0" w:color="auto"/>
            <w:left w:val="none" w:sz="0" w:space="0" w:color="auto"/>
            <w:bottom w:val="none" w:sz="0" w:space="0" w:color="auto"/>
            <w:right w:val="none" w:sz="0" w:space="0" w:color="auto"/>
          </w:divBdr>
        </w:div>
      </w:divsChild>
    </w:div>
    <w:div w:id="2136175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annonc/mdv036" TargetMode="External"/><Relationship Id="rId13" Type="http://schemas.openxmlformats.org/officeDocument/2006/relationships/hyperlink" Target="https://doi.org/10.1038/s41588-020-0673-7" TargetMode="External"/><Relationship Id="rId18" Type="http://schemas.openxmlformats.org/officeDocument/2006/relationships/hyperlink" Target="https://doi.org/10.1186/s12957-018-1339-0" TargetMode="External"/><Relationship Id="rId26" Type="http://schemas.openxmlformats.org/officeDocument/2006/relationships/hyperlink" Target="https://doi.org/10.1186/s13045-017-0448-5" TargetMode="External"/><Relationship Id="rId3" Type="http://schemas.openxmlformats.org/officeDocument/2006/relationships/settings" Target="settings.xml"/><Relationship Id="rId21" Type="http://schemas.openxmlformats.org/officeDocument/2006/relationships/hyperlink" Target="https://doi.org/10.4049/jimmunol.1490019" TargetMode="External"/><Relationship Id="rId7" Type="http://schemas.openxmlformats.org/officeDocument/2006/relationships/hyperlink" Target="https://doi.org/10.1158/1078-0432.CCR-18-0873" TargetMode="External"/><Relationship Id="rId12" Type="http://schemas.openxmlformats.org/officeDocument/2006/relationships/hyperlink" Target="https://doi.org/10.4137/BIC.S15056" TargetMode="External"/><Relationship Id="rId17" Type="http://schemas.openxmlformats.org/officeDocument/2006/relationships/hyperlink" Target="https://doi.org/10.1186/s12929-016-0279-7" TargetMode="External"/><Relationship Id="rId25" Type="http://schemas.openxmlformats.org/officeDocument/2006/relationships/hyperlink" Target="https://doi.org/10.1016/S1470-2045(01)00560-5" TargetMode="External"/><Relationship Id="rId2" Type="http://schemas.openxmlformats.org/officeDocument/2006/relationships/styles" Target="styles.xml"/><Relationship Id="rId16" Type="http://schemas.openxmlformats.org/officeDocument/2006/relationships/hyperlink" Target="https://doi.org/10.1146/annurev.pharmtox.41.1.347" TargetMode="External"/><Relationship Id="rId20" Type="http://schemas.openxmlformats.org/officeDocument/2006/relationships/hyperlink" Target="https://doi.org/10.2147/DDDT.S308578"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3389/fcell.2020.00402" TargetMode="External"/><Relationship Id="rId24" Type="http://schemas.openxmlformats.org/officeDocument/2006/relationships/hyperlink" Target="https://doi.org/10.1186/s12981-023-00558-4"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28/JVI.01812-18" TargetMode="External"/><Relationship Id="rId23" Type="http://schemas.openxmlformats.org/officeDocument/2006/relationships/hyperlink" Target="https://doi.org/10.1007/s10067-017-3826-z" TargetMode="External"/><Relationship Id="rId28" Type="http://schemas.openxmlformats.org/officeDocument/2006/relationships/footer" Target="footer1.xml"/><Relationship Id="rId10" Type="http://schemas.openxmlformats.org/officeDocument/2006/relationships/hyperlink" Target="https://doi.org/10.3390/cancers12123730" TargetMode="External"/><Relationship Id="rId19" Type="http://schemas.openxmlformats.org/officeDocument/2006/relationships/hyperlink" Target="https://doi.org/10.1038/s41434-018-0044-5"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371/journal.ppat.1007175" TargetMode="External"/><Relationship Id="rId14" Type="http://schemas.openxmlformats.org/officeDocument/2006/relationships/hyperlink" Target="https://doi.org/10.3390/cancers12061605" TargetMode="External"/><Relationship Id="rId22" Type="http://schemas.openxmlformats.org/officeDocument/2006/relationships/hyperlink" Target="https://doi.org/10.7326/M17-2499"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11579</TotalTime>
  <Pages>13</Pages>
  <Words>4056</Words>
  <Characters>23121</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Nzenwaku Kenechukwu David</dc:creator>
  <cp:lastModifiedBy>hp</cp:lastModifiedBy>
  <cp:revision>52</cp:revision>
  <dcterms:created xsi:type="dcterms:W3CDTF">2023-10-01T22:40:00Z</dcterms:created>
  <dcterms:modified xsi:type="dcterms:W3CDTF">2024-01-29T11:31:00Z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e78a5c02f553a2a3b16a169ab8ad0419cf7d32a8ad499b8f8bc7a3158b1be59b</vt:lpwstr>
  </property>
  <property fmtid="{D5CDD505-2E9C-101B-9397-08002B2CF9AE}" pid="3" name="ICV">
    <vt:lpwstr>186625ff04c042ffa77cafed7c691cf7</vt:lpwstr>
  </property>
</Properties>
</file>