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2F92" w:rsidRDefault="00742F92">
      <w:pPr>
        <w:pStyle w:val="Heading1"/>
        <w:spacing w:before="31"/>
        <w:ind w:left="554" w:right="433" w:firstLine="0"/>
        <w:jc w:val="center"/>
        <w:rPr>
          <w:sz w:val="28"/>
          <w:szCs w:val="28"/>
        </w:rPr>
      </w:pPr>
      <w:r w:rsidRPr="00742F92">
        <w:rPr>
          <w:sz w:val="28"/>
          <w:szCs w:val="28"/>
        </w:rPr>
        <w:t>INVESTIGATION</w:t>
      </w:r>
      <w:r>
        <w:rPr>
          <w:sz w:val="28"/>
          <w:szCs w:val="28"/>
        </w:rPr>
        <w:t xml:space="preserve"> OF HEPATOPROTECTIVE ACTIVITY </w:t>
      </w:r>
      <w:r w:rsidRPr="00742F92">
        <w:rPr>
          <w:sz w:val="28"/>
          <w:szCs w:val="28"/>
        </w:rPr>
        <w:t>IN LEAVES</w:t>
      </w:r>
      <w:r>
        <w:rPr>
          <w:sz w:val="28"/>
          <w:szCs w:val="28"/>
        </w:rPr>
        <w:t xml:space="preserve"> OF </w:t>
      </w:r>
      <w:r w:rsidRPr="00742F92">
        <w:rPr>
          <w:sz w:val="28"/>
          <w:szCs w:val="28"/>
        </w:rPr>
        <w:t xml:space="preserve">DESMODIUM GANGETICUM </w:t>
      </w:r>
      <w:r w:rsidR="00D227A2" w:rsidRPr="00D227A2">
        <w:rPr>
          <w:sz w:val="28"/>
          <w:szCs w:val="28"/>
        </w:rPr>
        <w:t xml:space="preserve">AGAINST </w:t>
      </w:r>
      <w:r w:rsidR="00D227A2">
        <w:rPr>
          <w:sz w:val="28"/>
          <w:szCs w:val="28"/>
        </w:rPr>
        <w:t>DICLOFENAC</w:t>
      </w:r>
      <w:r w:rsidR="00D227A2" w:rsidRPr="00D227A2">
        <w:rPr>
          <w:sz w:val="28"/>
          <w:szCs w:val="28"/>
        </w:rPr>
        <w:t xml:space="preserve"> INDUCED-LIVER DAMAGE IN RATS</w:t>
      </w:r>
    </w:p>
    <w:p w:rsidR="00BB3AD6" w:rsidRDefault="00742F92">
      <w:pPr>
        <w:pStyle w:val="Heading1"/>
        <w:spacing w:before="31"/>
        <w:ind w:left="554" w:right="433" w:firstLine="0"/>
        <w:jc w:val="center"/>
        <w:rPr>
          <w:sz w:val="16"/>
        </w:rPr>
      </w:pPr>
      <w:proofErr w:type="spellStart"/>
      <w:r>
        <w:t>Kousar</w:t>
      </w:r>
      <w:proofErr w:type="spellEnd"/>
      <w:r>
        <w:t xml:space="preserve"> Begum</w:t>
      </w:r>
      <w:r w:rsidR="00987AC1">
        <w:rPr>
          <w:position w:val="8"/>
          <w:sz w:val="16"/>
        </w:rPr>
        <w:t>1</w:t>
      </w:r>
      <w:r w:rsidR="00987AC1">
        <w:t>,</w:t>
      </w:r>
      <w:r w:rsidR="00987AC1">
        <w:rPr>
          <w:spacing w:val="-1"/>
        </w:rPr>
        <w:t xml:space="preserve"> </w:t>
      </w:r>
      <w:proofErr w:type="spellStart"/>
      <w:r>
        <w:rPr>
          <w:spacing w:val="-1"/>
        </w:rPr>
        <w:t>Dr</w:t>
      </w:r>
      <w:proofErr w:type="spellEnd"/>
      <w:r>
        <w:rPr>
          <w:spacing w:val="-1"/>
        </w:rPr>
        <w:t xml:space="preserve"> </w:t>
      </w:r>
      <w:proofErr w:type="spellStart"/>
      <w:r>
        <w:rPr>
          <w:spacing w:val="-1"/>
        </w:rPr>
        <w:t>Rangu</w:t>
      </w:r>
      <w:proofErr w:type="spellEnd"/>
      <w:r>
        <w:rPr>
          <w:spacing w:val="-1"/>
        </w:rPr>
        <w:t xml:space="preserve"> </w:t>
      </w:r>
      <w:proofErr w:type="spellStart"/>
      <w:r>
        <w:rPr>
          <w:spacing w:val="-1"/>
        </w:rPr>
        <w:t>Nirmal</w:t>
      </w:r>
      <w:r w:rsidR="00987AC1">
        <w:t>a</w:t>
      </w:r>
      <w:proofErr w:type="spellEnd"/>
      <w:r w:rsidR="00987AC1">
        <w:rPr>
          <w:position w:val="8"/>
          <w:sz w:val="16"/>
        </w:rPr>
        <w:t>2</w:t>
      </w:r>
      <w:r>
        <w:rPr>
          <w:position w:val="8"/>
          <w:sz w:val="16"/>
        </w:rPr>
        <w:t>*</w:t>
      </w:r>
    </w:p>
    <w:p w:rsidR="00BB3AD6" w:rsidRDefault="00987AC1">
      <w:pPr>
        <w:pStyle w:val="Heading2"/>
        <w:spacing w:before="84" w:line="276" w:lineRule="auto"/>
        <w:ind w:left="296" w:right="289"/>
      </w:pPr>
      <w:proofErr w:type="gramStart"/>
      <w:r>
        <w:rPr>
          <w:spacing w:val="-2"/>
          <w:vertAlign w:val="superscript"/>
        </w:rPr>
        <w:t>1</w:t>
      </w:r>
      <w:r>
        <w:rPr>
          <w:spacing w:val="-2"/>
        </w:rPr>
        <w:t>Student,</w:t>
      </w:r>
      <w:r>
        <w:rPr>
          <w:spacing w:val="-7"/>
        </w:rPr>
        <w:t xml:space="preserve"> </w:t>
      </w:r>
      <w:r>
        <w:rPr>
          <w:spacing w:val="-2"/>
        </w:rPr>
        <w:t>Department</w:t>
      </w:r>
      <w:r>
        <w:rPr>
          <w:spacing w:val="-11"/>
        </w:rPr>
        <w:t xml:space="preserve"> </w:t>
      </w:r>
      <w:r>
        <w:rPr>
          <w:spacing w:val="-2"/>
        </w:rPr>
        <w:t>Of</w:t>
      </w:r>
      <w:r>
        <w:rPr>
          <w:spacing w:val="-9"/>
        </w:rPr>
        <w:t xml:space="preserve"> </w:t>
      </w:r>
      <w:r w:rsidR="00742F92">
        <w:rPr>
          <w:spacing w:val="-2"/>
        </w:rPr>
        <w:t>Pharmacology</w:t>
      </w:r>
      <w:r>
        <w:rPr>
          <w:spacing w:val="-2"/>
        </w:rPr>
        <w:t>,</w:t>
      </w:r>
      <w:r>
        <w:rPr>
          <w:spacing w:val="-11"/>
        </w:rPr>
        <w:t xml:space="preserve"> </w:t>
      </w:r>
      <w:proofErr w:type="spellStart"/>
      <w:r>
        <w:rPr>
          <w:spacing w:val="-2"/>
        </w:rPr>
        <w:t>Surabhi</w:t>
      </w:r>
      <w:proofErr w:type="spellEnd"/>
      <w:r>
        <w:rPr>
          <w:spacing w:val="-1"/>
        </w:rPr>
        <w:t xml:space="preserve"> </w:t>
      </w:r>
      <w:proofErr w:type="spellStart"/>
      <w:r>
        <w:rPr>
          <w:spacing w:val="-2"/>
        </w:rPr>
        <w:t>Dayakar</w:t>
      </w:r>
      <w:proofErr w:type="spellEnd"/>
      <w:r>
        <w:rPr>
          <w:spacing w:val="-4"/>
        </w:rPr>
        <w:t xml:space="preserve"> </w:t>
      </w:r>
      <w:proofErr w:type="spellStart"/>
      <w:r>
        <w:rPr>
          <w:spacing w:val="-1"/>
        </w:rPr>
        <w:t>Rao</w:t>
      </w:r>
      <w:proofErr w:type="spellEnd"/>
      <w:r>
        <w:rPr>
          <w:spacing w:val="-6"/>
        </w:rPr>
        <w:t xml:space="preserve"> </w:t>
      </w:r>
      <w:r>
        <w:rPr>
          <w:spacing w:val="-1"/>
        </w:rPr>
        <w:t>College</w:t>
      </w:r>
      <w:r>
        <w:rPr>
          <w:spacing w:val="-7"/>
        </w:rPr>
        <w:t xml:space="preserve"> </w:t>
      </w:r>
      <w:r w:rsidR="00D227A2">
        <w:rPr>
          <w:spacing w:val="-1"/>
        </w:rPr>
        <w:t>of</w:t>
      </w:r>
      <w:r>
        <w:rPr>
          <w:spacing w:val="-4"/>
        </w:rPr>
        <w:t xml:space="preserve"> </w:t>
      </w:r>
      <w:r>
        <w:rPr>
          <w:spacing w:val="-1"/>
        </w:rPr>
        <w:t>Pharmacy,</w:t>
      </w:r>
      <w:r>
        <w:rPr>
          <w:spacing w:val="-6"/>
        </w:rPr>
        <w:t xml:space="preserve"> </w:t>
      </w:r>
      <w:proofErr w:type="spellStart"/>
      <w:r>
        <w:rPr>
          <w:spacing w:val="-1"/>
        </w:rPr>
        <w:t>Gajwel</w:t>
      </w:r>
      <w:proofErr w:type="spellEnd"/>
      <w:r>
        <w:rPr>
          <w:spacing w:val="-1"/>
        </w:rPr>
        <w:t>,</w:t>
      </w:r>
      <w:r>
        <w:rPr>
          <w:spacing w:val="-7"/>
        </w:rPr>
        <w:t xml:space="preserve"> </w:t>
      </w:r>
      <w:proofErr w:type="spellStart"/>
      <w:r>
        <w:rPr>
          <w:spacing w:val="-1"/>
        </w:rPr>
        <w:t>Siddipet</w:t>
      </w:r>
      <w:proofErr w:type="spellEnd"/>
      <w:r>
        <w:rPr>
          <w:spacing w:val="-1"/>
        </w:rPr>
        <w:t>,</w:t>
      </w:r>
      <w:r>
        <w:rPr>
          <w:spacing w:val="-7"/>
        </w:rPr>
        <w:t xml:space="preserve"> </w:t>
      </w:r>
      <w:r>
        <w:rPr>
          <w:spacing w:val="-1"/>
        </w:rPr>
        <w:t>502312,</w:t>
      </w:r>
      <w:r>
        <w:rPr>
          <w:spacing w:val="-52"/>
        </w:rPr>
        <w:t xml:space="preserve"> </w:t>
      </w:r>
      <w:r>
        <w:t>India.</w:t>
      </w:r>
      <w:proofErr w:type="gramEnd"/>
    </w:p>
    <w:p w:rsidR="00BB3AD6" w:rsidRDefault="001F6037">
      <w:pPr>
        <w:spacing w:before="40"/>
        <w:ind w:left="554" w:right="550"/>
        <w:jc w:val="center"/>
      </w:pPr>
      <w:r>
        <w:pict>
          <v:rect id="_x0000_s1027" style="position:absolute;left:0;text-align:left;margin-left:58.3pt;margin-top:18.65pt;width:478.8pt;height:.5pt;z-index:-15728640;mso-wrap-distance-left:0;mso-wrap-distance-right:0;mso-position-horizontal-relative:page" fillcolor="black" stroked="f">
            <w10:wrap type="topAndBottom" anchorx="page"/>
          </v:rect>
        </w:pict>
      </w:r>
      <w:proofErr w:type="gramStart"/>
      <w:r w:rsidR="00987AC1">
        <w:rPr>
          <w:vertAlign w:val="superscript"/>
        </w:rPr>
        <w:t>2</w:t>
      </w:r>
      <w:r w:rsidR="00987AC1">
        <w:t>Associate</w:t>
      </w:r>
      <w:r w:rsidR="00987AC1">
        <w:rPr>
          <w:spacing w:val="-6"/>
        </w:rPr>
        <w:t xml:space="preserve"> </w:t>
      </w:r>
      <w:r w:rsidR="00987AC1">
        <w:t>Professor,</w:t>
      </w:r>
      <w:r w:rsidR="00987AC1">
        <w:rPr>
          <w:spacing w:val="-2"/>
        </w:rPr>
        <w:t xml:space="preserve"> </w:t>
      </w:r>
      <w:proofErr w:type="spellStart"/>
      <w:r w:rsidR="00987AC1">
        <w:t>Surabhi</w:t>
      </w:r>
      <w:proofErr w:type="spellEnd"/>
      <w:r w:rsidR="00987AC1">
        <w:rPr>
          <w:spacing w:val="-4"/>
        </w:rPr>
        <w:t xml:space="preserve"> </w:t>
      </w:r>
      <w:proofErr w:type="spellStart"/>
      <w:r w:rsidR="00987AC1">
        <w:t>Dayakar</w:t>
      </w:r>
      <w:proofErr w:type="spellEnd"/>
      <w:r w:rsidR="00987AC1">
        <w:rPr>
          <w:spacing w:val="-6"/>
        </w:rPr>
        <w:t xml:space="preserve"> </w:t>
      </w:r>
      <w:proofErr w:type="spellStart"/>
      <w:r w:rsidR="00987AC1">
        <w:t>Rao</w:t>
      </w:r>
      <w:proofErr w:type="spellEnd"/>
      <w:r w:rsidR="00987AC1">
        <w:rPr>
          <w:spacing w:val="-6"/>
        </w:rPr>
        <w:t xml:space="preserve"> </w:t>
      </w:r>
      <w:r w:rsidR="00987AC1">
        <w:t>College</w:t>
      </w:r>
      <w:r w:rsidR="00987AC1">
        <w:rPr>
          <w:spacing w:val="-7"/>
        </w:rPr>
        <w:t xml:space="preserve"> </w:t>
      </w:r>
      <w:r w:rsidR="00987AC1">
        <w:t>of</w:t>
      </w:r>
      <w:r w:rsidR="00987AC1">
        <w:rPr>
          <w:spacing w:val="-7"/>
        </w:rPr>
        <w:t xml:space="preserve"> </w:t>
      </w:r>
      <w:r w:rsidR="00987AC1">
        <w:t>Pharmacy,</w:t>
      </w:r>
      <w:r w:rsidR="00987AC1">
        <w:rPr>
          <w:spacing w:val="-4"/>
        </w:rPr>
        <w:t xml:space="preserve"> </w:t>
      </w:r>
      <w:proofErr w:type="spellStart"/>
      <w:r w:rsidR="00987AC1">
        <w:t>Gajwel</w:t>
      </w:r>
      <w:proofErr w:type="spellEnd"/>
      <w:r w:rsidR="00987AC1">
        <w:t>,</w:t>
      </w:r>
      <w:r w:rsidR="00987AC1">
        <w:rPr>
          <w:spacing w:val="-5"/>
        </w:rPr>
        <w:t xml:space="preserve"> </w:t>
      </w:r>
      <w:proofErr w:type="spellStart"/>
      <w:r w:rsidR="00987AC1">
        <w:t>Siddipet</w:t>
      </w:r>
      <w:proofErr w:type="spellEnd"/>
      <w:r w:rsidR="00987AC1">
        <w:t>,</w:t>
      </w:r>
      <w:r w:rsidR="00987AC1">
        <w:rPr>
          <w:spacing w:val="-6"/>
        </w:rPr>
        <w:t xml:space="preserve"> </w:t>
      </w:r>
      <w:r w:rsidR="00987AC1">
        <w:t>502312,</w:t>
      </w:r>
      <w:r w:rsidR="00987AC1">
        <w:rPr>
          <w:spacing w:val="-6"/>
        </w:rPr>
        <w:t xml:space="preserve"> </w:t>
      </w:r>
      <w:r w:rsidR="00987AC1">
        <w:t>India.</w:t>
      </w:r>
      <w:proofErr w:type="gramEnd"/>
    </w:p>
    <w:p w:rsidR="00BB3AD6" w:rsidRDefault="00987AC1">
      <w:pPr>
        <w:pStyle w:val="Heading1"/>
        <w:ind w:left="1132" w:right="550" w:firstLine="0"/>
        <w:jc w:val="center"/>
      </w:pPr>
      <w:r>
        <w:t>ABSTRACT</w:t>
      </w:r>
    </w:p>
    <w:p w:rsidR="00742F92" w:rsidRDefault="00742F92">
      <w:pPr>
        <w:pStyle w:val="BodyText"/>
        <w:spacing w:before="73" w:line="276" w:lineRule="auto"/>
        <w:ind w:right="129"/>
        <w:jc w:val="both"/>
      </w:pPr>
      <w:r w:rsidRPr="00742F92">
        <w:t xml:space="preserve">The aim of the present study was carried out with the objective of phytochemical screening and to evaluate the </w:t>
      </w:r>
      <w:proofErr w:type="spellStart"/>
      <w:r w:rsidRPr="00742F92">
        <w:t>hepatoprotective</w:t>
      </w:r>
      <w:proofErr w:type="spellEnd"/>
      <w:r w:rsidRPr="00742F92">
        <w:t xml:space="preserve"> activity of aqueous </w:t>
      </w:r>
      <w:r>
        <w:t xml:space="preserve">extract of </w:t>
      </w:r>
      <w:proofErr w:type="spellStart"/>
      <w:r>
        <w:t>Desmodium</w:t>
      </w:r>
      <w:proofErr w:type="spellEnd"/>
      <w:r>
        <w:t xml:space="preserve"> </w:t>
      </w:r>
      <w:proofErr w:type="spellStart"/>
      <w:r>
        <w:t>gangeticum</w:t>
      </w:r>
      <w:proofErr w:type="spellEnd"/>
      <w:r>
        <w:t xml:space="preserve"> </w:t>
      </w:r>
      <w:r w:rsidRPr="00742F92">
        <w:t xml:space="preserve">using drug induced hepatotoxicity models like </w:t>
      </w:r>
      <w:proofErr w:type="spellStart"/>
      <w:r w:rsidR="008A4B55">
        <w:t>Diclofenac</w:t>
      </w:r>
      <w:proofErr w:type="spellEnd"/>
      <w:r w:rsidR="00D227A2">
        <w:t xml:space="preserve"> </w:t>
      </w:r>
      <w:r w:rsidRPr="00742F92">
        <w:t>induced methods</w:t>
      </w:r>
      <w:r>
        <w:t>.</w:t>
      </w:r>
      <w:r w:rsidRPr="00742F92">
        <w:t xml:space="preserve"> </w:t>
      </w:r>
      <w:r>
        <w:t xml:space="preserve">The rats were divided into five groups with six rats in each. Group I (Control) served as normal and received the vehicle alone (Sterile distilled water, 10 ml/kg, </w:t>
      </w:r>
      <w:proofErr w:type="spellStart"/>
      <w:r>
        <w:t>p.o.</w:t>
      </w:r>
      <w:proofErr w:type="spellEnd"/>
      <w:r>
        <w:t xml:space="preserve">) for 5 days. </w:t>
      </w:r>
      <w:proofErr w:type="gramStart"/>
      <w:r>
        <w:t>Group II (Toxin control) animals on the 3rd and 4th day.</w:t>
      </w:r>
      <w:proofErr w:type="gramEnd"/>
      <w:r>
        <w:t xml:space="preserve"> Group III and IV were treated with DGL at a dose level of 400 mg/kg and 600 mg/kg body weight </w:t>
      </w:r>
      <w:proofErr w:type="spellStart"/>
      <w:r>
        <w:t>p.o.</w:t>
      </w:r>
      <w:proofErr w:type="spellEnd"/>
      <w:r>
        <w:t xml:space="preserve"> per day respectively for 5 days and on the 3rd and 4th day with hepatotoxic drugs was given 1 h after the treatment of the extract. Group V (Standard) was treated with standard drug </w:t>
      </w:r>
      <w:proofErr w:type="spellStart"/>
      <w:r>
        <w:t>silymarin</w:t>
      </w:r>
      <w:proofErr w:type="spellEnd"/>
      <w:r>
        <w:t xml:space="preserve"> (100 mg/kg </w:t>
      </w:r>
      <w:proofErr w:type="spellStart"/>
      <w:r>
        <w:t>p.o.</w:t>
      </w:r>
      <w:proofErr w:type="spellEnd"/>
      <w:r>
        <w:t xml:space="preserve">) for 5 days and on the 3rd and 4th day hepatotoxic drugs was given 1h after the treatment of the drug. In </w:t>
      </w:r>
      <w:proofErr w:type="spellStart"/>
      <w:r>
        <w:t>hepatoprotective</w:t>
      </w:r>
      <w:proofErr w:type="spellEnd"/>
      <w:r>
        <w:t xml:space="preserve"> studies, the induced </w:t>
      </w:r>
      <w:proofErr w:type="spellStart"/>
      <w:r w:rsidR="008A4B55">
        <w:t>Diclofenac</w:t>
      </w:r>
      <w:proofErr w:type="spellEnd"/>
      <w:r>
        <w:t xml:space="preserve"> toxicity elevated levels of serum marker enzymes ALT, AST, ALP and the level of BUN along with the decrease in total protein and albumin levels. It also increased the relative liver weight and decreased the level of liver total protein and GSH. The activity of catalase and </w:t>
      </w:r>
      <w:proofErr w:type="spellStart"/>
      <w:r>
        <w:t>GPx</w:t>
      </w:r>
      <w:proofErr w:type="spellEnd"/>
      <w:r>
        <w:t xml:space="preserve"> significantly decreased in </w:t>
      </w:r>
      <w:proofErr w:type="spellStart"/>
      <w:r w:rsidR="008A4B55">
        <w:t>Diclofenac</w:t>
      </w:r>
      <w:proofErr w:type="spellEnd"/>
      <w:r w:rsidR="008A4B55">
        <w:t xml:space="preserve"> </w:t>
      </w:r>
      <w:r>
        <w:t xml:space="preserve">intoxicated animals. The pre-treatment of methanol extract of </w:t>
      </w:r>
      <w:proofErr w:type="spellStart"/>
      <w:r>
        <w:t>Desmodium</w:t>
      </w:r>
      <w:proofErr w:type="spellEnd"/>
      <w:r>
        <w:t xml:space="preserve"> </w:t>
      </w:r>
      <w:proofErr w:type="spellStart"/>
      <w:r>
        <w:t>gangeticum</w:t>
      </w:r>
      <w:proofErr w:type="spellEnd"/>
      <w:r>
        <w:t xml:space="preserve"> leaves at dose levels of 400 and 600 mg/kg had restored the ALT, AST, ALP and BUN levels towards normalization and the effects were comparable with standard drug (</w:t>
      </w:r>
      <w:proofErr w:type="spellStart"/>
      <w:r>
        <w:t>Silymarin</w:t>
      </w:r>
      <w:proofErr w:type="spellEnd"/>
      <w:r>
        <w:t xml:space="preserve"> 100 mg/kg). The data obtained from animal experiments are expressed as mean Â± SEM (standard error of mean). For statistical analysis data were subjected to analysis of variance (ANOVA) followed by Student t-test. Values are considered statistically significant at p &lt; 0.01 for ANOVA and P &lt; 0.05 for t-test</w:t>
      </w:r>
    </w:p>
    <w:p w:rsidR="00BB3AD6" w:rsidRDefault="001F6037">
      <w:pPr>
        <w:pStyle w:val="BodyText"/>
        <w:spacing w:before="39"/>
        <w:jc w:val="both"/>
      </w:pPr>
      <w:r>
        <w:pict>
          <v:rect id="_x0000_s1026" style="position:absolute;left:0;text-align:left;margin-left:58.3pt;margin-top:16.1pt;width:478.8pt;height:.5pt;z-index:-15728128;mso-wrap-distance-left:0;mso-wrap-distance-right:0;mso-position-horizontal-relative:page" fillcolor="black" stroked="f">
            <w10:wrap type="topAndBottom" anchorx="page"/>
          </v:rect>
        </w:pict>
      </w:r>
      <w:r w:rsidR="00987AC1">
        <w:rPr>
          <w:b/>
        </w:rPr>
        <w:t>Keywords:</w:t>
      </w:r>
      <w:r w:rsidR="00987AC1">
        <w:rPr>
          <w:b/>
          <w:spacing w:val="-1"/>
        </w:rPr>
        <w:t xml:space="preserve"> </w:t>
      </w:r>
      <w:proofErr w:type="spellStart"/>
      <w:r w:rsidR="00742F92" w:rsidRPr="00742F92">
        <w:t>Desmodium</w:t>
      </w:r>
      <w:proofErr w:type="spellEnd"/>
      <w:r w:rsidR="00742F92" w:rsidRPr="00742F92">
        <w:t xml:space="preserve"> </w:t>
      </w:r>
      <w:proofErr w:type="spellStart"/>
      <w:r w:rsidR="00742F92" w:rsidRPr="00742F92">
        <w:t>gangeticum</w:t>
      </w:r>
      <w:proofErr w:type="spellEnd"/>
      <w:r w:rsidR="00742F92" w:rsidRPr="00742F92">
        <w:t xml:space="preserve">, </w:t>
      </w:r>
      <w:proofErr w:type="spellStart"/>
      <w:r w:rsidR="00742F92" w:rsidRPr="00742F92">
        <w:t>hepatoprotective</w:t>
      </w:r>
      <w:proofErr w:type="spellEnd"/>
      <w:r w:rsidR="00742F92" w:rsidRPr="00742F92">
        <w:t xml:space="preserve"> activity, serum, total protein, albumin, Blood Urea Nitrogen, Alkaline Phosphate</w:t>
      </w:r>
      <w:r w:rsidR="00987AC1">
        <w:t>.</w:t>
      </w:r>
    </w:p>
    <w:p w:rsidR="00BB3AD6" w:rsidRDefault="00987AC1">
      <w:pPr>
        <w:pStyle w:val="Heading1"/>
        <w:numPr>
          <w:ilvl w:val="0"/>
          <w:numId w:val="3"/>
        </w:numPr>
        <w:tabs>
          <w:tab w:val="left" w:pos="496"/>
        </w:tabs>
        <w:spacing w:before="11"/>
        <w:ind w:hanging="361"/>
      </w:pPr>
      <w:r>
        <w:t>INTRODUCTION</w:t>
      </w:r>
    </w:p>
    <w:p w:rsidR="00742F92" w:rsidRDefault="0045393C" w:rsidP="0045393C">
      <w:pPr>
        <w:pStyle w:val="Heading1"/>
        <w:tabs>
          <w:tab w:val="left" w:pos="496"/>
        </w:tabs>
        <w:ind w:left="134"/>
        <w:jc w:val="both"/>
        <w:rPr>
          <w:b w:val="0"/>
          <w:bCs w:val="0"/>
          <w:sz w:val="20"/>
          <w:szCs w:val="20"/>
        </w:rPr>
      </w:pPr>
      <w:r>
        <w:rPr>
          <w:b w:val="0"/>
          <w:bCs w:val="0"/>
          <w:sz w:val="20"/>
          <w:szCs w:val="20"/>
        </w:rPr>
        <w:t xml:space="preserve"> </w:t>
      </w:r>
      <w:r>
        <w:rPr>
          <w:b w:val="0"/>
          <w:bCs w:val="0"/>
          <w:sz w:val="20"/>
          <w:szCs w:val="20"/>
        </w:rPr>
        <w:tab/>
      </w:r>
      <w:r w:rsidR="00742F92" w:rsidRPr="00742F92">
        <w:rPr>
          <w:b w:val="0"/>
          <w:bCs w:val="0"/>
          <w:sz w:val="20"/>
          <w:szCs w:val="20"/>
        </w:rPr>
        <w:t>Liver is the largest organ in the body which serves as a gland also. It plays an important role in the maintenance of internal environment through its multiple and diverse functions. Any damage to the liver or impairment of its functions leads to injurious effects. Liver diseases (like jaundice) are the common ailments affecting mankind, though no remedy is available in allopathic at present. In the recent past years many medicina</w:t>
      </w:r>
      <w:r w:rsidR="00742F92">
        <w:rPr>
          <w:b w:val="0"/>
          <w:bCs w:val="0"/>
          <w:sz w:val="20"/>
          <w:szCs w:val="20"/>
        </w:rPr>
        <w:t xml:space="preserve">l plants are screened for their </w:t>
      </w:r>
      <w:proofErr w:type="spellStart"/>
      <w:r w:rsidR="00742F92" w:rsidRPr="00742F92">
        <w:rPr>
          <w:b w:val="0"/>
          <w:bCs w:val="0"/>
          <w:sz w:val="20"/>
          <w:szCs w:val="20"/>
        </w:rPr>
        <w:t>hepatoprotective</w:t>
      </w:r>
      <w:proofErr w:type="spellEnd"/>
      <w:r w:rsidR="00742F92" w:rsidRPr="00742F92">
        <w:rPr>
          <w:b w:val="0"/>
          <w:bCs w:val="0"/>
          <w:sz w:val="20"/>
          <w:szCs w:val="20"/>
        </w:rPr>
        <w:t xml:space="preserve"> activity and quite a few of them are already successful in entering the market</w:t>
      </w:r>
      <w:r w:rsidR="00742F92">
        <w:rPr>
          <w:b w:val="0"/>
          <w:bCs w:val="0"/>
          <w:sz w:val="20"/>
          <w:szCs w:val="20"/>
        </w:rPr>
        <w:t>.</w:t>
      </w:r>
      <w:r w:rsidRPr="0045393C">
        <w:t xml:space="preserve"> </w:t>
      </w:r>
      <w:proofErr w:type="spellStart"/>
      <w:r w:rsidRPr="0045393C">
        <w:rPr>
          <w:b w:val="0"/>
          <w:bCs w:val="0"/>
          <w:sz w:val="20"/>
          <w:szCs w:val="20"/>
        </w:rPr>
        <w:t>Desmodium</w:t>
      </w:r>
      <w:proofErr w:type="spellEnd"/>
      <w:r w:rsidRPr="0045393C">
        <w:rPr>
          <w:b w:val="0"/>
          <w:bCs w:val="0"/>
          <w:sz w:val="20"/>
          <w:szCs w:val="20"/>
        </w:rPr>
        <w:t xml:space="preserve"> </w:t>
      </w:r>
      <w:proofErr w:type="spellStart"/>
      <w:r w:rsidRPr="0045393C">
        <w:rPr>
          <w:b w:val="0"/>
          <w:bCs w:val="0"/>
          <w:sz w:val="20"/>
          <w:szCs w:val="20"/>
        </w:rPr>
        <w:t>gangeticum</w:t>
      </w:r>
      <w:proofErr w:type="spellEnd"/>
      <w:r w:rsidRPr="0045393C">
        <w:rPr>
          <w:b w:val="0"/>
          <w:bCs w:val="0"/>
          <w:sz w:val="20"/>
          <w:szCs w:val="20"/>
        </w:rPr>
        <w:t xml:space="preserve"> DC (</w:t>
      </w:r>
      <w:proofErr w:type="spellStart"/>
      <w:r w:rsidRPr="0045393C">
        <w:rPr>
          <w:b w:val="0"/>
          <w:bCs w:val="0"/>
          <w:sz w:val="20"/>
          <w:szCs w:val="20"/>
        </w:rPr>
        <w:t>Leguminosae</w:t>
      </w:r>
      <w:proofErr w:type="spellEnd"/>
      <w:r w:rsidRPr="0045393C">
        <w:rPr>
          <w:b w:val="0"/>
          <w:bCs w:val="0"/>
          <w:sz w:val="20"/>
          <w:szCs w:val="20"/>
        </w:rPr>
        <w:t xml:space="preserve">, </w:t>
      </w:r>
      <w:proofErr w:type="spellStart"/>
      <w:r w:rsidRPr="0045393C">
        <w:rPr>
          <w:b w:val="0"/>
          <w:bCs w:val="0"/>
          <w:sz w:val="20"/>
          <w:szCs w:val="20"/>
        </w:rPr>
        <w:t>SubfamilyPapilionaceae</w:t>
      </w:r>
      <w:proofErr w:type="spellEnd"/>
      <w:r w:rsidRPr="0045393C">
        <w:rPr>
          <w:b w:val="0"/>
          <w:bCs w:val="0"/>
          <w:sz w:val="20"/>
          <w:szCs w:val="20"/>
        </w:rPr>
        <w:t xml:space="preserve">) is an erect or </w:t>
      </w:r>
      <w:proofErr w:type="spellStart"/>
      <w:r w:rsidRPr="0045393C">
        <w:rPr>
          <w:b w:val="0"/>
          <w:bCs w:val="0"/>
          <w:sz w:val="20"/>
          <w:szCs w:val="20"/>
        </w:rPr>
        <w:t>suberect</w:t>
      </w:r>
      <w:proofErr w:type="spellEnd"/>
      <w:r w:rsidRPr="0045393C">
        <w:rPr>
          <w:b w:val="0"/>
          <w:bCs w:val="0"/>
          <w:sz w:val="20"/>
          <w:szCs w:val="20"/>
        </w:rPr>
        <w:t xml:space="preserve"> undershrub, distributed throughout central and eastern Himalayas, South India and Sri Lanka. The leaves are used</w:t>
      </w:r>
      <w:r>
        <w:rPr>
          <w:b w:val="0"/>
          <w:bCs w:val="0"/>
          <w:sz w:val="20"/>
          <w:szCs w:val="20"/>
        </w:rPr>
        <w:t xml:space="preserve"> </w:t>
      </w:r>
      <w:r w:rsidRPr="0045393C">
        <w:rPr>
          <w:b w:val="0"/>
          <w:bCs w:val="0"/>
          <w:sz w:val="20"/>
          <w:szCs w:val="20"/>
        </w:rPr>
        <w:t xml:space="preserve">as a substitute for tea by hill tribes in upper Assam. Preliminary phytochemical investigations on the D. </w:t>
      </w:r>
      <w:proofErr w:type="spellStart"/>
      <w:r w:rsidRPr="0045393C">
        <w:rPr>
          <w:b w:val="0"/>
          <w:bCs w:val="0"/>
          <w:sz w:val="20"/>
          <w:szCs w:val="20"/>
        </w:rPr>
        <w:t>gangeticum</w:t>
      </w:r>
      <w:proofErr w:type="spellEnd"/>
      <w:r w:rsidRPr="0045393C">
        <w:rPr>
          <w:b w:val="0"/>
          <w:bCs w:val="0"/>
          <w:sz w:val="20"/>
          <w:szCs w:val="20"/>
        </w:rPr>
        <w:t xml:space="preserve"> revealed the presence of</w:t>
      </w:r>
      <w:r>
        <w:rPr>
          <w:b w:val="0"/>
          <w:bCs w:val="0"/>
          <w:sz w:val="20"/>
          <w:szCs w:val="20"/>
        </w:rPr>
        <w:t xml:space="preserve"> </w:t>
      </w:r>
      <w:r w:rsidRPr="0045393C">
        <w:rPr>
          <w:b w:val="0"/>
          <w:bCs w:val="0"/>
          <w:sz w:val="20"/>
          <w:szCs w:val="20"/>
        </w:rPr>
        <w:t xml:space="preserve">flavonoids, glycosides, steroids, </w:t>
      </w:r>
      <w:proofErr w:type="spellStart"/>
      <w:r w:rsidRPr="0045393C">
        <w:rPr>
          <w:b w:val="0"/>
          <w:bCs w:val="0"/>
          <w:sz w:val="20"/>
          <w:szCs w:val="20"/>
        </w:rPr>
        <w:t>saponins</w:t>
      </w:r>
      <w:proofErr w:type="spellEnd"/>
      <w:r w:rsidRPr="0045393C">
        <w:rPr>
          <w:b w:val="0"/>
          <w:bCs w:val="0"/>
          <w:sz w:val="20"/>
          <w:szCs w:val="20"/>
        </w:rPr>
        <w:t>, phenolic compounds, amino acids and fixed oils</w:t>
      </w:r>
      <w:r>
        <w:rPr>
          <w:b w:val="0"/>
          <w:bCs w:val="0"/>
          <w:sz w:val="20"/>
          <w:szCs w:val="20"/>
        </w:rPr>
        <w:t xml:space="preserve"> </w:t>
      </w:r>
      <w:r w:rsidRPr="0045393C">
        <w:rPr>
          <w:b w:val="0"/>
          <w:bCs w:val="0"/>
          <w:sz w:val="20"/>
          <w:szCs w:val="20"/>
        </w:rPr>
        <w:t>[4]. It was also reported that the whole plant is boiled and</w:t>
      </w:r>
      <w:r>
        <w:rPr>
          <w:b w:val="0"/>
          <w:bCs w:val="0"/>
          <w:sz w:val="20"/>
          <w:szCs w:val="20"/>
        </w:rPr>
        <w:t xml:space="preserve"> </w:t>
      </w:r>
      <w:r w:rsidRPr="0045393C">
        <w:rPr>
          <w:b w:val="0"/>
          <w:bCs w:val="0"/>
          <w:sz w:val="20"/>
          <w:szCs w:val="20"/>
        </w:rPr>
        <w:t>used against the treatment of liver parasite by Lao people</w:t>
      </w:r>
      <w:r>
        <w:rPr>
          <w:b w:val="0"/>
          <w:bCs w:val="0"/>
          <w:sz w:val="20"/>
          <w:szCs w:val="20"/>
        </w:rPr>
        <w:t xml:space="preserve"> </w:t>
      </w:r>
      <w:r w:rsidRPr="0045393C">
        <w:rPr>
          <w:b w:val="0"/>
          <w:bCs w:val="0"/>
          <w:sz w:val="20"/>
          <w:szCs w:val="20"/>
        </w:rPr>
        <w:t>[5]. Although the leaves were used traditionally for varied ailments, no scientific study has</w:t>
      </w:r>
      <w:r>
        <w:rPr>
          <w:b w:val="0"/>
          <w:bCs w:val="0"/>
          <w:sz w:val="20"/>
          <w:szCs w:val="20"/>
        </w:rPr>
        <w:t xml:space="preserve"> </w:t>
      </w:r>
      <w:r w:rsidRPr="0045393C">
        <w:rPr>
          <w:b w:val="0"/>
          <w:bCs w:val="0"/>
          <w:sz w:val="20"/>
          <w:szCs w:val="20"/>
        </w:rPr>
        <w:t xml:space="preserve">been reported. Hence a systematic study has been undertaken to evaluate the </w:t>
      </w:r>
      <w:proofErr w:type="spellStart"/>
      <w:r w:rsidRPr="0045393C">
        <w:rPr>
          <w:b w:val="0"/>
          <w:bCs w:val="0"/>
          <w:sz w:val="20"/>
          <w:szCs w:val="20"/>
        </w:rPr>
        <w:t>hepatoprotective</w:t>
      </w:r>
      <w:proofErr w:type="spellEnd"/>
      <w:r w:rsidRPr="0045393C">
        <w:rPr>
          <w:b w:val="0"/>
          <w:bCs w:val="0"/>
          <w:sz w:val="20"/>
          <w:szCs w:val="20"/>
        </w:rPr>
        <w:t xml:space="preserve"> and antioxidant activities of ethanol extract of leaves</w:t>
      </w:r>
      <w:r>
        <w:rPr>
          <w:b w:val="0"/>
          <w:bCs w:val="0"/>
          <w:sz w:val="20"/>
          <w:szCs w:val="20"/>
        </w:rPr>
        <w:t xml:space="preserve"> </w:t>
      </w:r>
      <w:r w:rsidRPr="0045393C">
        <w:rPr>
          <w:b w:val="0"/>
          <w:bCs w:val="0"/>
          <w:sz w:val="20"/>
          <w:szCs w:val="20"/>
        </w:rPr>
        <w:t xml:space="preserve">of D. </w:t>
      </w:r>
      <w:proofErr w:type="spellStart"/>
      <w:r w:rsidRPr="0045393C">
        <w:rPr>
          <w:b w:val="0"/>
          <w:bCs w:val="0"/>
          <w:sz w:val="20"/>
          <w:szCs w:val="20"/>
        </w:rPr>
        <w:t>gangeticum</w:t>
      </w:r>
      <w:proofErr w:type="spellEnd"/>
      <w:r w:rsidRPr="0045393C">
        <w:rPr>
          <w:b w:val="0"/>
          <w:bCs w:val="0"/>
          <w:sz w:val="20"/>
          <w:szCs w:val="20"/>
        </w:rPr>
        <w:t xml:space="preserve"> against </w:t>
      </w:r>
      <w:proofErr w:type="spellStart"/>
      <w:r w:rsidR="008A4B55" w:rsidRPr="008A4B55">
        <w:rPr>
          <w:b w:val="0"/>
          <w:bCs w:val="0"/>
          <w:sz w:val="20"/>
          <w:szCs w:val="20"/>
        </w:rPr>
        <w:t>Diclofenac</w:t>
      </w:r>
      <w:proofErr w:type="spellEnd"/>
      <w:r w:rsidR="008A4B55" w:rsidRPr="008A4B55">
        <w:rPr>
          <w:b w:val="0"/>
          <w:bCs w:val="0"/>
          <w:sz w:val="20"/>
          <w:szCs w:val="20"/>
        </w:rPr>
        <w:t xml:space="preserve"> </w:t>
      </w:r>
      <w:r w:rsidRPr="0045393C">
        <w:rPr>
          <w:b w:val="0"/>
          <w:bCs w:val="0"/>
          <w:sz w:val="20"/>
          <w:szCs w:val="20"/>
        </w:rPr>
        <w:t>induced hepatotoxicity in rats.</w:t>
      </w:r>
    </w:p>
    <w:p w:rsidR="00BB3AD6" w:rsidRDefault="00987AC1" w:rsidP="0045393C">
      <w:pPr>
        <w:pStyle w:val="Heading1"/>
        <w:numPr>
          <w:ilvl w:val="0"/>
          <w:numId w:val="3"/>
        </w:numPr>
        <w:tabs>
          <w:tab w:val="left" w:pos="496"/>
        </w:tabs>
      </w:pPr>
      <w:r>
        <w:t>MATERIALS</w:t>
      </w:r>
      <w:r>
        <w:rPr>
          <w:spacing w:val="-1"/>
        </w:rPr>
        <w:t xml:space="preserve"> </w:t>
      </w:r>
      <w:r>
        <w:t>AND</w:t>
      </w:r>
      <w:r>
        <w:rPr>
          <w:spacing w:val="-2"/>
        </w:rPr>
        <w:t xml:space="preserve"> </w:t>
      </w:r>
      <w:r>
        <w:t>METHODS</w:t>
      </w:r>
    </w:p>
    <w:p w:rsidR="0045393C" w:rsidRPr="0045393C" w:rsidRDefault="0045393C" w:rsidP="0045393C">
      <w:pPr>
        <w:pStyle w:val="ListParagraph"/>
        <w:tabs>
          <w:tab w:val="left" w:pos="493"/>
        </w:tabs>
        <w:spacing w:line="276" w:lineRule="auto"/>
        <w:ind w:right="130"/>
        <w:rPr>
          <w:b/>
          <w:sz w:val="20"/>
        </w:rPr>
      </w:pPr>
      <w:r w:rsidRPr="0045393C">
        <w:rPr>
          <w:b/>
          <w:sz w:val="20"/>
        </w:rPr>
        <w:t>2.1. Collection and Identification of Plant Material</w:t>
      </w:r>
    </w:p>
    <w:p w:rsidR="0045393C" w:rsidRPr="0045393C" w:rsidRDefault="0045393C" w:rsidP="0045393C">
      <w:pPr>
        <w:pStyle w:val="ListParagraph"/>
        <w:tabs>
          <w:tab w:val="left" w:pos="493"/>
        </w:tabs>
        <w:spacing w:line="276" w:lineRule="auto"/>
        <w:ind w:right="130"/>
        <w:rPr>
          <w:sz w:val="20"/>
        </w:rPr>
      </w:pPr>
      <w:r w:rsidRPr="0045393C">
        <w:rPr>
          <w:sz w:val="20"/>
        </w:rPr>
        <w:t xml:space="preserve">The fresh flowers of </w:t>
      </w:r>
      <w:proofErr w:type="spellStart"/>
      <w:r w:rsidRPr="0045393C">
        <w:rPr>
          <w:sz w:val="20"/>
        </w:rPr>
        <w:t>Desmodium</w:t>
      </w:r>
      <w:proofErr w:type="spellEnd"/>
      <w:r w:rsidRPr="0045393C">
        <w:rPr>
          <w:sz w:val="20"/>
        </w:rPr>
        <w:t xml:space="preserve"> </w:t>
      </w:r>
      <w:proofErr w:type="spellStart"/>
      <w:r w:rsidRPr="0045393C">
        <w:rPr>
          <w:sz w:val="20"/>
        </w:rPr>
        <w:t>gangeticum</w:t>
      </w:r>
      <w:proofErr w:type="spellEnd"/>
      <w:r w:rsidRPr="0045393C">
        <w:rPr>
          <w:sz w:val="20"/>
        </w:rPr>
        <w:t xml:space="preserve"> leaves were collected. </w:t>
      </w:r>
    </w:p>
    <w:p w:rsidR="0045393C" w:rsidRPr="0045393C" w:rsidRDefault="0045393C" w:rsidP="0045393C">
      <w:pPr>
        <w:pStyle w:val="ListParagraph"/>
        <w:tabs>
          <w:tab w:val="left" w:pos="493"/>
        </w:tabs>
        <w:spacing w:line="276" w:lineRule="auto"/>
        <w:ind w:right="130"/>
        <w:rPr>
          <w:sz w:val="20"/>
        </w:rPr>
      </w:pPr>
      <w:r>
        <w:rPr>
          <w:sz w:val="20"/>
        </w:rPr>
        <w:t xml:space="preserve">2.2. </w:t>
      </w:r>
      <w:r w:rsidRPr="0045393C">
        <w:rPr>
          <w:b/>
          <w:sz w:val="20"/>
        </w:rPr>
        <w:t>Preparation of the Extract</w:t>
      </w:r>
    </w:p>
    <w:p w:rsidR="0045393C" w:rsidRPr="0045393C" w:rsidRDefault="0045393C" w:rsidP="0045393C">
      <w:pPr>
        <w:pStyle w:val="ListParagraph"/>
        <w:tabs>
          <w:tab w:val="left" w:pos="493"/>
        </w:tabs>
        <w:spacing w:line="276" w:lineRule="auto"/>
        <w:ind w:right="130"/>
        <w:rPr>
          <w:sz w:val="20"/>
        </w:rPr>
      </w:pPr>
      <w:r w:rsidRPr="0045393C">
        <w:rPr>
          <w:sz w:val="20"/>
        </w:rPr>
        <w:t xml:space="preserve">The flowers were washed under tap water, air dried, homogenized to fine powder and stored in airtight bottles. Ten grams of dried powder was first defatted with petroleum ether and then extracted with methanol by using </w:t>
      </w:r>
      <w:proofErr w:type="spellStart"/>
      <w:r w:rsidRPr="0045393C">
        <w:rPr>
          <w:sz w:val="20"/>
        </w:rPr>
        <w:t>Soxhlet</w:t>
      </w:r>
      <w:proofErr w:type="spellEnd"/>
      <w:r w:rsidRPr="0045393C">
        <w:rPr>
          <w:sz w:val="20"/>
        </w:rPr>
        <w:t xml:space="preserve"> apparatus (Lin et al., 1999). The solvent was evaporated to dryness and the dried crude extract was stored in air tight bottle at 4°C. The percentage yield of methanol extract was 36%. The methanol extract of </w:t>
      </w:r>
      <w:proofErr w:type="spellStart"/>
      <w:r w:rsidRPr="0045393C">
        <w:rPr>
          <w:sz w:val="20"/>
        </w:rPr>
        <w:t>Desmodium</w:t>
      </w:r>
      <w:proofErr w:type="spellEnd"/>
      <w:r w:rsidRPr="0045393C">
        <w:rPr>
          <w:sz w:val="20"/>
        </w:rPr>
        <w:t xml:space="preserve"> </w:t>
      </w:r>
      <w:proofErr w:type="spellStart"/>
      <w:r w:rsidRPr="0045393C">
        <w:rPr>
          <w:sz w:val="20"/>
        </w:rPr>
        <w:t>gangeticum</w:t>
      </w:r>
      <w:proofErr w:type="spellEnd"/>
      <w:r w:rsidRPr="0045393C">
        <w:rPr>
          <w:sz w:val="20"/>
        </w:rPr>
        <w:t xml:space="preserve"> Leaves was used for the entire study.</w:t>
      </w:r>
    </w:p>
    <w:p w:rsidR="0045393C" w:rsidRPr="0045393C" w:rsidRDefault="0045393C" w:rsidP="0045393C">
      <w:pPr>
        <w:pStyle w:val="ListParagraph"/>
        <w:tabs>
          <w:tab w:val="left" w:pos="493"/>
        </w:tabs>
        <w:spacing w:line="276" w:lineRule="auto"/>
        <w:ind w:right="130"/>
        <w:rPr>
          <w:b/>
          <w:sz w:val="20"/>
        </w:rPr>
      </w:pPr>
      <w:r>
        <w:rPr>
          <w:b/>
          <w:sz w:val="20"/>
        </w:rPr>
        <w:t xml:space="preserve">2.3. </w:t>
      </w:r>
      <w:r w:rsidRPr="0045393C">
        <w:rPr>
          <w:b/>
          <w:sz w:val="20"/>
        </w:rPr>
        <w:t>Phytochemical Analysis</w:t>
      </w:r>
    </w:p>
    <w:p w:rsidR="0045393C" w:rsidRDefault="0045393C" w:rsidP="0045393C">
      <w:pPr>
        <w:pStyle w:val="ListParagraph"/>
        <w:tabs>
          <w:tab w:val="left" w:pos="493"/>
        </w:tabs>
        <w:spacing w:line="276" w:lineRule="auto"/>
        <w:ind w:right="130"/>
        <w:rPr>
          <w:b/>
          <w:sz w:val="20"/>
        </w:rPr>
      </w:pPr>
      <w:r w:rsidRPr="0045393C">
        <w:rPr>
          <w:sz w:val="20"/>
        </w:rPr>
        <w:t xml:space="preserve">Preliminary chemical tests were carried out for </w:t>
      </w:r>
      <w:proofErr w:type="spellStart"/>
      <w:r w:rsidRPr="0045393C">
        <w:rPr>
          <w:sz w:val="20"/>
        </w:rPr>
        <w:t>methanolic</w:t>
      </w:r>
      <w:proofErr w:type="spellEnd"/>
      <w:r w:rsidRPr="0045393C">
        <w:rPr>
          <w:sz w:val="20"/>
        </w:rPr>
        <w:t xml:space="preserve"> extract to identify different </w:t>
      </w:r>
      <w:proofErr w:type="spellStart"/>
      <w:r w:rsidRPr="0045393C">
        <w:rPr>
          <w:sz w:val="20"/>
        </w:rPr>
        <w:t>phyto</w:t>
      </w:r>
      <w:proofErr w:type="spellEnd"/>
      <w:r w:rsidRPr="0045393C">
        <w:rPr>
          <w:sz w:val="20"/>
        </w:rPr>
        <w:t>-constituents</w:t>
      </w:r>
      <w:r>
        <w:rPr>
          <w:b/>
          <w:sz w:val="20"/>
        </w:rPr>
        <w:t xml:space="preserve">. </w:t>
      </w:r>
    </w:p>
    <w:p w:rsidR="0045393C" w:rsidRPr="0045393C" w:rsidRDefault="0045393C" w:rsidP="0045393C">
      <w:pPr>
        <w:pStyle w:val="ListParagraph"/>
        <w:tabs>
          <w:tab w:val="left" w:pos="493"/>
        </w:tabs>
        <w:spacing w:line="276" w:lineRule="auto"/>
        <w:ind w:right="130"/>
        <w:rPr>
          <w:b/>
          <w:sz w:val="20"/>
        </w:rPr>
      </w:pPr>
      <w:r>
        <w:rPr>
          <w:b/>
          <w:sz w:val="20"/>
        </w:rPr>
        <w:t xml:space="preserve">2.4. </w:t>
      </w:r>
      <w:r w:rsidRPr="0045393C">
        <w:rPr>
          <w:b/>
          <w:sz w:val="20"/>
        </w:rPr>
        <w:t>Animals</w:t>
      </w:r>
    </w:p>
    <w:p w:rsidR="0045393C" w:rsidRPr="0045393C" w:rsidRDefault="0045393C" w:rsidP="0045393C">
      <w:pPr>
        <w:pStyle w:val="ListParagraph"/>
        <w:tabs>
          <w:tab w:val="left" w:pos="493"/>
        </w:tabs>
        <w:spacing w:line="276" w:lineRule="auto"/>
        <w:ind w:right="130"/>
        <w:rPr>
          <w:sz w:val="20"/>
        </w:rPr>
      </w:pPr>
      <w:proofErr w:type="spellStart"/>
      <w:r w:rsidRPr="0045393C">
        <w:rPr>
          <w:sz w:val="20"/>
        </w:rPr>
        <w:t>Wistar</w:t>
      </w:r>
      <w:proofErr w:type="spellEnd"/>
      <w:r w:rsidRPr="0045393C">
        <w:rPr>
          <w:sz w:val="20"/>
        </w:rPr>
        <w:t xml:space="preserve"> albino rats of both sexes (180-220 g) were used for the study. All the rats were kept in standard plastic rat cages with stainless steel coverlids and wheat straw was used as bedding material. The animals were kept at the animal house of Department of Pharmacology. The animals were facilitated with standard environmental condition of photoperiod (12:12 h dark: light cycle) and temperature (25 ± 2°C). They were provided</w:t>
      </w:r>
      <w:r>
        <w:rPr>
          <w:sz w:val="20"/>
        </w:rPr>
        <w:t xml:space="preserve"> </w:t>
      </w:r>
      <w:r w:rsidRPr="0045393C">
        <w:rPr>
          <w:sz w:val="20"/>
        </w:rPr>
        <w:t>with commercial rat and mice feed (</w:t>
      </w:r>
      <w:proofErr w:type="spellStart"/>
      <w:r w:rsidRPr="0045393C">
        <w:rPr>
          <w:sz w:val="20"/>
        </w:rPr>
        <w:t>Pranav</w:t>
      </w:r>
      <w:proofErr w:type="spellEnd"/>
      <w:r w:rsidRPr="0045393C">
        <w:rPr>
          <w:sz w:val="20"/>
        </w:rPr>
        <w:t xml:space="preserve"> Agro Industries Ltd., Baroda. </w:t>
      </w:r>
      <w:proofErr w:type="spellStart"/>
      <w:r w:rsidRPr="0045393C">
        <w:rPr>
          <w:sz w:val="20"/>
        </w:rPr>
        <w:t>Amruth</w:t>
      </w:r>
      <w:proofErr w:type="spellEnd"/>
      <w:r w:rsidRPr="0045393C">
        <w:rPr>
          <w:sz w:val="20"/>
        </w:rPr>
        <w:t xml:space="preserve"> Brand</w:t>
      </w:r>
      <w:r>
        <w:rPr>
          <w:sz w:val="20"/>
        </w:rPr>
        <w:t xml:space="preserve"> </w:t>
      </w:r>
      <w:r w:rsidRPr="0045393C">
        <w:rPr>
          <w:sz w:val="20"/>
        </w:rPr>
        <w:t>rat &amp; mice pellet feed) and water given ad libitum. The use of these animals and the study protocols were approved by CPCSEA recognized local ethical committee.</w:t>
      </w:r>
    </w:p>
    <w:p w:rsidR="0045393C" w:rsidRPr="00F633DD" w:rsidRDefault="0045393C" w:rsidP="0045393C">
      <w:pPr>
        <w:pStyle w:val="ListParagraph"/>
        <w:rPr>
          <w:b/>
          <w:sz w:val="20"/>
          <w:szCs w:val="20"/>
        </w:rPr>
      </w:pPr>
      <w:r w:rsidRPr="00F633DD">
        <w:rPr>
          <w:sz w:val="20"/>
          <w:szCs w:val="20"/>
        </w:rPr>
        <w:lastRenderedPageBreak/>
        <w:t xml:space="preserve">2.5. </w:t>
      </w:r>
      <w:r w:rsidRPr="00F633DD">
        <w:rPr>
          <w:b/>
          <w:sz w:val="20"/>
          <w:szCs w:val="20"/>
        </w:rPr>
        <w:t>Selection of the doses for animal study</w:t>
      </w:r>
    </w:p>
    <w:p w:rsidR="0045393C" w:rsidRPr="00F633DD" w:rsidRDefault="0045393C" w:rsidP="0045393C">
      <w:pPr>
        <w:pStyle w:val="ListParagraph"/>
        <w:rPr>
          <w:sz w:val="20"/>
          <w:szCs w:val="20"/>
        </w:rPr>
      </w:pPr>
      <w:r w:rsidRPr="00F633DD">
        <w:rPr>
          <w:sz w:val="20"/>
          <w:szCs w:val="20"/>
        </w:rPr>
        <w:t xml:space="preserve">The dose considered for the experiment on rats was obtained from conversion of human dose of </w:t>
      </w:r>
      <w:proofErr w:type="spellStart"/>
      <w:r w:rsidRPr="00F633DD">
        <w:rPr>
          <w:sz w:val="20"/>
          <w:szCs w:val="20"/>
        </w:rPr>
        <w:t>Desmodium</w:t>
      </w:r>
      <w:proofErr w:type="spellEnd"/>
      <w:r w:rsidRPr="00F633DD">
        <w:rPr>
          <w:sz w:val="20"/>
          <w:szCs w:val="20"/>
        </w:rPr>
        <w:t xml:space="preserve"> </w:t>
      </w:r>
      <w:proofErr w:type="spellStart"/>
      <w:r w:rsidRPr="00F633DD">
        <w:rPr>
          <w:sz w:val="20"/>
          <w:szCs w:val="20"/>
        </w:rPr>
        <w:t>gangeticum</w:t>
      </w:r>
      <w:proofErr w:type="spellEnd"/>
      <w:r w:rsidRPr="00F633DD">
        <w:rPr>
          <w:sz w:val="20"/>
          <w:szCs w:val="20"/>
        </w:rPr>
        <w:t xml:space="preserve"> (3-5 g/kg). The conversion factor of human dose (per 200 g body weight) is 0.018 for rats (</w:t>
      </w:r>
      <w:proofErr w:type="spellStart"/>
      <w:r w:rsidRPr="00F633DD">
        <w:rPr>
          <w:sz w:val="20"/>
          <w:szCs w:val="20"/>
        </w:rPr>
        <w:t>Ghosh</w:t>
      </w:r>
      <w:proofErr w:type="spellEnd"/>
      <w:r w:rsidRPr="00F633DD">
        <w:rPr>
          <w:sz w:val="20"/>
          <w:szCs w:val="20"/>
        </w:rPr>
        <w:t xml:space="preserve"> 1984). Hence the calculated dose for the rats (considering human dose 5 g/kg) is 450 mg/kg. Thus, </w:t>
      </w:r>
      <w:proofErr w:type="spellStart"/>
      <w:r w:rsidRPr="00F633DD">
        <w:rPr>
          <w:sz w:val="20"/>
          <w:szCs w:val="20"/>
        </w:rPr>
        <w:t>hepatoprotective</w:t>
      </w:r>
      <w:proofErr w:type="spellEnd"/>
      <w:r w:rsidRPr="00F633DD">
        <w:rPr>
          <w:sz w:val="20"/>
          <w:szCs w:val="20"/>
        </w:rPr>
        <w:t xml:space="preserve"> activity was done at two different doses 400 and 600 mg/kg body weight. Acute toxicity was done at three different doses 450, 1800, and 3600 mg/kg body weight.</w:t>
      </w:r>
    </w:p>
    <w:p w:rsidR="00F633DD" w:rsidRPr="00F633DD" w:rsidRDefault="00F633DD" w:rsidP="0045393C">
      <w:pPr>
        <w:pStyle w:val="ListParagraph"/>
        <w:rPr>
          <w:sz w:val="20"/>
          <w:szCs w:val="20"/>
        </w:rPr>
      </w:pPr>
      <w:r w:rsidRPr="00F633DD">
        <w:rPr>
          <w:sz w:val="20"/>
          <w:szCs w:val="20"/>
        </w:rPr>
        <w:t>2.</w:t>
      </w:r>
      <w:r w:rsidR="0045393C" w:rsidRPr="00F633DD">
        <w:rPr>
          <w:sz w:val="20"/>
          <w:szCs w:val="20"/>
        </w:rPr>
        <w:t xml:space="preserve">6. </w:t>
      </w:r>
      <w:proofErr w:type="spellStart"/>
      <w:r w:rsidR="0045393C" w:rsidRPr="00F633DD">
        <w:rPr>
          <w:b/>
          <w:sz w:val="20"/>
          <w:szCs w:val="20"/>
        </w:rPr>
        <w:t>Hepatoprotective</w:t>
      </w:r>
      <w:proofErr w:type="spellEnd"/>
      <w:r w:rsidR="0045393C" w:rsidRPr="00F633DD">
        <w:rPr>
          <w:b/>
          <w:sz w:val="20"/>
          <w:szCs w:val="20"/>
        </w:rPr>
        <w:t xml:space="preserve"> Studies</w:t>
      </w:r>
      <w:r w:rsidR="0045393C" w:rsidRPr="00F633DD">
        <w:rPr>
          <w:sz w:val="20"/>
          <w:szCs w:val="20"/>
        </w:rPr>
        <w:t xml:space="preserve"> </w:t>
      </w:r>
    </w:p>
    <w:p w:rsidR="008A4B55" w:rsidRPr="008A4B55" w:rsidRDefault="00F633DD" w:rsidP="008A4B55">
      <w:pPr>
        <w:pStyle w:val="ListParagraph"/>
        <w:rPr>
          <w:b/>
          <w:sz w:val="20"/>
          <w:szCs w:val="20"/>
        </w:rPr>
      </w:pPr>
      <w:r w:rsidRPr="00F633DD">
        <w:rPr>
          <w:b/>
          <w:sz w:val="20"/>
          <w:szCs w:val="20"/>
        </w:rPr>
        <w:t>2.</w:t>
      </w:r>
      <w:r w:rsidR="0045393C" w:rsidRPr="00F633DD">
        <w:rPr>
          <w:b/>
          <w:sz w:val="20"/>
          <w:szCs w:val="20"/>
        </w:rPr>
        <w:t xml:space="preserve">6.1. </w:t>
      </w:r>
      <w:proofErr w:type="spellStart"/>
      <w:r w:rsidR="008A4B55" w:rsidRPr="008A4B55">
        <w:rPr>
          <w:b/>
          <w:sz w:val="20"/>
          <w:szCs w:val="20"/>
        </w:rPr>
        <w:t>Diclofenac</w:t>
      </w:r>
      <w:proofErr w:type="spellEnd"/>
      <w:r w:rsidR="008A4B55" w:rsidRPr="008A4B55">
        <w:rPr>
          <w:b/>
          <w:sz w:val="20"/>
          <w:szCs w:val="20"/>
        </w:rPr>
        <w:t xml:space="preserve"> induced hepatotoxicity</w:t>
      </w:r>
    </w:p>
    <w:p w:rsidR="008A4B55" w:rsidRDefault="008A4B55" w:rsidP="008A4B55">
      <w:pPr>
        <w:pStyle w:val="ListParagraph"/>
        <w:rPr>
          <w:sz w:val="20"/>
          <w:szCs w:val="20"/>
        </w:rPr>
      </w:pPr>
      <w:r w:rsidRPr="008A4B55">
        <w:rPr>
          <w:sz w:val="20"/>
          <w:szCs w:val="20"/>
        </w:rPr>
        <w:t xml:space="preserve">The rats were divided into five groups with six rats in each. Group I (Control) served as normal and received the vehicle alone (Sterile distilled water, 10 ml/kg, </w:t>
      </w:r>
      <w:proofErr w:type="spellStart"/>
      <w:r w:rsidRPr="008A4B55">
        <w:rPr>
          <w:sz w:val="20"/>
          <w:szCs w:val="20"/>
        </w:rPr>
        <w:t>p.o.</w:t>
      </w:r>
      <w:proofErr w:type="spellEnd"/>
      <w:r w:rsidRPr="008A4B55">
        <w:rPr>
          <w:sz w:val="20"/>
          <w:szCs w:val="20"/>
        </w:rPr>
        <w:t xml:space="preserve">) for 5 days. Group II (Toxin control) animals received </w:t>
      </w:r>
      <w:proofErr w:type="spellStart"/>
      <w:r w:rsidRPr="008A4B55">
        <w:rPr>
          <w:sz w:val="20"/>
          <w:szCs w:val="20"/>
        </w:rPr>
        <w:t>diclofenac</w:t>
      </w:r>
      <w:proofErr w:type="spellEnd"/>
      <w:r w:rsidRPr="008A4B55">
        <w:rPr>
          <w:sz w:val="20"/>
          <w:szCs w:val="20"/>
        </w:rPr>
        <w:t xml:space="preserve"> (50 mg/kg </w:t>
      </w:r>
      <w:proofErr w:type="spellStart"/>
      <w:r w:rsidRPr="008A4B55">
        <w:rPr>
          <w:sz w:val="20"/>
          <w:szCs w:val="20"/>
        </w:rPr>
        <w:t>i.p</w:t>
      </w:r>
      <w:proofErr w:type="spellEnd"/>
      <w:r w:rsidRPr="008A4B55">
        <w:rPr>
          <w:sz w:val="20"/>
          <w:szCs w:val="20"/>
        </w:rPr>
        <w:t xml:space="preserve">.) on the 3rd and 4th day. Group III (DGL-400) and IV (DGL-600) were treated with DGL at a dose level of 400 mg/kg and 600 mg/kg body weight </w:t>
      </w:r>
      <w:proofErr w:type="spellStart"/>
      <w:r w:rsidRPr="008A4B55">
        <w:rPr>
          <w:sz w:val="20"/>
          <w:szCs w:val="20"/>
        </w:rPr>
        <w:t>p.o.</w:t>
      </w:r>
      <w:proofErr w:type="spellEnd"/>
      <w:r w:rsidRPr="008A4B55">
        <w:rPr>
          <w:sz w:val="20"/>
          <w:szCs w:val="20"/>
        </w:rPr>
        <w:t xml:space="preserve"> per day respectively for 5 days and on the 3rd and 4th day </w:t>
      </w:r>
      <w:proofErr w:type="spellStart"/>
      <w:r w:rsidRPr="008A4B55">
        <w:rPr>
          <w:sz w:val="20"/>
          <w:szCs w:val="20"/>
        </w:rPr>
        <w:t>diclofenac</w:t>
      </w:r>
      <w:proofErr w:type="spellEnd"/>
      <w:r w:rsidRPr="008A4B55">
        <w:rPr>
          <w:sz w:val="20"/>
          <w:szCs w:val="20"/>
        </w:rPr>
        <w:t xml:space="preserve"> (50 mg/kg </w:t>
      </w:r>
      <w:proofErr w:type="spellStart"/>
      <w:r w:rsidRPr="008A4B55">
        <w:rPr>
          <w:sz w:val="20"/>
          <w:szCs w:val="20"/>
        </w:rPr>
        <w:t>i.p</w:t>
      </w:r>
      <w:proofErr w:type="spellEnd"/>
      <w:r w:rsidRPr="008A4B55">
        <w:rPr>
          <w:sz w:val="20"/>
          <w:szCs w:val="20"/>
        </w:rPr>
        <w:t xml:space="preserve">.) was given 1 h after the treatment of the extract. Group V (Standard) was treated with standard drug </w:t>
      </w:r>
      <w:proofErr w:type="spellStart"/>
      <w:r w:rsidRPr="008A4B55">
        <w:rPr>
          <w:sz w:val="20"/>
          <w:szCs w:val="20"/>
        </w:rPr>
        <w:t>silymarin</w:t>
      </w:r>
      <w:proofErr w:type="spellEnd"/>
      <w:r w:rsidRPr="008A4B55">
        <w:rPr>
          <w:sz w:val="20"/>
          <w:szCs w:val="20"/>
        </w:rPr>
        <w:t xml:space="preserve"> (100 mg/kg </w:t>
      </w:r>
      <w:proofErr w:type="spellStart"/>
      <w:r w:rsidRPr="008A4B55">
        <w:rPr>
          <w:sz w:val="20"/>
          <w:szCs w:val="20"/>
        </w:rPr>
        <w:t>p.o.</w:t>
      </w:r>
      <w:proofErr w:type="spellEnd"/>
      <w:r w:rsidRPr="008A4B55">
        <w:rPr>
          <w:sz w:val="20"/>
          <w:szCs w:val="20"/>
        </w:rPr>
        <w:t xml:space="preserve">) for 5 days and on the 3rd and 4th day </w:t>
      </w:r>
      <w:proofErr w:type="spellStart"/>
      <w:r w:rsidRPr="008A4B55">
        <w:rPr>
          <w:sz w:val="20"/>
          <w:szCs w:val="20"/>
        </w:rPr>
        <w:t>diclofenac</w:t>
      </w:r>
      <w:proofErr w:type="spellEnd"/>
      <w:r w:rsidRPr="008A4B55">
        <w:rPr>
          <w:sz w:val="20"/>
          <w:szCs w:val="20"/>
        </w:rPr>
        <w:t xml:space="preserve"> (50 mg/kg </w:t>
      </w:r>
      <w:proofErr w:type="spellStart"/>
      <w:r w:rsidRPr="008A4B55">
        <w:rPr>
          <w:sz w:val="20"/>
          <w:szCs w:val="20"/>
        </w:rPr>
        <w:t>i.p</w:t>
      </w:r>
      <w:proofErr w:type="spellEnd"/>
      <w:r w:rsidRPr="008A4B55">
        <w:rPr>
          <w:sz w:val="20"/>
          <w:szCs w:val="20"/>
        </w:rPr>
        <w:t xml:space="preserve">.) was given 1 h after the treatment of the drug. The animals were sacrificed 48 h after the last injection of </w:t>
      </w:r>
      <w:proofErr w:type="spellStart"/>
      <w:r w:rsidRPr="008A4B55">
        <w:rPr>
          <w:sz w:val="20"/>
          <w:szCs w:val="20"/>
        </w:rPr>
        <w:t>diclofenac</w:t>
      </w:r>
      <w:proofErr w:type="spellEnd"/>
      <w:r w:rsidRPr="008A4B55">
        <w:rPr>
          <w:sz w:val="20"/>
          <w:szCs w:val="20"/>
        </w:rPr>
        <w:t xml:space="preserve"> under mild ether anesthesia. The blood was collected and allowed to stand for 30 min at 37°C and then centrifuged to separate the serum to estimate various biochemical parameters.</w:t>
      </w:r>
    </w:p>
    <w:p w:rsidR="00F633DD" w:rsidRPr="008A4B55" w:rsidRDefault="00F633DD" w:rsidP="008A4B55">
      <w:pPr>
        <w:pStyle w:val="ListParagraph"/>
        <w:rPr>
          <w:b/>
          <w:sz w:val="20"/>
          <w:szCs w:val="20"/>
        </w:rPr>
      </w:pPr>
      <w:r w:rsidRPr="008A4B55">
        <w:rPr>
          <w:b/>
          <w:sz w:val="20"/>
          <w:szCs w:val="20"/>
        </w:rPr>
        <w:t>2.6.2 Preparation of liver homogenate</w:t>
      </w:r>
    </w:p>
    <w:p w:rsidR="00F633DD" w:rsidRPr="00F633DD" w:rsidRDefault="00F633DD" w:rsidP="00F633DD">
      <w:pPr>
        <w:pStyle w:val="ListParagraph"/>
        <w:rPr>
          <w:sz w:val="20"/>
          <w:szCs w:val="20"/>
        </w:rPr>
      </w:pPr>
      <w:r w:rsidRPr="00F633DD">
        <w:rPr>
          <w:sz w:val="20"/>
          <w:szCs w:val="20"/>
        </w:rPr>
        <w:t xml:space="preserve">The liver was quickly removed and perfused immediately with ice-cold saline (0.9% </w:t>
      </w:r>
      <w:proofErr w:type="spellStart"/>
      <w:r w:rsidRPr="00F633DD">
        <w:rPr>
          <w:sz w:val="20"/>
          <w:szCs w:val="20"/>
        </w:rPr>
        <w:t>NaCl</w:t>
      </w:r>
      <w:proofErr w:type="spellEnd"/>
      <w:r w:rsidRPr="00F633DD">
        <w:rPr>
          <w:sz w:val="20"/>
          <w:szCs w:val="20"/>
        </w:rPr>
        <w:t xml:space="preserve">). A portion of the liver was homogenized in chilled </w:t>
      </w:r>
      <w:proofErr w:type="spellStart"/>
      <w:r w:rsidRPr="00F633DD">
        <w:rPr>
          <w:sz w:val="20"/>
          <w:szCs w:val="20"/>
        </w:rPr>
        <w:t>Tris</w:t>
      </w:r>
      <w:proofErr w:type="spellEnd"/>
      <w:r w:rsidRPr="00F633DD">
        <w:rPr>
          <w:sz w:val="20"/>
          <w:szCs w:val="20"/>
        </w:rPr>
        <w:t xml:space="preserve"> </w:t>
      </w:r>
      <w:proofErr w:type="spellStart"/>
      <w:r w:rsidRPr="00F633DD">
        <w:rPr>
          <w:sz w:val="20"/>
          <w:szCs w:val="20"/>
        </w:rPr>
        <w:t>HCl</w:t>
      </w:r>
      <w:proofErr w:type="spellEnd"/>
      <w:r w:rsidRPr="00F633DD">
        <w:rPr>
          <w:sz w:val="20"/>
          <w:szCs w:val="20"/>
        </w:rPr>
        <w:t xml:space="preserve"> buffer (0.025 M, pH 7.4) using a homogenizer. The homogenate obtained was centrifuged at 5,000 rpm for 10 </w:t>
      </w:r>
      <w:proofErr w:type="gramStart"/>
      <w:r w:rsidRPr="00F633DD">
        <w:rPr>
          <w:sz w:val="20"/>
          <w:szCs w:val="20"/>
        </w:rPr>
        <w:t>min,</w:t>
      </w:r>
      <w:proofErr w:type="gramEnd"/>
      <w:r w:rsidRPr="00F633DD">
        <w:rPr>
          <w:sz w:val="20"/>
          <w:szCs w:val="20"/>
        </w:rPr>
        <w:t xml:space="preserve"> supernatant was collected and used for analysis.</w:t>
      </w:r>
    </w:p>
    <w:p w:rsidR="00F633DD" w:rsidRPr="00F633DD" w:rsidRDefault="00F633DD" w:rsidP="00F633DD">
      <w:pPr>
        <w:pStyle w:val="ListParagraph"/>
        <w:rPr>
          <w:sz w:val="20"/>
          <w:szCs w:val="20"/>
        </w:rPr>
      </w:pPr>
      <w:r w:rsidRPr="00F633DD">
        <w:rPr>
          <w:sz w:val="20"/>
          <w:szCs w:val="20"/>
        </w:rPr>
        <w:t>2.6.3</w:t>
      </w:r>
      <w:r w:rsidRPr="00F633DD">
        <w:rPr>
          <w:b/>
          <w:sz w:val="20"/>
          <w:szCs w:val="20"/>
        </w:rPr>
        <w:t xml:space="preserve"> Biochemical analysis from serum</w:t>
      </w:r>
    </w:p>
    <w:p w:rsidR="00F633DD" w:rsidRPr="00F633DD" w:rsidRDefault="00F633DD" w:rsidP="00F633DD">
      <w:pPr>
        <w:pStyle w:val="ListParagraph"/>
        <w:rPr>
          <w:sz w:val="20"/>
          <w:szCs w:val="20"/>
        </w:rPr>
      </w:pPr>
      <w:r w:rsidRPr="00F633DD">
        <w:rPr>
          <w:sz w:val="20"/>
          <w:szCs w:val="20"/>
        </w:rPr>
        <w:t>The absorbance of all the biochemical parameters was measured in a UV–VIS Spectrophotometer - 1601.</w:t>
      </w:r>
    </w:p>
    <w:p w:rsidR="00F633DD" w:rsidRPr="00F633DD" w:rsidRDefault="00F633DD" w:rsidP="00F633DD">
      <w:pPr>
        <w:pStyle w:val="ListParagraph"/>
        <w:rPr>
          <w:sz w:val="20"/>
          <w:szCs w:val="20"/>
        </w:rPr>
      </w:pPr>
      <w:r w:rsidRPr="00F633DD">
        <w:rPr>
          <w:b/>
          <w:sz w:val="20"/>
          <w:szCs w:val="20"/>
        </w:rPr>
        <w:t>The serum total protein</w:t>
      </w:r>
      <w:r w:rsidRPr="00F633DD">
        <w:rPr>
          <w:sz w:val="20"/>
          <w:szCs w:val="20"/>
        </w:rPr>
        <w:t xml:space="preserve"> was estimated by modified Biuret method using the total protein test kit.</w:t>
      </w:r>
    </w:p>
    <w:p w:rsidR="00F633DD" w:rsidRPr="00F633DD" w:rsidRDefault="00F633DD" w:rsidP="00F633DD">
      <w:pPr>
        <w:pStyle w:val="ListParagraph"/>
        <w:rPr>
          <w:sz w:val="20"/>
          <w:szCs w:val="20"/>
        </w:rPr>
      </w:pPr>
      <w:r w:rsidRPr="00F633DD">
        <w:rPr>
          <w:sz w:val="20"/>
          <w:szCs w:val="20"/>
        </w:rPr>
        <w:t>Procedure</w:t>
      </w:r>
    </w:p>
    <w:p w:rsidR="00F633DD" w:rsidRPr="00F633DD" w:rsidRDefault="00F633DD" w:rsidP="00F633DD">
      <w:pPr>
        <w:pStyle w:val="ListParagraph"/>
        <w:rPr>
          <w:sz w:val="20"/>
          <w:szCs w:val="20"/>
        </w:rPr>
      </w:pPr>
      <w:r w:rsidRPr="00F633DD">
        <w:rPr>
          <w:sz w:val="20"/>
          <w:szCs w:val="20"/>
        </w:rPr>
        <w:t>3.0 ml of Reagent I added to all the test tubes. Thereafter, 0.03 ml serum was added for the test + 0.03 ml Reagent II was added for the standard, while in blank 0.03 ml of purified water was added. They were then mixed well and incubated at 37ºC for 5 minutes. The absorbance was read at 578 nm.</w:t>
      </w:r>
    </w:p>
    <w:p w:rsidR="00F633DD" w:rsidRPr="00F633DD" w:rsidRDefault="00F633DD" w:rsidP="00F633DD">
      <w:pPr>
        <w:pStyle w:val="ListParagraph"/>
        <w:rPr>
          <w:sz w:val="20"/>
          <w:szCs w:val="20"/>
        </w:rPr>
      </w:pPr>
      <w:r w:rsidRPr="00F633DD">
        <w:rPr>
          <w:b/>
          <w:sz w:val="20"/>
          <w:szCs w:val="20"/>
        </w:rPr>
        <w:t>The serum albumin</w:t>
      </w:r>
      <w:r w:rsidRPr="00F633DD">
        <w:rPr>
          <w:sz w:val="20"/>
          <w:szCs w:val="20"/>
        </w:rPr>
        <w:t xml:space="preserve"> was estimated by the method given by Corcoran and </w:t>
      </w:r>
      <w:proofErr w:type="spellStart"/>
      <w:r w:rsidRPr="00F633DD">
        <w:rPr>
          <w:sz w:val="20"/>
          <w:szCs w:val="20"/>
        </w:rPr>
        <w:t>Durnan</w:t>
      </w:r>
      <w:proofErr w:type="spellEnd"/>
      <w:r w:rsidRPr="00F633DD">
        <w:rPr>
          <w:sz w:val="20"/>
          <w:szCs w:val="20"/>
        </w:rPr>
        <w:t xml:space="preserve"> (1977) using readymade albumin test kit.</w:t>
      </w:r>
    </w:p>
    <w:p w:rsidR="00F633DD" w:rsidRPr="00F633DD" w:rsidRDefault="00F633DD" w:rsidP="00F633DD">
      <w:pPr>
        <w:pStyle w:val="ListParagraph"/>
        <w:rPr>
          <w:sz w:val="20"/>
          <w:szCs w:val="20"/>
        </w:rPr>
      </w:pPr>
      <w:r w:rsidRPr="00F633DD">
        <w:rPr>
          <w:sz w:val="20"/>
          <w:szCs w:val="20"/>
        </w:rPr>
        <w:t>Procedure</w:t>
      </w:r>
    </w:p>
    <w:p w:rsidR="00F633DD" w:rsidRPr="00F633DD" w:rsidRDefault="00F633DD" w:rsidP="00F633DD">
      <w:pPr>
        <w:pStyle w:val="ListParagraph"/>
        <w:rPr>
          <w:sz w:val="20"/>
          <w:szCs w:val="20"/>
        </w:rPr>
      </w:pPr>
      <w:r w:rsidRPr="00F633DD">
        <w:rPr>
          <w:sz w:val="20"/>
          <w:szCs w:val="20"/>
        </w:rPr>
        <w:t xml:space="preserve">3.0 ml of albumin reagent (Reagent I) was added to all the test tubes. Thereafter, 0.03 ml serum was added for the test and 0.03 ml Reagent II was added for the standard, while in blank 0.03 ml of purified water was added. They were then mixed well and incubated at room t </w:t>
      </w:r>
      <w:proofErr w:type="spellStart"/>
      <w:r w:rsidRPr="00F633DD">
        <w:rPr>
          <w:sz w:val="20"/>
          <w:szCs w:val="20"/>
        </w:rPr>
        <w:t>emperature</w:t>
      </w:r>
      <w:proofErr w:type="spellEnd"/>
      <w:r w:rsidRPr="00F633DD">
        <w:rPr>
          <w:sz w:val="20"/>
          <w:szCs w:val="20"/>
        </w:rPr>
        <w:t xml:space="preserve"> for 1min. The absorbance was read at 630 nm.</w:t>
      </w:r>
    </w:p>
    <w:p w:rsidR="00F633DD" w:rsidRPr="00F633DD" w:rsidRDefault="00F633DD" w:rsidP="00F633DD">
      <w:pPr>
        <w:pStyle w:val="ListParagraph"/>
        <w:rPr>
          <w:b/>
          <w:sz w:val="20"/>
          <w:szCs w:val="20"/>
        </w:rPr>
      </w:pPr>
      <w:r w:rsidRPr="00F633DD">
        <w:rPr>
          <w:b/>
          <w:sz w:val="20"/>
          <w:szCs w:val="20"/>
        </w:rPr>
        <w:t>Estimation of blood urea nitrogen (BUN) content</w:t>
      </w:r>
    </w:p>
    <w:p w:rsidR="00F633DD" w:rsidRPr="00F633DD" w:rsidRDefault="00F633DD" w:rsidP="00F633DD">
      <w:pPr>
        <w:pStyle w:val="ListParagraph"/>
        <w:rPr>
          <w:sz w:val="20"/>
          <w:szCs w:val="20"/>
        </w:rPr>
      </w:pPr>
      <w:r w:rsidRPr="00F633DD">
        <w:rPr>
          <w:sz w:val="20"/>
          <w:szCs w:val="20"/>
        </w:rPr>
        <w:t xml:space="preserve">The serum blood urea nitrogen was estimated by Enzymatic Urease (Berthelot) method (Fawcett and Scott, 1960) using Urea Berthelot test </w:t>
      </w:r>
      <w:proofErr w:type="gramStart"/>
      <w:r w:rsidRPr="00F633DD">
        <w:rPr>
          <w:sz w:val="20"/>
          <w:szCs w:val="20"/>
        </w:rPr>
        <w:t>kit .</w:t>
      </w:r>
      <w:proofErr w:type="gramEnd"/>
    </w:p>
    <w:p w:rsidR="00F633DD" w:rsidRPr="00F633DD" w:rsidRDefault="00F633DD" w:rsidP="00F633DD">
      <w:pPr>
        <w:pStyle w:val="ListParagraph"/>
        <w:rPr>
          <w:sz w:val="20"/>
          <w:szCs w:val="20"/>
        </w:rPr>
      </w:pPr>
      <w:r w:rsidRPr="00F633DD">
        <w:rPr>
          <w:sz w:val="20"/>
          <w:szCs w:val="20"/>
        </w:rPr>
        <w:t>Procedure</w:t>
      </w:r>
    </w:p>
    <w:p w:rsidR="00F633DD" w:rsidRPr="00F633DD" w:rsidRDefault="00F633DD" w:rsidP="00F633DD">
      <w:pPr>
        <w:pStyle w:val="ListParagraph"/>
        <w:rPr>
          <w:sz w:val="20"/>
          <w:szCs w:val="20"/>
        </w:rPr>
      </w:pPr>
      <w:r w:rsidRPr="00F633DD">
        <w:rPr>
          <w:sz w:val="20"/>
          <w:szCs w:val="20"/>
        </w:rPr>
        <w:t>1.5 ml Solution I was added to clean test tubes. 0.01 ml serum was added for the test and 0.01 ml Reagent III was added for the standard. It was then mixed well and incubated at 37ºC for 3 min; then 1.5 ml of Solution II was added. It was then mixed well and incubated at 37ºC for 5 min. The absorbance was read at 578 nm against reagent blank.</w:t>
      </w:r>
    </w:p>
    <w:p w:rsidR="00F633DD" w:rsidRPr="00F633DD" w:rsidRDefault="00F633DD" w:rsidP="00F633DD">
      <w:pPr>
        <w:rPr>
          <w:b/>
          <w:sz w:val="20"/>
          <w:szCs w:val="20"/>
        </w:rPr>
      </w:pPr>
      <w:r w:rsidRPr="00F633DD">
        <w:rPr>
          <w:sz w:val="20"/>
          <w:szCs w:val="20"/>
        </w:rPr>
        <w:t xml:space="preserve">  </w:t>
      </w:r>
      <w:r w:rsidRPr="00F633DD">
        <w:rPr>
          <w:b/>
          <w:sz w:val="20"/>
          <w:szCs w:val="20"/>
        </w:rPr>
        <w:t>Estimation of alkaline phosphatase (ALP) activity</w:t>
      </w:r>
    </w:p>
    <w:p w:rsidR="00F633DD" w:rsidRPr="00F633DD" w:rsidRDefault="00F633DD" w:rsidP="00F633DD">
      <w:pPr>
        <w:pStyle w:val="ListParagraph"/>
        <w:rPr>
          <w:sz w:val="20"/>
          <w:szCs w:val="20"/>
        </w:rPr>
      </w:pPr>
      <w:r w:rsidRPr="00F633DD">
        <w:rPr>
          <w:sz w:val="20"/>
          <w:szCs w:val="20"/>
        </w:rPr>
        <w:t>Alkaline phosphatase activity was estimated by the method of Kind and King (1954) using ALP test kit.</w:t>
      </w:r>
    </w:p>
    <w:p w:rsidR="00F633DD" w:rsidRPr="00F633DD" w:rsidRDefault="00F633DD" w:rsidP="00F633DD">
      <w:pPr>
        <w:pStyle w:val="ListParagraph"/>
        <w:rPr>
          <w:sz w:val="20"/>
          <w:szCs w:val="20"/>
        </w:rPr>
      </w:pPr>
      <w:r w:rsidRPr="00F633DD">
        <w:rPr>
          <w:sz w:val="20"/>
          <w:szCs w:val="20"/>
        </w:rPr>
        <w:t>Procedure</w:t>
      </w:r>
    </w:p>
    <w:p w:rsidR="00F633DD" w:rsidRPr="00F633DD" w:rsidRDefault="00F633DD" w:rsidP="00F633DD">
      <w:pPr>
        <w:pStyle w:val="ListParagraph"/>
        <w:rPr>
          <w:sz w:val="20"/>
          <w:szCs w:val="20"/>
        </w:rPr>
      </w:pPr>
      <w:r w:rsidRPr="00F633DD">
        <w:rPr>
          <w:sz w:val="20"/>
          <w:szCs w:val="20"/>
        </w:rPr>
        <w:t>All the test tubes were marked properly as blank (B), standard (S), control (C), and test (T). 0.5 ml of working buffered substrate was added in clean tubes. 1.5 ml of purified water was added in all the tubes. They were mixed well and incubated at 37°C for 3 min.</w:t>
      </w:r>
    </w:p>
    <w:p w:rsidR="00F633DD" w:rsidRPr="00F633DD" w:rsidRDefault="00F633DD" w:rsidP="00F633DD">
      <w:pPr>
        <w:pStyle w:val="ListParagraph"/>
        <w:rPr>
          <w:sz w:val="20"/>
          <w:szCs w:val="20"/>
        </w:rPr>
      </w:pPr>
      <w:r w:rsidRPr="00F633DD">
        <w:rPr>
          <w:sz w:val="20"/>
          <w:szCs w:val="20"/>
        </w:rPr>
        <w:t>0.05 ml of serum was added in test (T), 0.05 ml of reagent III (Phenol standard) was added in standard (S) and 0.05 ml of purified water was added in blank (B) tubes. All the tubes were mixed well and incubated at 37°C for 15 min. 1 ml of reagent II was added in all the tubes. 0.05 ml of serum was added in control (C). All the tubes were mixed well and absorbance was read at 510 nm. Serum alkaline phosphatase activity is expressed as KA units.</w:t>
      </w:r>
    </w:p>
    <w:p w:rsidR="00F633DD" w:rsidRPr="00F633DD" w:rsidRDefault="00F633DD" w:rsidP="00F633DD">
      <w:pPr>
        <w:pStyle w:val="ListParagraph"/>
        <w:rPr>
          <w:b/>
          <w:sz w:val="20"/>
          <w:szCs w:val="20"/>
        </w:rPr>
      </w:pPr>
      <w:r w:rsidRPr="00F633DD">
        <w:rPr>
          <w:b/>
          <w:sz w:val="20"/>
          <w:szCs w:val="20"/>
        </w:rPr>
        <w:t>Estimation of aspartate aminotransferase (AST) activity</w:t>
      </w:r>
    </w:p>
    <w:p w:rsidR="00F633DD" w:rsidRPr="00F633DD" w:rsidRDefault="00F633DD" w:rsidP="00F633DD">
      <w:pPr>
        <w:pStyle w:val="ListParagraph"/>
        <w:rPr>
          <w:sz w:val="20"/>
          <w:szCs w:val="20"/>
        </w:rPr>
      </w:pPr>
      <w:r w:rsidRPr="00F633DD">
        <w:rPr>
          <w:sz w:val="20"/>
          <w:szCs w:val="20"/>
        </w:rPr>
        <w:t>The serum aspartate aminotransferase was estimated by the method of Reitman and Frankel (1957) using AST test kit.</w:t>
      </w:r>
    </w:p>
    <w:p w:rsidR="00F633DD" w:rsidRPr="00F633DD" w:rsidRDefault="00F633DD" w:rsidP="00F633DD">
      <w:pPr>
        <w:pStyle w:val="ListParagraph"/>
        <w:rPr>
          <w:sz w:val="20"/>
          <w:szCs w:val="20"/>
        </w:rPr>
      </w:pPr>
      <w:r w:rsidRPr="00F633DD">
        <w:rPr>
          <w:sz w:val="20"/>
          <w:szCs w:val="20"/>
        </w:rPr>
        <w:t>Procedure</w:t>
      </w:r>
    </w:p>
    <w:p w:rsidR="0045393C" w:rsidRDefault="00F633DD" w:rsidP="00F633DD">
      <w:pPr>
        <w:pStyle w:val="ListParagraph"/>
        <w:rPr>
          <w:sz w:val="20"/>
          <w:szCs w:val="20"/>
        </w:rPr>
      </w:pPr>
      <w:r w:rsidRPr="00F633DD">
        <w:rPr>
          <w:sz w:val="20"/>
          <w:szCs w:val="20"/>
        </w:rPr>
        <w:t>0.25 ml of Reagent I was added in clean test tubes and incubated at 37ºC for 5 minutes.</w:t>
      </w:r>
      <w:r>
        <w:rPr>
          <w:sz w:val="20"/>
          <w:szCs w:val="20"/>
        </w:rPr>
        <w:t xml:space="preserve"> </w:t>
      </w:r>
      <w:r w:rsidRPr="00F633DD">
        <w:rPr>
          <w:sz w:val="20"/>
          <w:szCs w:val="20"/>
        </w:rPr>
        <w:t>0.05 ml of serum was added in the test, 0.05 ml Reagent IV was added in standard and</w:t>
      </w:r>
      <w:r>
        <w:rPr>
          <w:sz w:val="20"/>
          <w:szCs w:val="20"/>
        </w:rPr>
        <w:t xml:space="preserve"> </w:t>
      </w:r>
      <w:r w:rsidRPr="00F633DD">
        <w:rPr>
          <w:sz w:val="20"/>
          <w:szCs w:val="20"/>
        </w:rPr>
        <w:t>0.05 ml distilled water was added in the blank. They were mixed well and incubated at 37ºC for 60 minutes. Thereafter, 0.25 ml of Reagent II was added to all the tubes, mixed well and allowed to stand at room temperature for 20 min. Then 2.5 ml of Solution I was added to all the tubes mixed well and allowed to stand at room temperature for 10 min. The absorbance of blank, standard and test were read at505 nm.</w:t>
      </w:r>
    </w:p>
    <w:p w:rsidR="00F633DD" w:rsidRPr="00F633DD" w:rsidRDefault="00F633DD" w:rsidP="00F633DD">
      <w:pPr>
        <w:pStyle w:val="ListParagraph"/>
        <w:rPr>
          <w:b/>
          <w:sz w:val="20"/>
          <w:szCs w:val="20"/>
        </w:rPr>
      </w:pPr>
      <w:r w:rsidRPr="00F633DD">
        <w:rPr>
          <w:b/>
          <w:sz w:val="20"/>
          <w:szCs w:val="20"/>
        </w:rPr>
        <w:t>2.6.4. Acute Toxicity Study</w:t>
      </w:r>
    </w:p>
    <w:p w:rsidR="00F633DD" w:rsidRPr="00F633DD" w:rsidRDefault="00F633DD" w:rsidP="00F633DD">
      <w:pPr>
        <w:pStyle w:val="ListParagraph"/>
        <w:rPr>
          <w:sz w:val="20"/>
          <w:szCs w:val="20"/>
        </w:rPr>
      </w:pPr>
      <w:r w:rsidRPr="00F633DD">
        <w:rPr>
          <w:sz w:val="20"/>
          <w:szCs w:val="20"/>
        </w:rPr>
        <w:t>Acute oral toxicity (</w:t>
      </w:r>
      <w:proofErr w:type="spellStart"/>
      <w:r w:rsidRPr="00F633DD">
        <w:rPr>
          <w:sz w:val="20"/>
          <w:szCs w:val="20"/>
        </w:rPr>
        <w:t>Ryu</w:t>
      </w:r>
      <w:proofErr w:type="spellEnd"/>
      <w:r w:rsidRPr="00F633DD">
        <w:rPr>
          <w:sz w:val="20"/>
          <w:szCs w:val="20"/>
        </w:rPr>
        <w:t xml:space="preserve"> et al., 2004), study was performed as per OECD-423 guidelines (1987). 10 rats/group (5 males and 5 females) were used</w:t>
      </w:r>
      <w:r>
        <w:rPr>
          <w:sz w:val="20"/>
          <w:szCs w:val="20"/>
        </w:rPr>
        <w:t xml:space="preserve"> </w:t>
      </w:r>
      <w:r w:rsidRPr="00F633DD">
        <w:rPr>
          <w:sz w:val="20"/>
          <w:szCs w:val="20"/>
        </w:rPr>
        <w:t xml:space="preserve">for the study. Group 1 was control </w:t>
      </w:r>
      <w:proofErr w:type="gramStart"/>
      <w:r w:rsidRPr="00F633DD">
        <w:rPr>
          <w:sz w:val="20"/>
          <w:szCs w:val="20"/>
        </w:rPr>
        <w:t>group ,</w:t>
      </w:r>
      <w:proofErr w:type="gramEnd"/>
      <w:r w:rsidRPr="00F633DD">
        <w:rPr>
          <w:sz w:val="20"/>
          <w:szCs w:val="20"/>
        </w:rPr>
        <w:t xml:space="preserve"> Group III and Group IV were that of WFM at different doses (400, 600 mg/kg body weight). Single</w:t>
      </w:r>
      <w:r>
        <w:rPr>
          <w:sz w:val="20"/>
          <w:szCs w:val="20"/>
        </w:rPr>
        <w:t xml:space="preserve"> </w:t>
      </w:r>
      <w:r w:rsidRPr="00F633DD">
        <w:rPr>
          <w:sz w:val="20"/>
          <w:szCs w:val="20"/>
        </w:rPr>
        <w:t>dose of the extract was administrated orally to each animal. Signs of toxicity, body weight, feed and water consumption of each animal was</w:t>
      </w:r>
      <w:r>
        <w:rPr>
          <w:sz w:val="20"/>
          <w:szCs w:val="20"/>
        </w:rPr>
        <w:t xml:space="preserve"> </w:t>
      </w:r>
      <w:r w:rsidRPr="00F633DD">
        <w:rPr>
          <w:sz w:val="20"/>
          <w:szCs w:val="20"/>
        </w:rPr>
        <w:t>observed every day for 14 days.</w:t>
      </w:r>
    </w:p>
    <w:p w:rsidR="00F633DD" w:rsidRPr="00F633DD" w:rsidRDefault="00F633DD" w:rsidP="00F633DD">
      <w:pPr>
        <w:pStyle w:val="ListParagraph"/>
        <w:rPr>
          <w:b/>
          <w:sz w:val="20"/>
          <w:szCs w:val="20"/>
        </w:rPr>
      </w:pPr>
      <w:r w:rsidRPr="00F633DD">
        <w:rPr>
          <w:b/>
          <w:sz w:val="20"/>
          <w:szCs w:val="20"/>
        </w:rPr>
        <w:t>2.6.5. Statistical Analysis</w:t>
      </w:r>
    </w:p>
    <w:p w:rsidR="00F633DD" w:rsidRPr="00F633DD" w:rsidRDefault="00F633DD" w:rsidP="00F633DD">
      <w:pPr>
        <w:pStyle w:val="ListParagraph"/>
        <w:rPr>
          <w:sz w:val="20"/>
          <w:szCs w:val="20"/>
        </w:rPr>
      </w:pPr>
      <w:r w:rsidRPr="00F633DD">
        <w:rPr>
          <w:sz w:val="20"/>
          <w:szCs w:val="20"/>
        </w:rPr>
        <w:t>The data obtained from animal experiments are expressed as mean ± SEM (standard error of mean). For statistical analysis data were subjected to</w:t>
      </w:r>
      <w:r>
        <w:rPr>
          <w:sz w:val="20"/>
          <w:szCs w:val="20"/>
        </w:rPr>
        <w:t xml:space="preserve"> </w:t>
      </w:r>
      <w:r w:rsidRPr="00F633DD">
        <w:rPr>
          <w:sz w:val="20"/>
          <w:szCs w:val="20"/>
        </w:rPr>
        <w:t>analysis of variance (ANOVA) followed by Student’s t-test. Values are considered statistically significant at p &lt; 0.01 for ANOVA and P &lt; 0.05 for</w:t>
      </w:r>
      <w:r>
        <w:rPr>
          <w:sz w:val="20"/>
          <w:szCs w:val="20"/>
        </w:rPr>
        <w:t xml:space="preserve"> </w:t>
      </w:r>
      <w:r w:rsidRPr="00F633DD">
        <w:rPr>
          <w:sz w:val="20"/>
          <w:szCs w:val="20"/>
        </w:rPr>
        <w:t>t-test.</w:t>
      </w:r>
      <w:r w:rsidRPr="00F633DD">
        <w:rPr>
          <w:sz w:val="20"/>
          <w:szCs w:val="20"/>
        </w:rPr>
        <w:cr/>
      </w:r>
    </w:p>
    <w:p w:rsidR="00BB3AD6" w:rsidRPr="003F50CD" w:rsidRDefault="00987AC1">
      <w:pPr>
        <w:pStyle w:val="Heading1"/>
        <w:numPr>
          <w:ilvl w:val="0"/>
          <w:numId w:val="3"/>
        </w:numPr>
        <w:tabs>
          <w:tab w:val="left" w:pos="496"/>
        </w:tabs>
        <w:ind w:hanging="361"/>
        <w:jc w:val="both"/>
        <w:rPr>
          <w:sz w:val="20"/>
          <w:szCs w:val="20"/>
        </w:rPr>
      </w:pPr>
      <w:r w:rsidRPr="003F50CD">
        <w:rPr>
          <w:sz w:val="20"/>
          <w:szCs w:val="20"/>
        </w:rPr>
        <w:t>RESULTS</w:t>
      </w:r>
      <w:r w:rsidRPr="003F50CD">
        <w:rPr>
          <w:spacing w:val="-2"/>
          <w:sz w:val="20"/>
          <w:szCs w:val="20"/>
        </w:rPr>
        <w:t xml:space="preserve"> </w:t>
      </w:r>
      <w:r w:rsidRPr="003F50CD">
        <w:rPr>
          <w:sz w:val="20"/>
          <w:szCs w:val="20"/>
        </w:rPr>
        <w:t>AND</w:t>
      </w:r>
      <w:r w:rsidRPr="003F50CD">
        <w:rPr>
          <w:spacing w:val="-1"/>
          <w:sz w:val="20"/>
          <w:szCs w:val="20"/>
        </w:rPr>
        <w:t xml:space="preserve"> </w:t>
      </w:r>
      <w:r w:rsidRPr="003F50CD">
        <w:rPr>
          <w:sz w:val="20"/>
          <w:szCs w:val="20"/>
        </w:rPr>
        <w:t>DISCUSSION</w:t>
      </w:r>
    </w:p>
    <w:p w:rsidR="00F633DD" w:rsidRPr="005F1BD9" w:rsidRDefault="005F1BD9" w:rsidP="00F633DD">
      <w:pPr>
        <w:pStyle w:val="Heading1"/>
        <w:tabs>
          <w:tab w:val="left" w:pos="496"/>
        </w:tabs>
        <w:ind w:firstLine="0"/>
        <w:jc w:val="both"/>
        <w:rPr>
          <w:sz w:val="20"/>
          <w:szCs w:val="20"/>
        </w:rPr>
      </w:pPr>
      <w:r>
        <w:rPr>
          <w:sz w:val="20"/>
          <w:szCs w:val="20"/>
        </w:rPr>
        <w:t xml:space="preserve">3.1. </w:t>
      </w:r>
      <w:r w:rsidR="00F633DD" w:rsidRPr="005F1BD9">
        <w:rPr>
          <w:sz w:val="20"/>
          <w:szCs w:val="20"/>
        </w:rPr>
        <w:t xml:space="preserve">Preliminary Phytochemical Analysis </w:t>
      </w:r>
    </w:p>
    <w:p w:rsidR="00F633DD" w:rsidRPr="003F50CD" w:rsidRDefault="00F633DD" w:rsidP="00F633DD">
      <w:pPr>
        <w:pStyle w:val="Heading1"/>
        <w:tabs>
          <w:tab w:val="left" w:pos="496"/>
        </w:tabs>
        <w:ind w:firstLine="0"/>
        <w:jc w:val="both"/>
        <w:rPr>
          <w:b w:val="0"/>
          <w:sz w:val="20"/>
          <w:szCs w:val="20"/>
        </w:rPr>
      </w:pPr>
      <w:r w:rsidRPr="003F50CD">
        <w:rPr>
          <w:b w:val="0"/>
          <w:sz w:val="20"/>
          <w:szCs w:val="20"/>
        </w:rPr>
        <w:t xml:space="preserve">The results of qualitative phytochemical analysis of the crude powder and the methanol extract of </w:t>
      </w:r>
      <w:proofErr w:type="spellStart"/>
      <w:r w:rsidRPr="003F50CD">
        <w:rPr>
          <w:b w:val="0"/>
          <w:sz w:val="20"/>
          <w:szCs w:val="20"/>
        </w:rPr>
        <w:t>Desmodium</w:t>
      </w:r>
      <w:proofErr w:type="spellEnd"/>
      <w:r w:rsidRPr="003F50CD">
        <w:rPr>
          <w:b w:val="0"/>
          <w:sz w:val="20"/>
          <w:szCs w:val="20"/>
        </w:rPr>
        <w:t xml:space="preserve"> </w:t>
      </w:r>
      <w:proofErr w:type="spellStart"/>
      <w:r w:rsidRPr="003F50CD">
        <w:rPr>
          <w:b w:val="0"/>
          <w:sz w:val="20"/>
          <w:szCs w:val="20"/>
        </w:rPr>
        <w:t>gangeticum</w:t>
      </w:r>
      <w:proofErr w:type="spellEnd"/>
      <w:r w:rsidRPr="003F50CD">
        <w:rPr>
          <w:b w:val="0"/>
          <w:sz w:val="20"/>
          <w:szCs w:val="20"/>
        </w:rPr>
        <w:t xml:space="preserve"> leaves is shown in Table.</w:t>
      </w:r>
      <w:r w:rsidR="003F50CD">
        <w:rPr>
          <w:b w:val="0"/>
          <w:sz w:val="20"/>
          <w:szCs w:val="20"/>
        </w:rPr>
        <w:t>1.</w:t>
      </w:r>
      <w:r w:rsidRPr="003F50CD">
        <w:rPr>
          <w:b w:val="0"/>
          <w:sz w:val="20"/>
          <w:szCs w:val="20"/>
        </w:rPr>
        <w:t xml:space="preserve"> </w:t>
      </w:r>
    </w:p>
    <w:p w:rsidR="003F50CD" w:rsidRPr="003F50CD" w:rsidRDefault="00F633DD" w:rsidP="003F50CD">
      <w:pPr>
        <w:pStyle w:val="Heading1"/>
        <w:tabs>
          <w:tab w:val="left" w:pos="496"/>
        </w:tabs>
        <w:ind w:firstLine="0"/>
        <w:jc w:val="center"/>
        <w:rPr>
          <w:b w:val="0"/>
          <w:sz w:val="20"/>
          <w:szCs w:val="20"/>
        </w:rPr>
      </w:pPr>
      <w:r w:rsidRPr="003F50CD">
        <w:rPr>
          <w:b w:val="0"/>
          <w:sz w:val="20"/>
          <w:szCs w:val="20"/>
        </w:rPr>
        <w:t xml:space="preserve">Table 1: Preliminary qualitative phytochemical analysis of </w:t>
      </w:r>
      <w:proofErr w:type="spellStart"/>
      <w:r w:rsidRPr="003F50CD">
        <w:rPr>
          <w:b w:val="0"/>
          <w:sz w:val="20"/>
          <w:szCs w:val="20"/>
        </w:rPr>
        <w:t>Desmodium</w:t>
      </w:r>
      <w:proofErr w:type="spellEnd"/>
      <w:r w:rsidRPr="003F50CD">
        <w:rPr>
          <w:b w:val="0"/>
          <w:sz w:val="20"/>
          <w:szCs w:val="20"/>
        </w:rPr>
        <w:t xml:space="preserve"> </w:t>
      </w:r>
      <w:proofErr w:type="spellStart"/>
      <w:r w:rsidRPr="003F50CD">
        <w:rPr>
          <w:b w:val="0"/>
          <w:sz w:val="20"/>
          <w:szCs w:val="20"/>
        </w:rPr>
        <w:t>gangeticum</w:t>
      </w:r>
      <w:proofErr w:type="spellEnd"/>
      <w:r w:rsidRPr="003F50CD">
        <w:rPr>
          <w:b w:val="0"/>
          <w:sz w:val="20"/>
          <w:szCs w:val="20"/>
        </w:rPr>
        <w:t xml:space="preserve"> leaves</w:t>
      </w:r>
    </w:p>
    <w:tbl>
      <w:tblPr>
        <w:tblStyle w:val="TableGrid"/>
        <w:tblW w:w="0" w:type="auto"/>
        <w:jc w:val="center"/>
        <w:tblInd w:w="806" w:type="dxa"/>
        <w:tblLook w:val="04A0" w:firstRow="1" w:lastRow="0" w:firstColumn="1" w:lastColumn="0" w:noHBand="0" w:noVBand="1"/>
      </w:tblPr>
      <w:tblGrid>
        <w:gridCol w:w="2178"/>
        <w:gridCol w:w="2880"/>
        <w:gridCol w:w="2164"/>
      </w:tblGrid>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b/>
                <w:iCs/>
                <w:sz w:val="20"/>
                <w:szCs w:val="20"/>
              </w:rPr>
            </w:pPr>
            <w:r w:rsidRPr="003F50CD">
              <w:rPr>
                <w:b/>
                <w:iCs/>
                <w:sz w:val="20"/>
                <w:szCs w:val="20"/>
              </w:rPr>
              <w:t>Phytochemical</w:t>
            </w:r>
          </w:p>
        </w:tc>
        <w:tc>
          <w:tcPr>
            <w:tcW w:w="2880" w:type="dxa"/>
          </w:tcPr>
          <w:p w:rsidR="003F50CD" w:rsidRPr="003F50CD" w:rsidRDefault="003F50CD" w:rsidP="00FF6634">
            <w:pPr>
              <w:autoSpaceDE w:val="0"/>
              <w:autoSpaceDN w:val="0"/>
              <w:adjustRightInd w:val="0"/>
              <w:spacing w:line="360" w:lineRule="auto"/>
              <w:jc w:val="center"/>
              <w:rPr>
                <w:b/>
                <w:iCs/>
                <w:sz w:val="20"/>
                <w:szCs w:val="20"/>
              </w:rPr>
            </w:pPr>
            <w:r w:rsidRPr="003F50CD">
              <w:rPr>
                <w:b/>
                <w:iCs/>
                <w:sz w:val="20"/>
                <w:szCs w:val="20"/>
              </w:rPr>
              <w:t>Test</w:t>
            </w:r>
          </w:p>
        </w:tc>
        <w:tc>
          <w:tcPr>
            <w:tcW w:w="2164" w:type="dxa"/>
          </w:tcPr>
          <w:p w:rsidR="003F50CD" w:rsidRPr="003F50CD" w:rsidRDefault="003F50CD" w:rsidP="00FF6634">
            <w:pPr>
              <w:autoSpaceDE w:val="0"/>
              <w:autoSpaceDN w:val="0"/>
              <w:adjustRightInd w:val="0"/>
              <w:spacing w:line="360" w:lineRule="auto"/>
              <w:jc w:val="center"/>
              <w:rPr>
                <w:b/>
                <w:iCs/>
                <w:sz w:val="20"/>
                <w:szCs w:val="20"/>
              </w:rPr>
            </w:pPr>
            <w:proofErr w:type="spellStart"/>
            <w:r w:rsidRPr="003F50CD">
              <w:rPr>
                <w:b/>
                <w:iCs/>
                <w:sz w:val="20"/>
                <w:szCs w:val="20"/>
              </w:rPr>
              <w:t>Methanolic</w:t>
            </w:r>
            <w:proofErr w:type="spellEnd"/>
            <w:r w:rsidRPr="003F50CD">
              <w:rPr>
                <w:b/>
                <w:iCs/>
                <w:sz w:val="20"/>
                <w:szCs w:val="20"/>
              </w:rPr>
              <w:t xml:space="preserve"> extract</w:t>
            </w:r>
          </w:p>
        </w:tc>
      </w:tr>
      <w:tr w:rsidR="003F50CD" w:rsidRPr="003F50CD" w:rsidTr="003F50CD">
        <w:trPr>
          <w:trHeight w:val="1131"/>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Alkaloids</w:t>
            </w:r>
          </w:p>
        </w:tc>
        <w:tc>
          <w:tcPr>
            <w:tcW w:w="2880"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Dragandroffs</w:t>
            </w:r>
            <w:proofErr w:type="spellEnd"/>
            <w:r w:rsidRPr="003F50CD">
              <w:rPr>
                <w:iCs/>
                <w:sz w:val="20"/>
                <w:szCs w:val="20"/>
              </w:rPr>
              <w:t xml:space="preserve"> test</w:t>
            </w:r>
          </w:p>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Mayers</w:t>
            </w:r>
            <w:proofErr w:type="spellEnd"/>
            <w:r w:rsidRPr="003F50CD">
              <w:rPr>
                <w:iCs/>
                <w:sz w:val="20"/>
                <w:szCs w:val="20"/>
              </w:rPr>
              <w:t xml:space="preserve"> test</w:t>
            </w:r>
          </w:p>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Wagners</w:t>
            </w:r>
            <w:proofErr w:type="spellEnd"/>
            <w:r w:rsidRPr="003F50CD">
              <w:rPr>
                <w:iCs/>
                <w:sz w:val="20"/>
                <w:szCs w:val="20"/>
              </w:rPr>
              <w:t xml:space="preserve"> test</w:t>
            </w:r>
          </w:p>
        </w:tc>
        <w:tc>
          <w:tcPr>
            <w:tcW w:w="2164" w:type="dxa"/>
          </w:tcPr>
          <w:p w:rsidR="003F50CD" w:rsidRPr="003F50CD" w:rsidRDefault="003F50CD" w:rsidP="00FF6634">
            <w:pPr>
              <w:autoSpaceDE w:val="0"/>
              <w:autoSpaceDN w:val="0"/>
              <w:adjustRightInd w:val="0"/>
              <w:spacing w:line="360" w:lineRule="auto"/>
              <w:jc w:val="center"/>
              <w:rPr>
                <w:iCs/>
                <w:color w:val="000000" w:themeColor="text1"/>
                <w:sz w:val="20"/>
                <w:szCs w:val="20"/>
              </w:rPr>
            </w:pPr>
            <w:r w:rsidRPr="003F50CD">
              <w:rPr>
                <w:iCs/>
                <w:color w:val="000000" w:themeColor="text1"/>
                <w:sz w:val="20"/>
                <w:szCs w:val="20"/>
              </w:rPr>
              <w:t>+</w:t>
            </w:r>
          </w:p>
          <w:p w:rsidR="003F50CD" w:rsidRPr="003F50CD" w:rsidRDefault="003F50CD" w:rsidP="00FF6634">
            <w:pPr>
              <w:autoSpaceDE w:val="0"/>
              <w:autoSpaceDN w:val="0"/>
              <w:adjustRightInd w:val="0"/>
              <w:spacing w:line="360" w:lineRule="auto"/>
              <w:jc w:val="center"/>
              <w:rPr>
                <w:iCs/>
                <w:color w:val="000000" w:themeColor="text1"/>
                <w:sz w:val="20"/>
                <w:szCs w:val="20"/>
              </w:rPr>
            </w:pPr>
            <w:r w:rsidRPr="003F50CD">
              <w:rPr>
                <w:iCs/>
                <w:color w:val="000000" w:themeColor="text1"/>
                <w:sz w:val="20"/>
                <w:szCs w:val="20"/>
              </w:rPr>
              <w:t>+</w:t>
            </w:r>
          </w:p>
          <w:p w:rsidR="003F50CD" w:rsidRPr="003F50CD" w:rsidRDefault="003F50CD" w:rsidP="00FF6634">
            <w:pPr>
              <w:autoSpaceDE w:val="0"/>
              <w:autoSpaceDN w:val="0"/>
              <w:adjustRightInd w:val="0"/>
              <w:spacing w:line="360" w:lineRule="auto"/>
              <w:jc w:val="center"/>
              <w:rPr>
                <w:iCs/>
                <w:color w:val="000000" w:themeColor="text1"/>
                <w:sz w:val="20"/>
                <w:szCs w:val="20"/>
              </w:rPr>
            </w:pPr>
            <w:r w:rsidRPr="003F50CD">
              <w:rPr>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Flavonoids</w:t>
            </w:r>
          </w:p>
        </w:tc>
        <w:tc>
          <w:tcPr>
            <w:tcW w:w="2880"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Shinoda</w:t>
            </w:r>
            <w:proofErr w:type="spellEnd"/>
            <w:r w:rsidRPr="003F50CD">
              <w:rPr>
                <w:iCs/>
                <w:sz w:val="20"/>
                <w:szCs w:val="20"/>
              </w:rPr>
              <w:t xml:space="preserve"> test</w:t>
            </w:r>
          </w:p>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Alkaline reagent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Cardiac glycosides</w:t>
            </w:r>
          </w:p>
        </w:tc>
        <w:tc>
          <w:tcPr>
            <w:tcW w:w="2880"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Keller-</w:t>
            </w:r>
            <w:proofErr w:type="spellStart"/>
            <w:r w:rsidRPr="003F50CD">
              <w:rPr>
                <w:iCs/>
                <w:sz w:val="20"/>
                <w:szCs w:val="20"/>
              </w:rPr>
              <w:t>kilianni</w:t>
            </w:r>
            <w:proofErr w:type="spellEnd"/>
            <w:r w:rsidRPr="003F50CD">
              <w:rPr>
                <w:iCs/>
                <w:sz w:val="20"/>
                <w:szCs w:val="20"/>
              </w:rPr>
              <w:t xml:space="preserve">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Phlobotannins</w:t>
            </w:r>
            <w:proofErr w:type="spellEnd"/>
          </w:p>
        </w:tc>
        <w:tc>
          <w:tcPr>
            <w:tcW w:w="2880"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HCl</w:t>
            </w:r>
            <w:proofErr w:type="spellEnd"/>
            <w:r w:rsidRPr="003F50CD">
              <w:rPr>
                <w:iCs/>
                <w:sz w:val="20"/>
                <w:szCs w:val="20"/>
              </w:rPr>
              <w:t xml:space="preserve">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Saponins</w:t>
            </w:r>
            <w:proofErr w:type="spellEnd"/>
          </w:p>
        </w:tc>
        <w:tc>
          <w:tcPr>
            <w:tcW w:w="2880"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Frothing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Steroids</w:t>
            </w:r>
          </w:p>
        </w:tc>
        <w:tc>
          <w:tcPr>
            <w:tcW w:w="2880"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Libbermann-Burchard</w:t>
            </w:r>
            <w:proofErr w:type="spellEnd"/>
            <w:r w:rsidRPr="003F50CD">
              <w:rPr>
                <w:iCs/>
                <w:sz w:val="20"/>
                <w:szCs w:val="20"/>
              </w:rPr>
              <w:t xml:space="preserve">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Tannins</w:t>
            </w:r>
          </w:p>
        </w:tc>
        <w:tc>
          <w:tcPr>
            <w:tcW w:w="2880"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FeCl</w:t>
            </w:r>
            <w:r w:rsidRPr="003F50CD">
              <w:rPr>
                <w:iCs/>
                <w:sz w:val="20"/>
                <w:szCs w:val="20"/>
                <w:vertAlign w:val="subscript"/>
              </w:rPr>
              <w:t xml:space="preserve">3 </w:t>
            </w:r>
            <w:r w:rsidRPr="003F50CD">
              <w:rPr>
                <w:iCs/>
                <w:sz w:val="20"/>
                <w:szCs w:val="20"/>
              </w:rPr>
              <w:t>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r w:rsidR="003F50CD" w:rsidRPr="003F50CD" w:rsidTr="003F50CD">
        <w:trPr>
          <w:jc w:val="center"/>
        </w:trPr>
        <w:tc>
          <w:tcPr>
            <w:tcW w:w="2178" w:type="dxa"/>
          </w:tcPr>
          <w:p w:rsidR="003F50CD" w:rsidRPr="003F50CD" w:rsidRDefault="003F50CD" w:rsidP="00FF6634">
            <w:pPr>
              <w:autoSpaceDE w:val="0"/>
              <w:autoSpaceDN w:val="0"/>
              <w:adjustRightInd w:val="0"/>
              <w:spacing w:line="360" w:lineRule="auto"/>
              <w:jc w:val="center"/>
              <w:rPr>
                <w:iCs/>
                <w:sz w:val="20"/>
                <w:szCs w:val="20"/>
              </w:rPr>
            </w:pPr>
            <w:proofErr w:type="spellStart"/>
            <w:r w:rsidRPr="003F50CD">
              <w:rPr>
                <w:iCs/>
                <w:sz w:val="20"/>
                <w:szCs w:val="20"/>
              </w:rPr>
              <w:t>Triterpenes</w:t>
            </w:r>
            <w:proofErr w:type="spellEnd"/>
          </w:p>
        </w:tc>
        <w:tc>
          <w:tcPr>
            <w:tcW w:w="2880" w:type="dxa"/>
          </w:tcPr>
          <w:p w:rsidR="003F50CD" w:rsidRPr="003F50CD" w:rsidRDefault="003F50CD" w:rsidP="00FF6634">
            <w:pPr>
              <w:autoSpaceDE w:val="0"/>
              <w:autoSpaceDN w:val="0"/>
              <w:adjustRightInd w:val="0"/>
              <w:spacing w:line="360" w:lineRule="auto"/>
              <w:jc w:val="center"/>
              <w:rPr>
                <w:iCs/>
                <w:sz w:val="20"/>
                <w:szCs w:val="20"/>
              </w:rPr>
            </w:pPr>
            <w:r w:rsidRPr="003F50CD">
              <w:rPr>
                <w:iCs/>
                <w:sz w:val="20"/>
                <w:szCs w:val="20"/>
              </w:rPr>
              <w:t>H</w:t>
            </w:r>
            <w:r w:rsidRPr="003F50CD">
              <w:rPr>
                <w:iCs/>
                <w:sz w:val="20"/>
                <w:szCs w:val="20"/>
                <w:vertAlign w:val="subscript"/>
              </w:rPr>
              <w:t>2</w:t>
            </w:r>
            <w:r w:rsidRPr="003F50CD">
              <w:rPr>
                <w:iCs/>
                <w:sz w:val="20"/>
                <w:szCs w:val="20"/>
              </w:rPr>
              <w:t>SO</w:t>
            </w:r>
            <w:r w:rsidRPr="003F50CD">
              <w:rPr>
                <w:iCs/>
                <w:sz w:val="20"/>
                <w:szCs w:val="20"/>
                <w:vertAlign w:val="subscript"/>
              </w:rPr>
              <w:t>4</w:t>
            </w:r>
            <w:r w:rsidRPr="003F50CD">
              <w:rPr>
                <w:iCs/>
                <w:sz w:val="20"/>
                <w:szCs w:val="20"/>
              </w:rPr>
              <w:t xml:space="preserve"> test</w:t>
            </w:r>
          </w:p>
        </w:tc>
        <w:tc>
          <w:tcPr>
            <w:tcW w:w="2164" w:type="dxa"/>
          </w:tcPr>
          <w:p w:rsidR="003F50CD" w:rsidRPr="003F50CD" w:rsidRDefault="003F50CD" w:rsidP="00FF6634">
            <w:pPr>
              <w:autoSpaceDE w:val="0"/>
              <w:autoSpaceDN w:val="0"/>
              <w:adjustRightInd w:val="0"/>
              <w:spacing w:line="360" w:lineRule="auto"/>
              <w:jc w:val="center"/>
              <w:rPr>
                <w:i/>
                <w:iCs/>
                <w:color w:val="000000" w:themeColor="text1"/>
                <w:sz w:val="20"/>
                <w:szCs w:val="20"/>
              </w:rPr>
            </w:pPr>
            <w:r w:rsidRPr="003F50CD">
              <w:rPr>
                <w:i/>
                <w:iCs/>
                <w:color w:val="000000" w:themeColor="text1"/>
                <w:sz w:val="20"/>
                <w:szCs w:val="20"/>
              </w:rPr>
              <w:t>+</w:t>
            </w:r>
          </w:p>
        </w:tc>
      </w:tr>
    </w:tbl>
    <w:p w:rsidR="00F633DD" w:rsidRDefault="00F633DD" w:rsidP="00F633DD">
      <w:pPr>
        <w:pStyle w:val="Heading1"/>
        <w:tabs>
          <w:tab w:val="left" w:pos="496"/>
        </w:tabs>
        <w:ind w:firstLine="0"/>
        <w:jc w:val="both"/>
        <w:rPr>
          <w:b w:val="0"/>
          <w:sz w:val="20"/>
          <w:szCs w:val="20"/>
        </w:rPr>
      </w:pPr>
      <w:r w:rsidRPr="003F50CD">
        <w:rPr>
          <w:b w:val="0"/>
          <w:sz w:val="20"/>
          <w:szCs w:val="20"/>
        </w:rPr>
        <w:t>(-): absent, (+): present.</w:t>
      </w:r>
    </w:p>
    <w:p w:rsidR="005F1BD9" w:rsidRPr="005F1BD9" w:rsidRDefault="005F1BD9" w:rsidP="005F1BD9">
      <w:pPr>
        <w:pStyle w:val="Heading1"/>
        <w:tabs>
          <w:tab w:val="left" w:pos="496"/>
        </w:tabs>
        <w:jc w:val="both"/>
        <w:rPr>
          <w:sz w:val="20"/>
          <w:szCs w:val="20"/>
        </w:rPr>
      </w:pPr>
      <w:r w:rsidRPr="005F1BD9">
        <w:rPr>
          <w:sz w:val="20"/>
          <w:szCs w:val="20"/>
        </w:rPr>
        <w:t xml:space="preserve">3.2. </w:t>
      </w:r>
      <w:proofErr w:type="spellStart"/>
      <w:r w:rsidRPr="005F1BD9">
        <w:rPr>
          <w:sz w:val="20"/>
          <w:szCs w:val="20"/>
        </w:rPr>
        <w:t>Hepatoprotective</w:t>
      </w:r>
      <w:proofErr w:type="spellEnd"/>
      <w:r w:rsidRPr="005F1BD9">
        <w:rPr>
          <w:sz w:val="20"/>
          <w:szCs w:val="20"/>
        </w:rPr>
        <w:t xml:space="preserve"> Studies</w:t>
      </w:r>
    </w:p>
    <w:p w:rsidR="005F1BD9" w:rsidRPr="005F1BD9" w:rsidRDefault="005F1BD9" w:rsidP="005F1BD9">
      <w:pPr>
        <w:pStyle w:val="Heading1"/>
        <w:tabs>
          <w:tab w:val="left" w:pos="496"/>
        </w:tabs>
        <w:rPr>
          <w:sz w:val="20"/>
          <w:szCs w:val="20"/>
        </w:rPr>
      </w:pPr>
      <w:proofErr w:type="spellStart"/>
      <w:r w:rsidRPr="007C11DE">
        <w:rPr>
          <w:sz w:val="20"/>
          <w:szCs w:val="20"/>
        </w:rPr>
        <w:t>Diclofenac</w:t>
      </w:r>
      <w:proofErr w:type="spellEnd"/>
      <w:r w:rsidRPr="005F1BD9">
        <w:rPr>
          <w:sz w:val="20"/>
          <w:szCs w:val="20"/>
        </w:rPr>
        <w:t xml:space="preserve"> induc</w:t>
      </w:r>
      <w:bookmarkStart w:id="0" w:name="_GoBack"/>
      <w:bookmarkEnd w:id="0"/>
      <w:r w:rsidRPr="005F1BD9">
        <w:rPr>
          <w:sz w:val="20"/>
          <w:szCs w:val="20"/>
        </w:rPr>
        <w:t>ed hepatotoxicity</w:t>
      </w:r>
    </w:p>
    <w:p w:rsidR="00E32E62" w:rsidRPr="00E32E62" w:rsidRDefault="005F1BD9" w:rsidP="00E32E62">
      <w:pPr>
        <w:pStyle w:val="Heading1"/>
        <w:tabs>
          <w:tab w:val="left" w:pos="496"/>
        </w:tabs>
        <w:ind w:left="180" w:hanging="180"/>
        <w:jc w:val="both"/>
        <w:rPr>
          <w:b w:val="0"/>
          <w:sz w:val="20"/>
          <w:szCs w:val="20"/>
        </w:rPr>
      </w:pPr>
      <w:r>
        <w:rPr>
          <w:b w:val="0"/>
          <w:sz w:val="20"/>
          <w:szCs w:val="20"/>
        </w:rPr>
        <w:t xml:space="preserve">   </w:t>
      </w:r>
      <w:r w:rsidR="00E32E62" w:rsidRPr="00E32E62">
        <w:rPr>
          <w:b w:val="0"/>
          <w:sz w:val="20"/>
          <w:szCs w:val="20"/>
        </w:rPr>
        <w:t xml:space="preserve">The results of serum biochemical parameters in pre-treatment of DG with respect to induction of hepatotoxicity using </w:t>
      </w:r>
      <w:proofErr w:type="spellStart"/>
      <w:r w:rsidR="00E32E62">
        <w:rPr>
          <w:b w:val="0"/>
          <w:sz w:val="20"/>
          <w:szCs w:val="20"/>
        </w:rPr>
        <w:t>diclofenac</w:t>
      </w:r>
      <w:proofErr w:type="spellEnd"/>
      <w:r w:rsidR="00E32E62">
        <w:rPr>
          <w:b w:val="0"/>
          <w:sz w:val="20"/>
          <w:szCs w:val="20"/>
        </w:rPr>
        <w:t xml:space="preserve"> are shown in Figure 1</w:t>
      </w:r>
      <w:r w:rsidR="00E32E62" w:rsidRPr="00E32E62">
        <w:rPr>
          <w:b w:val="0"/>
          <w:sz w:val="20"/>
          <w:szCs w:val="20"/>
        </w:rPr>
        <w:t xml:space="preserve">. The level of total protein and albumin depleted in the group treated with </w:t>
      </w:r>
      <w:proofErr w:type="spellStart"/>
      <w:r w:rsidR="00E32E62" w:rsidRPr="00E32E62">
        <w:rPr>
          <w:b w:val="0"/>
          <w:sz w:val="20"/>
          <w:szCs w:val="20"/>
        </w:rPr>
        <w:t>diclofenac</w:t>
      </w:r>
      <w:proofErr w:type="spellEnd"/>
      <w:r w:rsidR="00E32E62" w:rsidRPr="00E32E62">
        <w:rPr>
          <w:b w:val="0"/>
          <w:sz w:val="20"/>
          <w:szCs w:val="20"/>
        </w:rPr>
        <w:t xml:space="preserve"> (toxin control) and were significantly decreased (P &lt; 0.001) when compared with the normal control group. The BUN and ALP levels increased significantly (P &lt; 0.01, P &lt; 0.001 respectively) in the group treated with </w:t>
      </w:r>
      <w:proofErr w:type="spellStart"/>
      <w:r w:rsidR="00E32E62" w:rsidRPr="00E32E62">
        <w:rPr>
          <w:b w:val="0"/>
          <w:sz w:val="20"/>
          <w:szCs w:val="20"/>
        </w:rPr>
        <w:t>diclofenac</w:t>
      </w:r>
      <w:proofErr w:type="spellEnd"/>
      <w:r w:rsidR="00E32E62" w:rsidRPr="00E32E62">
        <w:rPr>
          <w:b w:val="0"/>
          <w:sz w:val="20"/>
          <w:szCs w:val="20"/>
        </w:rPr>
        <w:t xml:space="preserve">. The administration of </w:t>
      </w:r>
      <w:proofErr w:type="spellStart"/>
      <w:r w:rsidR="00E32E62" w:rsidRPr="00E32E62">
        <w:rPr>
          <w:b w:val="0"/>
          <w:sz w:val="20"/>
          <w:szCs w:val="20"/>
        </w:rPr>
        <w:t>diclofenac</w:t>
      </w:r>
      <w:proofErr w:type="spellEnd"/>
      <w:r w:rsidR="00E32E62" w:rsidRPr="00E32E62">
        <w:rPr>
          <w:b w:val="0"/>
          <w:sz w:val="20"/>
          <w:szCs w:val="20"/>
        </w:rPr>
        <w:t xml:space="preserve"> markedly increased serum AST and ALT levels which were significant as compared to normal control group (P &lt; 0.05, P &lt; 0.01 respectively).</w:t>
      </w:r>
      <w:r w:rsidR="00E32E62" w:rsidRPr="00E32E62">
        <w:t xml:space="preserve"> </w:t>
      </w:r>
      <w:r w:rsidR="00E32E62" w:rsidRPr="00E32E62">
        <w:rPr>
          <w:b w:val="0"/>
          <w:sz w:val="20"/>
          <w:szCs w:val="20"/>
        </w:rPr>
        <w:t xml:space="preserve">The groups that received the pre-treatment of DGL at dose levels of 400 and 600 mg/kg body weight significantly controlled the change in the biochemical parameters. The extract at dose levels of 400 and 600 mg/kg exhibited significant increases (P &lt; 0.05) in the serum total protein level as compared to toxin control group. The albumin level in lower as well as in higher dose group increased significantly (P &lt; 0.01, P &lt; 0.001 respectively) as compared to toxin control group and the effect was comparable with the standard group (P &lt; 0.01) treated with </w:t>
      </w:r>
      <w:proofErr w:type="spellStart"/>
      <w:r w:rsidR="00E32E62" w:rsidRPr="00E32E62">
        <w:rPr>
          <w:b w:val="0"/>
          <w:sz w:val="20"/>
          <w:szCs w:val="20"/>
        </w:rPr>
        <w:t>silymarin</w:t>
      </w:r>
      <w:proofErr w:type="spellEnd"/>
      <w:r w:rsidR="00E32E62" w:rsidRPr="00E32E62">
        <w:rPr>
          <w:b w:val="0"/>
          <w:sz w:val="20"/>
          <w:szCs w:val="20"/>
        </w:rPr>
        <w:t>. The BUN level decreased in both the dose groups significantly (P &lt; 0.05) as compared to toxin control group. The ALP level also significantly decreased in DGL-400 (P &lt; 0.05) as well as in DGL- 600 group (P &lt; 0.001). In DGL-600 group, the level of ALT and AST significantly decreased (P &lt; 0.05)</w:t>
      </w:r>
      <w:proofErr w:type="gramStart"/>
      <w:r w:rsidR="00E32E62" w:rsidRPr="00E32E62">
        <w:rPr>
          <w:b w:val="0"/>
          <w:sz w:val="20"/>
          <w:szCs w:val="20"/>
        </w:rPr>
        <w:t>,</w:t>
      </w:r>
      <w:proofErr w:type="gramEnd"/>
      <w:r w:rsidR="00E32E62" w:rsidRPr="00E32E62">
        <w:rPr>
          <w:b w:val="0"/>
          <w:sz w:val="20"/>
          <w:szCs w:val="20"/>
        </w:rPr>
        <w:t xml:space="preserve"> the result was comparable to that of standard group.</w:t>
      </w:r>
    </w:p>
    <w:p w:rsidR="003F50CD" w:rsidRDefault="00E32E62" w:rsidP="00E32E62">
      <w:pPr>
        <w:pStyle w:val="Heading1"/>
        <w:tabs>
          <w:tab w:val="left" w:pos="496"/>
        </w:tabs>
        <w:ind w:left="180" w:hanging="180"/>
        <w:jc w:val="both"/>
        <w:rPr>
          <w:b w:val="0"/>
          <w:sz w:val="20"/>
          <w:szCs w:val="20"/>
        </w:rPr>
      </w:pPr>
      <w:r>
        <w:rPr>
          <w:b w:val="0"/>
          <w:sz w:val="20"/>
          <w:szCs w:val="20"/>
        </w:rPr>
        <w:tab/>
      </w:r>
      <w:r w:rsidRPr="00E32E62">
        <w:rPr>
          <w:b w:val="0"/>
          <w:sz w:val="20"/>
          <w:szCs w:val="20"/>
        </w:rPr>
        <w:t xml:space="preserve">The results of relative liver weight, liver total protein, GSH and antioxidant enzymes in </w:t>
      </w:r>
      <w:proofErr w:type="spellStart"/>
      <w:r w:rsidRPr="00E32E62">
        <w:rPr>
          <w:b w:val="0"/>
          <w:sz w:val="20"/>
          <w:szCs w:val="20"/>
        </w:rPr>
        <w:t>diclofenac</w:t>
      </w:r>
      <w:proofErr w:type="spellEnd"/>
      <w:r w:rsidRPr="00E32E62">
        <w:rPr>
          <w:b w:val="0"/>
          <w:sz w:val="20"/>
          <w:szCs w:val="20"/>
        </w:rPr>
        <w:t xml:space="preserve"> induced hepatotoxicity are given in Figure </w:t>
      </w:r>
      <w:r>
        <w:rPr>
          <w:b w:val="0"/>
          <w:sz w:val="20"/>
          <w:szCs w:val="20"/>
        </w:rPr>
        <w:t>2</w:t>
      </w:r>
      <w:r w:rsidRPr="00E32E62">
        <w:rPr>
          <w:b w:val="0"/>
          <w:sz w:val="20"/>
          <w:szCs w:val="20"/>
        </w:rPr>
        <w:t xml:space="preserve">. The relative liver weight in toxin control group increased significantly (P &lt; 0.001) as compared to normal control group. The total protein and GSH levels from the liver homogenate decreased significantly (P &lt; 0.001, P &lt; 0.01 respectively) in toxin control group. The catalase (CAT) and </w:t>
      </w:r>
      <w:proofErr w:type="spellStart"/>
      <w:r w:rsidRPr="00E32E62">
        <w:rPr>
          <w:b w:val="0"/>
          <w:sz w:val="20"/>
          <w:szCs w:val="20"/>
        </w:rPr>
        <w:t>GPx</w:t>
      </w:r>
      <w:proofErr w:type="spellEnd"/>
      <w:r w:rsidRPr="00E32E62">
        <w:rPr>
          <w:b w:val="0"/>
          <w:sz w:val="20"/>
          <w:szCs w:val="20"/>
        </w:rPr>
        <w:t xml:space="preserve"> activity in the toxin control group was also significantly (P &lt; 0.001, P &lt; 0.05 respectively) depleted as compared to the normal control group. The mean relative liver weight decreased significantly in DGL-400 (P &lt; 0.001) and DGL-600</w:t>
      </w:r>
    </w:p>
    <w:p w:rsidR="00E32E62" w:rsidRDefault="00E32E62" w:rsidP="00E32E62">
      <w:pPr>
        <w:pStyle w:val="Heading1"/>
        <w:tabs>
          <w:tab w:val="left" w:pos="496"/>
        </w:tabs>
        <w:ind w:left="180" w:hanging="180"/>
        <w:jc w:val="both"/>
        <w:rPr>
          <w:b w:val="0"/>
          <w:sz w:val="20"/>
          <w:szCs w:val="20"/>
        </w:rPr>
      </w:pPr>
    </w:p>
    <w:p w:rsidR="00E32E62" w:rsidRDefault="00E32E62" w:rsidP="00E32E62">
      <w:pPr>
        <w:pStyle w:val="Heading1"/>
        <w:tabs>
          <w:tab w:val="left" w:pos="496"/>
        </w:tabs>
        <w:ind w:left="180" w:hanging="180"/>
        <w:jc w:val="both"/>
        <w:rPr>
          <w:b w:val="0"/>
          <w:sz w:val="20"/>
          <w:szCs w:val="20"/>
        </w:rPr>
      </w:pPr>
    </w:p>
    <w:p w:rsidR="00E32E62" w:rsidRDefault="00E32E62" w:rsidP="00E32E62">
      <w:pPr>
        <w:pStyle w:val="Heading1"/>
        <w:tabs>
          <w:tab w:val="left" w:pos="496"/>
        </w:tabs>
        <w:ind w:left="180" w:hanging="180"/>
        <w:jc w:val="both"/>
        <w:rPr>
          <w:b w:val="0"/>
          <w:sz w:val="20"/>
          <w:szCs w:val="20"/>
        </w:rPr>
      </w:pPr>
      <w:r w:rsidRPr="008110DE">
        <w:rPr>
          <w:noProof/>
        </w:rPr>
        <w:drawing>
          <wp:inline distT="0" distB="0" distL="0" distR="0" wp14:anchorId="6A031128" wp14:editId="12B61A6E">
            <wp:extent cx="1956020" cy="1582309"/>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1952625" cy="1579563"/>
                    </a:xfrm>
                    <a:prstGeom prst="rect">
                      <a:avLst/>
                    </a:prstGeom>
                    <a:noFill/>
                    <a:ln w="9525">
                      <a:noFill/>
                      <a:miter lim="800000"/>
                      <a:headEnd/>
                      <a:tailEnd/>
                    </a:ln>
                  </pic:spPr>
                </pic:pic>
              </a:graphicData>
            </a:graphic>
          </wp:inline>
        </w:drawing>
      </w:r>
      <w:r w:rsidRPr="008110DE">
        <w:rPr>
          <w:noProof/>
        </w:rPr>
        <w:drawing>
          <wp:inline distT="0" distB="0" distL="0" distR="0" wp14:anchorId="2D0A10B0" wp14:editId="762EF671">
            <wp:extent cx="2035534" cy="1677725"/>
            <wp:effectExtent l="0" t="0" r="317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2037598" cy="1679426"/>
                    </a:xfrm>
                    <a:prstGeom prst="rect">
                      <a:avLst/>
                    </a:prstGeom>
                    <a:noFill/>
                    <a:ln w="9525">
                      <a:noFill/>
                      <a:miter lim="800000"/>
                      <a:headEnd/>
                      <a:tailEnd/>
                    </a:ln>
                  </pic:spPr>
                </pic:pic>
              </a:graphicData>
            </a:graphic>
          </wp:inline>
        </w:drawing>
      </w:r>
      <w:r w:rsidRPr="008110DE">
        <w:rPr>
          <w:noProof/>
        </w:rPr>
        <w:drawing>
          <wp:inline distT="0" distB="0" distL="0" distR="0" wp14:anchorId="74D8102C" wp14:editId="1FF164F8">
            <wp:extent cx="2003727" cy="1574358"/>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2006759" cy="1576740"/>
                    </a:xfrm>
                    <a:prstGeom prst="rect">
                      <a:avLst/>
                    </a:prstGeom>
                    <a:noFill/>
                    <a:ln w="9525">
                      <a:noFill/>
                      <a:miter lim="800000"/>
                      <a:headEnd/>
                      <a:tailEnd/>
                    </a:ln>
                  </pic:spPr>
                </pic:pic>
              </a:graphicData>
            </a:graphic>
          </wp:inline>
        </w:drawing>
      </w:r>
    </w:p>
    <w:p w:rsidR="00E32E62" w:rsidRDefault="00E32E62" w:rsidP="00E32E62">
      <w:pPr>
        <w:pStyle w:val="Heading1"/>
        <w:tabs>
          <w:tab w:val="left" w:pos="496"/>
        </w:tabs>
        <w:ind w:left="180" w:hanging="180"/>
        <w:jc w:val="both"/>
        <w:rPr>
          <w:b w:val="0"/>
          <w:sz w:val="20"/>
          <w:szCs w:val="20"/>
        </w:rPr>
      </w:pPr>
      <w:r w:rsidRPr="008110DE">
        <w:rPr>
          <w:noProof/>
        </w:rPr>
        <w:lastRenderedPageBreak/>
        <w:drawing>
          <wp:inline distT="0" distB="0" distL="0" distR="0" wp14:anchorId="5B996B98" wp14:editId="27C18A2D">
            <wp:extent cx="1892410" cy="1860314"/>
            <wp:effectExtent l="0" t="0" r="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srcRect/>
                    <a:stretch>
                      <a:fillRect/>
                    </a:stretch>
                  </pic:blipFill>
                  <pic:spPr bwMode="auto">
                    <a:xfrm>
                      <a:off x="0" y="0"/>
                      <a:ext cx="1889124" cy="1857084"/>
                    </a:xfrm>
                    <a:prstGeom prst="rect">
                      <a:avLst/>
                    </a:prstGeom>
                    <a:noFill/>
                    <a:ln w="9525">
                      <a:noFill/>
                      <a:miter lim="800000"/>
                      <a:headEnd/>
                      <a:tailEnd/>
                    </a:ln>
                  </pic:spPr>
                </pic:pic>
              </a:graphicData>
            </a:graphic>
          </wp:inline>
        </w:drawing>
      </w:r>
      <w:r w:rsidRPr="008110DE">
        <w:rPr>
          <w:noProof/>
        </w:rPr>
        <w:drawing>
          <wp:inline distT="0" distB="0" distL="0" distR="0" wp14:anchorId="469BBF44" wp14:editId="600576C2">
            <wp:extent cx="2099145" cy="1693462"/>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srcRect/>
                    <a:stretch>
                      <a:fillRect/>
                    </a:stretch>
                  </pic:blipFill>
                  <pic:spPr bwMode="auto">
                    <a:xfrm>
                      <a:off x="0" y="0"/>
                      <a:ext cx="2095501" cy="1690522"/>
                    </a:xfrm>
                    <a:prstGeom prst="rect">
                      <a:avLst/>
                    </a:prstGeom>
                    <a:noFill/>
                    <a:ln w="9525">
                      <a:noFill/>
                      <a:miter lim="800000"/>
                      <a:headEnd/>
                      <a:tailEnd/>
                    </a:ln>
                  </pic:spPr>
                </pic:pic>
              </a:graphicData>
            </a:graphic>
          </wp:inline>
        </w:drawing>
      </w:r>
      <w:r w:rsidRPr="008110DE">
        <w:rPr>
          <w:noProof/>
        </w:rPr>
        <w:drawing>
          <wp:inline distT="0" distB="0" distL="0" distR="0" wp14:anchorId="57188041" wp14:editId="61FD2490">
            <wp:extent cx="2107096" cy="1550505"/>
            <wp:effectExtent l="0" t="0" r="762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srcRect/>
                    <a:stretch>
                      <a:fillRect/>
                    </a:stretch>
                  </pic:blipFill>
                  <pic:spPr bwMode="auto">
                    <a:xfrm>
                      <a:off x="0" y="0"/>
                      <a:ext cx="2108619" cy="1551626"/>
                    </a:xfrm>
                    <a:prstGeom prst="rect">
                      <a:avLst/>
                    </a:prstGeom>
                    <a:noFill/>
                    <a:ln w="9525">
                      <a:noFill/>
                      <a:miter lim="800000"/>
                      <a:headEnd/>
                      <a:tailEnd/>
                    </a:ln>
                  </pic:spPr>
                </pic:pic>
              </a:graphicData>
            </a:graphic>
          </wp:inline>
        </w:drawing>
      </w:r>
    </w:p>
    <w:p w:rsidR="00E32E62" w:rsidRDefault="00E32E62" w:rsidP="00E32E62">
      <w:pPr>
        <w:pStyle w:val="Heading1"/>
        <w:tabs>
          <w:tab w:val="left" w:pos="496"/>
        </w:tabs>
        <w:ind w:left="180" w:hanging="180"/>
        <w:jc w:val="center"/>
        <w:rPr>
          <w:b w:val="0"/>
          <w:sz w:val="16"/>
          <w:szCs w:val="16"/>
        </w:rPr>
      </w:pPr>
      <w:r w:rsidRPr="00E32E62">
        <w:rPr>
          <w:sz w:val="16"/>
          <w:szCs w:val="16"/>
        </w:rPr>
        <w:t>Figure 1:</w:t>
      </w:r>
      <w:r w:rsidRPr="00E32E62">
        <w:rPr>
          <w:b w:val="0"/>
          <w:sz w:val="16"/>
          <w:szCs w:val="16"/>
        </w:rPr>
        <w:t xml:space="preserve"> Effect of methanol extract of </w:t>
      </w:r>
      <w:proofErr w:type="spellStart"/>
      <w:r w:rsidRPr="00E32E62">
        <w:rPr>
          <w:b w:val="0"/>
          <w:sz w:val="16"/>
          <w:szCs w:val="16"/>
        </w:rPr>
        <w:t>Desmodium</w:t>
      </w:r>
      <w:proofErr w:type="spellEnd"/>
      <w:r w:rsidRPr="00E32E62">
        <w:rPr>
          <w:b w:val="0"/>
          <w:sz w:val="16"/>
          <w:szCs w:val="16"/>
        </w:rPr>
        <w:t xml:space="preserve"> </w:t>
      </w:r>
      <w:proofErr w:type="spellStart"/>
      <w:r w:rsidRPr="00E32E62">
        <w:rPr>
          <w:b w:val="0"/>
          <w:sz w:val="16"/>
          <w:szCs w:val="16"/>
        </w:rPr>
        <w:t>gangeticum</w:t>
      </w:r>
      <w:proofErr w:type="spellEnd"/>
      <w:r w:rsidRPr="00E32E62">
        <w:rPr>
          <w:b w:val="0"/>
          <w:sz w:val="16"/>
          <w:szCs w:val="16"/>
        </w:rPr>
        <w:t xml:space="preserve"> Leaves on different serum biochemical parameters in </w:t>
      </w:r>
      <w:proofErr w:type="spellStart"/>
      <w:r w:rsidRPr="00E32E62">
        <w:rPr>
          <w:b w:val="0"/>
          <w:sz w:val="16"/>
          <w:szCs w:val="16"/>
        </w:rPr>
        <w:t>diclofenac</w:t>
      </w:r>
      <w:proofErr w:type="spellEnd"/>
      <w:r w:rsidRPr="00E32E62">
        <w:rPr>
          <w:b w:val="0"/>
          <w:sz w:val="16"/>
          <w:szCs w:val="16"/>
        </w:rPr>
        <w:t xml:space="preserve"> (50 mg/kg) induced hepatic damage in rats. Group I: Normal control, Group II: Toxin control </w:t>
      </w:r>
      <w:proofErr w:type="spellStart"/>
      <w:r w:rsidRPr="00E32E62">
        <w:rPr>
          <w:b w:val="0"/>
          <w:sz w:val="16"/>
          <w:szCs w:val="16"/>
        </w:rPr>
        <w:t>diclofenac</w:t>
      </w:r>
      <w:proofErr w:type="spellEnd"/>
      <w:r w:rsidRPr="00E32E62">
        <w:rPr>
          <w:b w:val="0"/>
          <w:sz w:val="16"/>
          <w:szCs w:val="16"/>
        </w:rPr>
        <w:t xml:space="preserve">, Group III: DGL-400 mg/kg + </w:t>
      </w:r>
      <w:proofErr w:type="spellStart"/>
      <w:r w:rsidRPr="00E32E62">
        <w:rPr>
          <w:b w:val="0"/>
          <w:sz w:val="16"/>
          <w:szCs w:val="16"/>
        </w:rPr>
        <w:t>diclofenac</w:t>
      </w:r>
      <w:proofErr w:type="spellEnd"/>
      <w:r w:rsidRPr="00E32E62">
        <w:rPr>
          <w:b w:val="0"/>
          <w:sz w:val="16"/>
          <w:szCs w:val="16"/>
        </w:rPr>
        <w:t xml:space="preserve">, Group IV: DGL-600 mg/kg + </w:t>
      </w:r>
      <w:proofErr w:type="spellStart"/>
      <w:r w:rsidRPr="00E32E62">
        <w:rPr>
          <w:b w:val="0"/>
          <w:sz w:val="16"/>
          <w:szCs w:val="16"/>
        </w:rPr>
        <w:t>diclofenac</w:t>
      </w:r>
      <w:proofErr w:type="spellEnd"/>
      <w:r w:rsidRPr="00E32E62">
        <w:rPr>
          <w:b w:val="0"/>
          <w:sz w:val="16"/>
          <w:szCs w:val="16"/>
        </w:rPr>
        <w:t xml:space="preserve">, Group V: Silymarin-100 mg/kg + </w:t>
      </w:r>
      <w:proofErr w:type="spellStart"/>
      <w:r w:rsidRPr="00E32E62">
        <w:rPr>
          <w:b w:val="0"/>
          <w:sz w:val="16"/>
          <w:szCs w:val="16"/>
        </w:rPr>
        <w:t>diclofenac</w:t>
      </w:r>
      <w:proofErr w:type="spellEnd"/>
      <w:r w:rsidRPr="00E32E62">
        <w:rPr>
          <w:b w:val="0"/>
          <w:sz w:val="16"/>
          <w:szCs w:val="16"/>
        </w:rPr>
        <w:t xml:space="preserve">. Results are expressed as mean ± SEM, (n = 6). </w:t>
      </w:r>
      <w:proofErr w:type="gramStart"/>
      <w:r w:rsidRPr="00E32E62">
        <w:rPr>
          <w:b w:val="0"/>
          <w:sz w:val="16"/>
          <w:szCs w:val="16"/>
        </w:rPr>
        <w:t>#P &lt; 0.05, ##p &lt; 0.01, ###p &lt; 0.001 as compared with normal control group; *p &lt; 0.05, **p &lt; 0.01, ***p &lt; 0.01 as compared with toxin control group.</w:t>
      </w:r>
      <w:proofErr w:type="gramEnd"/>
    </w:p>
    <w:p w:rsidR="00E32E62" w:rsidRDefault="00E32E62" w:rsidP="00E32E62">
      <w:pPr>
        <w:pStyle w:val="Heading1"/>
        <w:tabs>
          <w:tab w:val="left" w:pos="496"/>
        </w:tabs>
        <w:ind w:left="180" w:hanging="180"/>
        <w:jc w:val="center"/>
        <w:rPr>
          <w:b w:val="0"/>
          <w:sz w:val="16"/>
          <w:szCs w:val="16"/>
        </w:rPr>
      </w:pPr>
    </w:p>
    <w:p w:rsidR="00E32E62" w:rsidRDefault="00E32E62" w:rsidP="00E32E62">
      <w:pPr>
        <w:pStyle w:val="Heading1"/>
        <w:tabs>
          <w:tab w:val="left" w:pos="496"/>
        </w:tabs>
        <w:ind w:left="180" w:hanging="180"/>
        <w:jc w:val="center"/>
        <w:rPr>
          <w:b w:val="0"/>
          <w:sz w:val="16"/>
          <w:szCs w:val="16"/>
        </w:rPr>
      </w:pPr>
    </w:p>
    <w:p w:rsidR="00E32E62" w:rsidRDefault="00E32E62" w:rsidP="00E32E62">
      <w:pPr>
        <w:pStyle w:val="Heading1"/>
        <w:tabs>
          <w:tab w:val="left" w:pos="496"/>
        </w:tabs>
        <w:ind w:left="180" w:hanging="180"/>
        <w:jc w:val="both"/>
        <w:rPr>
          <w:b w:val="0"/>
          <w:sz w:val="16"/>
          <w:szCs w:val="16"/>
        </w:rPr>
      </w:pPr>
      <w:r w:rsidRPr="008110DE">
        <w:rPr>
          <w:b w:val="0"/>
          <w:bCs w:val="0"/>
          <w:noProof/>
        </w:rPr>
        <w:drawing>
          <wp:inline distT="0" distB="0" distL="0" distR="0" wp14:anchorId="291486CA" wp14:editId="1383BF5D">
            <wp:extent cx="2067340" cy="1741335"/>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a:stretch>
                      <a:fillRect/>
                    </a:stretch>
                  </pic:blipFill>
                  <pic:spPr bwMode="auto">
                    <a:xfrm>
                      <a:off x="0" y="0"/>
                      <a:ext cx="2067103" cy="1741135"/>
                    </a:xfrm>
                    <a:prstGeom prst="rect">
                      <a:avLst/>
                    </a:prstGeom>
                    <a:noFill/>
                    <a:ln w="9525">
                      <a:noFill/>
                      <a:miter lim="800000"/>
                      <a:headEnd/>
                      <a:tailEnd/>
                    </a:ln>
                  </pic:spPr>
                </pic:pic>
              </a:graphicData>
            </a:graphic>
          </wp:inline>
        </w:drawing>
      </w:r>
      <w:r w:rsidRPr="008110DE">
        <w:rPr>
          <w:b w:val="0"/>
          <w:bCs w:val="0"/>
          <w:noProof/>
        </w:rPr>
        <w:drawing>
          <wp:inline distT="0" distB="0" distL="0" distR="0" wp14:anchorId="5CEE8095" wp14:editId="44C7C26C">
            <wp:extent cx="2091193" cy="1669774"/>
            <wp:effectExtent l="0" t="0" r="4445"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srcRect/>
                    <a:stretch>
                      <a:fillRect/>
                    </a:stretch>
                  </pic:blipFill>
                  <pic:spPr bwMode="auto">
                    <a:xfrm>
                      <a:off x="0" y="0"/>
                      <a:ext cx="2091822" cy="1670276"/>
                    </a:xfrm>
                    <a:prstGeom prst="rect">
                      <a:avLst/>
                    </a:prstGeom>
                    <a:noFill/>
                    <a:ln w="9525">
                      <a:noFill/>
                      <a:miter lim="800000"/>
                      <a:headEnd/>
                      <a:tailEnd/>
                    </a:ln>
                  </pic:spPr>
                </pic:pic>
              </a:graphicData>
            </a:graphic>
          </wp:inline>
        </w:drawing>
      </w:r>
      <w:r w:rsidRPr="008110DE">
        <w:rPr>
          <w:b w:val="0"/>
          <w:bCs w:val="0"/>
          <w:noProof/>
        </w:rPr>
        <w:drawing>
          <wp:inline distT="0" distB="0" distL="0" distR="0" wp14:anchorId="35C6E8CD" wp14:editId="2ADDC9FB">
            <wp:extent cx="1948069" cy="1709531"/>
            <wp:effectExtent l="0" t="0" r="0"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6"/>
                    <a:srcRect/>
                    <a:stretch>
                      <a:fillRect/>
                    </a:stretch>
                  </pic:blipFill>
                  <pic:spPr bwMode="auto">
                    <a:xfrm>
                      <a:off x="0" y="0"/>
                      <a:ext cx="1949477" cy="1710767"/>
                    </a:xfrm>
                    <a:prstGeom prst="rect">
                      <a:avLst/>
                    </a:prstGeom>
                    <a:noFill/>
                    <a:ln w="9525">
                      <a:noFill/>
                      <a:miter lim="800000"/>
                      <a:headEnd/>
                      <a:tailEnd/>
                    </a:ln>
                  </pic:spPr>
                </pic:pic>
              </a:graphicData>
            </a:graphic>
          </wp:inline>
        </w:drawing>
      </w:r>
    </w:p>
    <w:p w:rsidR="00E32E62" w:rsidRDefault="00E32E62" w:rsidP="00E32E62">
      <w:pPr>
        <w:pStyle w:val="Heading1"/>
        <w:tabs>
          <w:tab w:val="left" w:pos="496"/>
        </w:tabs>
        <w:ind w:left="180" w:hanging="180"/>
        <w:jc w:val="center"/>
        <w:rPr>
          <w:b w:val="0"/>
          <w:sz w:val="16"/>
          <w:szCs w:val="16"/>
        </w:rPr>
      </w:pPr>
      <w:r w:rsidRPr="008110DE">
        <w:rPr>
          <w:b w:val="0"/>
          <w:bCs w:val="0"/>
          <w:noProof/>
        </w:rPr>
        <w:drawing>
          <wp:inline distT="0" distB="0" distL="0" distR="0" wp14:anchorId="6004B2F5" wp14:editId="2F525392">
            <wp:extent cx="1995778" cy="1669774"/>
            <wp:effectExtent l="0" t="0" r="508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a:srcRect/>
                    <a:stretch>
                      <a:fillRect/>
                    </a:stretch>
                  </pic:blipFill>
                  <pic:spPr bwMode="auto">
                    <a:xfrm>
                      <a:off x="0" y="0"/>
                      <a:ext cx="1996378" cy="1670276"/>
                    </a:xfrm>
                    <a:prstGeom prst="rect">
                      <a:avLst/>
                    </a:prstGeom>
                    <a:noFill/>
                    <a:ln w="9525">
                      <a:noFill/>
                      <a:miter lim="800000"/>
                      <a:headEnd/>
                      <a:tailEnd/>
                    </a:ln>
                  </pic:spPr>
                </pic:pic>
              </a:graphicData>
            </a:graphic>
          </wp:inline>
        </w:drawing>
      </w:r>
      <w:r w:rsidRPr="008110DE">
        <w:rPr>
          <w:b w:val="0"/>
          <w:bCs w:val="0"/>
          <w:noProof/>
        </w:rPr>
        <w:drawing>
          <wp:inline distT="0" distB="0" distL="0" distR="0" wp14:anchorId="612884BB" wp14:editId="6A78E0F5">
            <wp:extent cx="2286000" cy="1670275"/>
            <wp:effectExtent l="1905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a:srcRect/>
                    <a:stretch>
                      <a:fillRect/>
                    </a:stretch>
                  </pic:blipFill>
                  <pic:spPr bwMode="auto">
                    <a:xfrm>
                      <a:off x="0" y="0"/>
                      <a:ext cx="2286000" cy="1670275"/>
                    </a:xfrm>
                    <a:prstGeom prst="rect">
                      <a:avLst/>
                    </a:prstGeom>
                    <a:noFill/>
                    <a:ln w="9525">
                      <a:noFill/>
                      <a:miter lim="800000"/>
                      <a:headEnd/>
                      <a:tailEnd/>
                    </a:ln>
                  </pic:spPr>
                </pic:pic>
              </a:graphicData>
            </a:graphic>
          </wp:inline>
        </w:drawing>
      </w:r>
    </w:p>
    <w:p w:rsidR="00E32E62" w:rsidRDefault="00E32E62" w:rsidP="00E32E62">
      <w:pPr>
        <w:pStyle w:val="Heading1"/>
        <w:tabs>
          <w:tab w:val="left" w:pos="496"/>
        </w:tabs>
        <w:ind w:left="180" w:hanging="180"/>
        <w:jc w:val="center"/>
        <w:rPr>
          <w:b w:val="0"/>
          <w:sz w:val="16"/>
          <w:szCs w:val="16"/>
        </w:rPr>
      </w:pPr>
      <w:r>
        <w:rPr>
          <w:sz w:val="16"/>
          <w:szCs w:val="16"/>
        </w:rPr>
        <w:tab/>
      </w:r>
      <w:r w:rsidRPr="00E32E62">
        <w:rPr>
          <w:sz w:val="16"/>
          <w:szCs w:val="16"/>
        </w:rPr>
        <w:t>Figure 2:</w:t>
      </w:r>
      <w:r w:rsidRPr="00E32E62">
        <w:rPr>
          <w:b w:val="0"/>
          <w:sz w:val="16"/>
          <w:szCs w:val="16"/>
        </w:rPr>
        <w:t xml:space="preserve"> Effect of methanol extract of </w:t>
      </w:r>
      <w:proofErr w:type="spellStart"/>
      <w:r w:rsidRPr="00E32E62">
        <w:rPr>
          <w:b w:val="0"/>
          <w:sz w:val="16"/>
          <w:szCs w:val="16"/>
        </w:rPr>
        <w:t>Desmodium</w:t>
      </w:r>
      <w:proofErr w:type="spellEnd"/>
      <w:r w:rsidRPr="00E32E62">
        <w:rPr>
          <w:b w:val="0"/>
          <w:sz w:val="16"/>
          <w:szCs w:val="16"/>
        </w:rPr>
        <w:t xml:space="preserve"> </w:t>
      </w:r>
      <w:proofErr w:type="spellStart"/>
      <w:r w:rsidRPr="00E32E62">
        <w:rPr>
          <w:b w:val="0"/>
          <w:sz w:val="16"/>
          <w:szCs w:val="16"/>
        </w:rPr>
        <w:t>gangeticum</w:t>
      </w:r>
      <w:proofErr w:type="spellEnd"/>
      <w:r w:rsidRPr="00E32E62">
        <w:rPr>
          <w:b w:val="0"/>
          <w:sz w:val="16"/>
          <w:szCs w:val="16"/>
        </w:rPr>
        <w:t xml:space="preserve"> Leaves on relative liver weight, liver total protein and different liver antioxidants in </w:t>
      </w:r>
      <w:proofErr w:type="spellStart"/>
      <w:r w:rsidRPr="00E32E62">
        <w:rPr>
          <w:b w:val="0"/>
          <w:sz w:val="16"/>
          <w:szCs w:val="16"/>
        </w:rPr>
        <w:t>diclofenac</w:t>
      </w:r>
      <w:proofErr w:type="spellEnd"/>
      <w:r w:rsidRPr="00E32E62">
        <w:rPr>
          <w:b w:val="0"/>
          <w:sz w:val="16"/>
          <w:szCs w:val="16"/>
        </w:rPr>
        <w:t xml:space="preserve"> (50 mg/kg) induced hepatic damage in rats. Group I: Normal control, Group II: Toxin control </w:t>
      </w:r>
      <w:proofErr w:type="spellStart"/>
      <w:r w:rsidRPr="00E32E62">
        <w:rPr>
          <w:b w:val="0"/>
          <w:sz w:val="16"/>
          <w:szCs w:val="16"/>
        </w:rPr>
        <w:t>diclofenac</w:t>
      </w:r>
      <w:proofErr w:type="spellEnd"/>
      <w:r w:rsidRPr="00E32E62">
        <w:rPr>
          <w:b w:val="0"/>
          <w:sz w:val="16"/>
          <w:szCs w:val="16"/>
        </w:rPr>
        <w:t xml:space="preserve">, Group III: DGL-400 mg/kg + </w:t>
      </w:r>
      <w:proofErr w:type="spellStart"/>
      <w:r w:rsidRPr="00E32E62">
        <w:rPr>
          <w:b w:val="0"/>
          <w:sz w:val="16"/>
          <w:szCs w:val="16"/>
        </w:rPr>
        <w:t>diclofenac</w:t>
      </w:r>
      <w:proofErr w:type="spellEnd"/>
      <w:r w:rsidRPr="00E32E62">
        <w:rPr>
          <w:b w:val="0"/>
          <w:sz w:val="16"/>
          <w:szCs w:val="16"/>
        </w:rPr>
        <w:t xml:space="preserve">, Group IV: DGL-600 mg/kg + </w:t>
      </w:r>
      <w:proofErr w:type="spellStart"/>
      <w:r w:rsidRPr="00E32E62">
        <w:rPr>
          <w:b w:val="0"/>
          <w:sz w:val="16"/>
          <w:szCs w:val="16"/>
        </w:rPr>
        <w:t>diclofenac</w:t>
      </w:r>
      <w:proofErr w:type="spellEnd"/>
      <w:r w:rsidRPr="00E32E62">
        <w:rPr>
          <w:b w:val="0"/>
          <w:sz w:val="16"/>
          <w:szCs w:val="16"/>
        </w:rPr>
        <w:t xml:space="preserve">, Group V: Silymarin-100 mg/kg + </w:t>
      </w:r>
      <w:proofErr w:type="spellStart"/>
      <w:r w:rsidRPr="00E32E62">
        <w:rPr>
          <w:b w:val="0"/>
          <w:sz w:val="16"/>
          <w:szCs w:val="16"/>
        </w:rPr>
        <w:t>diclofenac</w:t>
      </w:r>
      <w:proofErr w:type="spellEnd"/>
      <w:r w:rsidRPr="00E32E62">
        <w:rPr>
          <w:b w:val="0"/>
          <w:sz w:val="16"/>
          <w:szCs w:val="16"/>
        </w:rPr>
        <w:t>. Results are expressed as mean ± SEM, (n = 6). #p &lt; 0.05, ##p &lt; 0.01, ###p &lt; 0.001 as compared with normal control group; *p &lt; 0.05, **p &lt; 0.01, ***p &lt;0.01as compared with toxin control group.  (P &lt; 0.01) treated group as compared to the toxin control group. The result of the higher dose group was comparable to the standard drug treated group (P &lt; 0.001).</w:t>
      </w:r>
    </w:p>
    <w:p w:rsidR="00E32E62" w:rsidRDefault="00E32E62" w:rsidP="00E32E62">
      <w:pPr>
        <w:pStyle w:val="Heading1"/>
        <w:tabs>
          <w:tab w:val="left" w:pos="496"/>
        </w:tabs>
        <w:ind w:left="180" w:hanging="180"/>
        <w:jc w:val="center"/>
        <w:rPr>
          <w:b w:val="0"/>
          <w:sz w:val="16"/>
          <w:szCs w:val="16"/>
        </w:rPr>
      </w:pPr>
    </w:p>
    <w:p w:rsidR="00E32E62" w:rsidRDefault="00E32E62" w:rsidP="00E32E62">
      <w:pPr>
        <w:pStyle w:val="Heading1"/>
        <w:tabs>
          <w:tab w:val="left" w:pos="496"/>
        </w:tabs>
        <w:ind w:left="180" w:hanging="180"/>
        <w:jc w:val="both"/>
        <w:rPr>
          <w:b w:val="0"/>
          <w:sz w:val="20"/>
          <w:szCs w:val="20"/>
        </w:rPr>
      </w:pPr>
      <w:r>
        <w:rPr>
          <w:b w:val="0"/>
          <w:sz w:val="20"/>
          <w:szCs w:val="20"/>
        </w:rPr>
        <w:tab/>
      </w:r>
      <w:r w:rsidRPr="00E32E62">
        <w:rPr>
          <w:b w:val="0"/>
          <w:sz w:val="20"/>
          <w:szCs w:val="20"/>
        </w:rPr>
        <w:t xml:space="preserve">The total protein and GSH levels from liver homogenate in DGL treated groups elevated, but total protein level was not significant. However, pretreatment with DGL significantly recovered the </w:t>
      </w:r>
      <w:proofErr w:type="spellStart"/>
      <w:r w:rsidRPr="00E32E62">
        <w:rPr>
          <w:b w:val="0"/>
          <w:sz w:val="20"/>
          <w:szCs w:val="20"/>
        </w:rPr>
        <w:t>diclofenac</w:t>
      </w:r>
      <w:proofErr w:type="spellEnd"/>
      <w:r w:rsidRPr="00E32E62">
        <w:rPr>
          <w:b w:val="0"/>
          <w:sz w:val="20"/>
          <w:szCs w:val="20"/>
        </w:rPr>
        <w:t xml:space="preserve"> induced GSH depletion in lower and higher dose group (P &lt; 0.01, P &lt; 0.05 respectively). The catalase and </w:t>
      </w:r>
      <w:proofErr w:type="spellStart"/>
      <w:r w:rsidRPr="00E32E62">
        <w:rPr>
          <w:b w:val="0"/>
          <w:sz w:val="20"/>
          <w:szCs w:val="20"/>
        </w:rPr>
        <w:t>GPx</w:t>
      </w:r>
      <w:proofErr w:type="spellEnd"/>
      <w:r w:rsidRPr="00E32E62">
        <w:rPr>
          <w:b w:val="0"/>
          <w:sz w:val="20"/>
          <w:szCs w:val="20"/>
        </w:rPr>
        <w:t xml:space="preserve"> activity increased at both the dose levels; at higher dose DGL exhibited good activity (P &lt; 0.01, P &lt; 0.05 respectively). </w:t>
      </w:r>
      <w:proofErr w:type="spellStart"/>
      <w:r w:rsidRPr="00E32E62">
        <w:rPr>
          <w:b w:val="0"/>
          <w:sz w:val="20"/>
          <w:szCs w:val="20"/>
        </w:rPr>
        <w:t>GPx</w:t>
      </w:r>
      <w:proofErr w:type="spellEnd"/>
      <w:r w:rsidRPr="00E32E62">
        <w:rPr>
          <w:b w:val="0"/>
          <w:sz w:val="20"/>
          <w:szCs w:val="20"/>
        </w:rPr>
        <w:t xml:space="preserve"> activity of DGL-600 group was similar to that of standard drug treated group.</w:t>
      </w:r>
    </w:p>
    <w:p w:rsidR="007C11DE" w:rsidRPr="007C11DE" w:rsidRDefault="007C11DE" w:rsidP="007C11DE">
      <w:pPr>
        <w:pStyle w:val="Heading1"/>
        <w:tabs>
          <w:tab w:val="left" w:pos="496"/>
        </w:tabs>
        <w:ind w:left="180" w:hanging="180"/>
        <w:jc w:val="both"/>
        <w:rPr>
          <w:sz w:val="20"/>
          <w:szCs w:val="20"/>
        </w:rPr>
      </w:pPr>
      <w:r>
        <w:rPr>
          <w:sz w:val="20"/>
          <w:szCs w:val="20"/>
        </w:rPr>
        <w:tab/>
      </w:r>
      <w:r w:rsidRPr="007C11DE">
        <w:rPr>
          <w:sz w:val="20"/>
          <w:szCs w:val="20"/>
        </w:rPr>
        <w:t>Acute Toxicity Study</w:t>
      </w:r>
    </w:p>
    <w:p w:rsidR="007C11DE" w:rsidRPr="00E32E62" w:rsidRDefault="007C11DE" w:rsidP="007C11DE">
      <w:pPr>
        <w:pStyle w:val="Heading1"/>
        <w:tabs>
          <w:tab w:val="left" w:pos="496"/>
        </w:tabs>
        <w:ind w:left="180" w:hanging="180"/>
        <w:jc w:val="both"/>
        <w:rPr>
          <w:b w:val="0"/>
          <w:sz w:val="20"/>
          <w:szCs w:val="20"/>
        </w:rPr>
      </w:pPr>
      <w:r>
        <w:rPr>
          <w:b w:val="0"/>
          <w:sz w:val="20"/>
          <w:szCs w:val="20"/>
        </w:rPr>
        <w:tab/>
      </w:r>
      <w:r w:rsidRPr="007C11DE">
        <w:rPr>
          <w:b w:val="0"/>
          <w:sz w:val="20"/>
          <w:szCs w:val="20"/>
        </w:rPr>
        <w:t xml:space="preserve">In acute toxicity study, no adverse reactions or mortality were observed after administration of DGL (450, 1800, and 3600 mg/kg </w:t>
      </w:r>
      <w:proofErr w:type="spellStart"/>
      <w:proofErr w:type="gramStart"/>
      <w:r w:rsidRPr="007C11DE">
        <w:rPr>
          <w:b w:val="0"/>
          <w:sz w:val="20"/>
          <w:szCs w:val="20"/>
        </w:rPr>
        <w:t>bw</w:t>
      </w:r>
      <w:proofErr w:type="spellEnd"/>
      <w:proofErr w:type="gramEnd"/>
      <w:r w:rsidRPr="007C11DE">
        <w:rPr>
          <w:b w:val="0"/>
          <w:sz w:val="20"/>
          <w:szCs w:val="20"/>
        </w:rPr>
        <w:t>) and no behavioral changes were observed during the entire period of experimentation. Some alteration was noticed in daily feed and water intake in both male and female rats treated with single dose of extract as well as in control animals. As compared to the control group, drug treated groups had several consecutive days of reduced/increased feed and water consumption at different times in the study. These periods of reduced/increased feed and water intake were not significant to the overall feed and water consumption rates. Individual body weights were recorded daily during the experimental period. Mean body weight gains were calculated for each group. In control and DGL treated groups, body weight of animals slightly increased during experimental period, but the increase was not significant.</w:t>
      </w:r>
    </w:p>
    <w:p w:rsidR="00BB3AD6" w:rsidRDefault="00987AC1">
      <w:pPr>
        <w:pStyle w:val="Heading1"/>
        <w:numPr>
          <w:ilvl w:val="0"/>
          <w:numId w:val="3"/>
        </w:numPr>
        <w:tabs>
          <w:tab w:val="left" w:pos="496"/>
        </w:tabs>
        <w:spacing w:before="40"/>
        <w:ind w:hanging="361"/>
      </w:pPr>
      <w:r>
        <w:t>CONCLUSION</w:t>
      </w:r>
    </w:p>
    <w:p w:rsidR="008A4B55" w:rsidRPr="008A4B55" w:rsidRDefault="008A4B55" w:rsidP="008A4B55">
      <w:pPr>
        <w:pStyle w:val="Heading1"/>
        <w:tabs>
          <w:tab w:val="left" w:pos="496"/>
        </w:tabs>
        <w:spacing w:before="40"/>
        <w:ind w:left="134" w:firstLine="0"/>
        <w:jc w:val="both"/>
        <w:rPr>
          <w:b w:val="0"/>
          <w:bCs w:val="0"/>
          <w:sz w:val="20"/>
          <w:szCs w:val="20"/>
        </w:rPr>
      </w:pPr>
      <w:r w:rsidRPr="008A4B55">
        <w:rPr>
          <w:b w:val="0"/>
          <w:bCs w:val="0"/>
          <w:sz w:val="20"/>
          <w:szCs w:val="20"/>
        </w:rPr>
        <w:t xml:space="preserve">In physicochemical analysis, crude powder and methanol extract of </w:t>
      </w:r>
      <w:proofErr w:type="spellStart"/>
      <w:r w:rsidRPr="008A4B55">
        <w:rPr>
          <w:b w:val="0"/>
          <w:bCs w:val="0"/>
          <w:sz w:val="20"/>
          <w:szCs w:val="20"/>
        </w:rPr>
        <w:t>Desmodium</w:t>
      </w:r>
      <w:proofErr w:type="spellEnd"/>
      <w:r w:rsidRPr="008A4B55">
        <w:rPr>
          <w:b w:val="0"/>
          <w:bCs w:val="0"/>
          <w:sz w:val="20"/>
          <w:szCs w:val="20"/>
        </w:rPr>
        <w:t xml:space="preserve"> </w:t>
      </w:r>
      <w:proofErr w:type="spellStart"/>
      <w:r w:rsidRPr="008A4B55">
        <w:rPr>
          <w:b w:val="0"/>
          <w:bCs w:val="0"/>
          <w:sz w:val="20"/>
          <w:szCs w:val="20"/>
        </w:rPr>
        <w:t>gangeticum</w:t>
      </w:r>
      <w:proofErr w:type="spellEnd"/>
      <w:r w:rsidRPr="008A4B55">
        <w:rPr>
          <w:b w:val="0"/>
          <w:bCs w:val="0"/>
          <w:sz w:val="20"/>
          <w:szCs w:val="20"/>
        </w:rPr>
        <w:t xml:space="preserve"> leaves were free from heavy metals. In qualitative phytochemical analysis tannins and alkaloids were present in higher amount, while cardiac glycosides and steroids were totally absent. In quantitative analysis of </w:t>
      </w:r>
      <w:proofErr w:type="spellStart"/>
      <w:r w:rsidRPr="008A4B55">
        <w:rPr>
          <w:b w:val="0"/>
          <w:bCs w:val="0"/>
          <w:sz w:val="20"/>
          <w:szCs w:val="20"/>
        </w:rPr>
        <w:t>phytoconstituents</w:t>
      </w:r>
      <w:proofErr w:type="spellEnd"/>
      <w:r w:rsidRPr="008A4B55">
        <w:rPr>
          <w:b w:val="0"/>
          <w:bCs w:val="0"/>
          <w:sz w:val="20"/>
          <w:szCs w:val="20"/>
        </w:rPr>
        <w:t xml:space="preserve">, total phenol content was higher than flavonoid content. Hence, the determination of </w:t>
      </w:r>
      <w:proofErr w:type="spellStart"/>
      <w:r w:rsidRPr="008A4B55">
        <w:rPr>
          <w:b w:val="0"/>
          <w:bCs w:val="0"/>
          <w:sz w:val="20"/>
          <w:szCs w:val="20"/>
        </w:rPr>
        <w:t>pharmacognostical</w:t>
      </w:r>
      <w:proofErr w:type="spellEnd"/>
      <w:r w:rsidRPr="008A4B55">
        <w:rPr>
          <w:b w:val="0"/>
          <w:bCs w:val="0"/>
          <w:sz w:val="20"/>
          <w:szCs w:val="20"/>
        </w:rPr>
        <w:t xml:space="preserve"> and </w:t>
      </w:r>
      <w:proofErr w:type="spellStart"/>
      <w:r w:rsidRPr="008A4B55">
        <w:rPr>
          <w:b w:val="0"/>
          <w:bCs w:val="0"/>
          <w:sz w:val="20"/>
          <w:szCs w:val="20"/>
        </w:rPr>
        <w:t>phyto</w:t>
      </w:r>
      <w:proofErr w:type="spellEnd"/>
      <w:r w:rsidRPr="008A4B55">
        <w:rPr>
          <w:b w:val="0"/>
          <w:bCs w:val="0"/>
          <w:sz w:val="20"/>
          <w:szCs w:val="20"/>
        </w:rPr>
        <w:t xml:space="preserve">-physicochemical profile of </w:t>
      </w:r>
      <w:proofErr w:type="spellStart"/>
      <w:r w:rsidRPr="008A4B55">
        <w:rPr>
          <w:b w:val="0"/>
          <w:bCs w:val="0"/>
          <w:sz w:val="20"/>
          <w:szCs w:val="20"/>
        </w:rPr>
        <w:t>Desmodium</w:t>
      </w:r>
      <w:proofErr w:type="spellEnd"/>
      <w:r w:rsidRPr="008A4B55">
        <w:rPr>
          <w:b w:val="0"/>
          <w:bCs w:val="0"/>
          <w:sz w:val="20"/>
          <w:szCs w:val="20"/>
        </w:rPr>
        <w:t xml:space="preserve"> </w:t>
      </w:r>
      <w:proofErr w:type="spellStart"/>
      <w:r w:rsidRPr="008A4B55">
        <w:rPr>
          <w:b w:val="0"/>
          <w:bCs w:val="0"/>
          <w:sz w:val="20"/>
          <w:szCs w:val="20"/>
        </w:rPr>
        <w:t>gangeticum</w:t>
      </w:r>
      <w:proofErr w:type="spellEnd"/>
      <w:r w:rsidRPr="008A4B55">
        <w:rPr>
          <w:b w:val="0"/>
          <w:bCs w:val="0"/>
          <w:sz w:val="20"/>
          <w:szCs w:val="20"/>
        </w:rPr>
        <w:t xml:space="preserve"> leaves may be useful to supplement information in respect to its identification, authentication </w:t>
      </w:r>
      <w:r w:rsidRPr="008A4B55">
        <w:rPr>
          <w:b w:val="0"/>
          <w:bCs w:val="0"/>
          <w:sz w:val="20"/>
          <w:szCs w:val="20"/>
        </w:rPr>
        <w:lastRenderedPageBreak/>
        <w:t xml:space="preserve">and standardization of herbal drugs. In other words, the </w:t>
      </w:r>
      <w:proofErr w:type="spellStart"/>
      <w:r w:rsidRPr="008A4B55">
        <w:rPr>
          <w:b w:val="0"/>
          <w:bCs w:val="0"/>
          <w:sz w:val="20"/>
          <w:szCs w:val="20"/>
        </w:rPr>
        <w:t>pharmacognostic</w:t>
      </w:r>
      <w:proofErr w:type="spellEnd"/>
      <w:r w:rsidRPr="008A4B55">
        <w:rPr>
          <w:b w:val="0"/>
          <w:bCs w:val="0"/>
          <w:sz w:val="20"/>
          <w:szCs w:val="20"/>
        </w:rPr>
        <w:t xml:space="preserve"> features examined in the present study may serve as tool for identification of the plant for validation of the raw material and for standardization of its formulations at herbal industrial level in the coming days.</w:t>
      </w:r>
    </w:p>
    <w:p w:rsidR="008A4B55" w:rsidRDefault="008A4B55" w:rsidP="008A4B55">
      <w:pPr>
        <w:pStyle w:val="Heading1"/>
        <w:tabs>
          <w:tab w:val="left" w:pos="180"/>
        </w:tabs>
        <w:spacing w:before="40"/>
        <w:ind w:left="90" w:firstLine="0"/>
        <w:jc w:val="both"/>
        <w:rPr>
          <w:b w:val="0"/>
          <w:bCs w:val="0"/>
          <w:sz w:val="20"/>
          <w:szCs w:val="20"/>
        </w:rPr>
      </w:pPr>
      <w:r w:rsidRPr="008A4B55">
        <w:rPr>
          <w:b w:val="0"/>
          <w:bCs w:val="0"/>
          <w:sz w:val="20"/>
          <w:szCs w:val="20"/>
        </w:rPr>
        <w:t xml:space="preserve">In </w:t>
      </w:r>
      <w:proofErr w:type="spellStart"/>
      <w:r w:rsidRPr="008A4B55">
        <w:rPr>
          <w:b w:val="0"/>
          <w:bCs w:val="0"/>
          <w:sz w:val="20"/>
          <w:szCs w:val="20"/>
        </w:rPr>
        <w:t>hepatoprotective</w:t>
      </w:r>
      <w:proofErr w:type="spellEnd"/>
      <w:r w:rsidRPr="008A4B55">
        <w:rPr>
          <w:b w:val="0"/>
          <w:bCs w:val="0"/>
          <w:sz w:val="20"/>
          <w:szCs w:val="20"/>
        </w:rPr>
        <w:t xml:space="preserve"> studies, the induced </w:t>
      </w:r>
      <w:proofErr w:type="spellStart"/>
      <w:r w:rsidRPr="008A4B55">
        <w:rPr>
          <w:b w:val="0"/>
          <w:bCs w:val="0"/>
          <w:sz w:val="20"/>
          <w:szCs w:val="20"/>
        </w:rPr>
        <w:t>diclofenac</w:t>
      </w:r>
      <w:proofErr w:type="spellEnd"/>
      <w:r w:rsidRPr="008A4B55">
        <w:rPr>
          <w:b w:val="0"/>
          <w:bCs w:val="0"/>
          <w:sz w:val="20"/>
          <w:szCs w:val="20"/>
        </w:rPr>
        <w:t xml:space="preserve"> toxicity elevated levels of ser</w:t>
      </w:r>
      <w:r>
        <w:rPr>
          <w:b w:val="0"/>
          <w:bCs w:val="0"/>
          <w:sz w:val="20"/>
          <w:szCs w:val="20"/>
        </w:rPr>
        <w:t xml:space="preserve">um marker enzymes ALT, AST, ALP </w:t>
      </w:r>
      <w:r w:rsidRPr="008A4B55">
        <w:rPr>
          <w:b w:val="0"/>
          <w:bCs w:val="0"/>
          <w:sz w:val="20"/>
          <w:szCs w:val="20"/>
        </w:rPr>
        <w:t xml:space="preserve">and the level of BUN along with the decrease in total protein and albumin levels. It also increased the relative liver weight and decreased the level of liver total protein and GSH. The activity of catalase and </w:t>
      </w:r>
      <w:proofErr w:type="spellStart"/>
      <w:r w:rsidRPr="008A4B55">
        <w:rPr>
          <w:b w:val="0"/>
          <w:bCs w:val="0"/>
          <w:sz w:val="20"/>
          <w:szCs w:val="20"/>
        </w:rPr>
        <w:t>GPx</w:t>
      </w:r>
      <w:proofErr w:type="spellEnd"/>
      <w:r w:rsidRPr="008A4B55">
        <w:rPr>
          <w:b w:val="0"/>
          <w:bCs w:val="0"/>
          <w:sz w:val="20"/>
          <w:szCs w:val="20"/>
        </w:rPr>
        <w:t xml:space="preserve"> significantly decreased in </w:t>
      </w:r>
      <w:proofErr w:type="spellStart"/>
      <w:r w:rsidRPr="008A4B55">
        <w:rPr>
          <w:b w:val="0"/>
          <w:bCs w:val="0"/>
          <w:sz w:val="20"/>
          <w:szCs w:val="20"/>
        </w:rPr>
        <w:t>diclofenac</w:t>
      </w:r>
      <w:proofErr w:type="spellEnd"/>
      <w:r w:rsidRPr="008A4B55">
        <w:rPr>
          <w:b w:val="0"/>
          <w:bCs w:val="0"/>
          <w:sz w:val="20"/>
          <w:szCs w:val="20"/>
        </w:rPr>
        <w:t xml:space="preserve"> intoxicated animals. The pre-treatment of methanol extract of </w:t>
      </w:r>
      <w:proofErr w:type="spellStart"/>
      <w:r w:rsidRPr="008A4B55">
        <w:rPr>
          <w:b w:val="0"/>
          <w:bCs w:val="0"/>
          <w:sz w:val="20"/>
          <w:szCs w:val="20"/>
        </w:rPr>
        <w:t>Desmodium</w:t>
      </w:r>
      <w:proofErr w:type="spellEnd"/>
      <w:r w:rsidRPr="008A4B55">
        <w:rPr>
          <w:b w:val="0"/>
          <w:bCs w:val="0"/>
          <w:sz w:val="20"/>
          <w:szCs w:val="20"/>
        </w:rPr>
        <w:t xml:space="preserve"> </w:t>
      </w:r>
      <w:proofErr w:type="spellStart"/>
      <w:r w:rsidRPr="008A4B55">
        <w:rPr>
          <w:b w:val="0"/>
          <w:bCs w:val="0"/>
          <w:sz w:val="20"/>
          <w:szCs w:val="20"/>
        </w:rPr>
        <w:t>gangeticum</w:t>
      </w:r>
      <w:proofErr w:type="spellEnd"/>
      <w:r w:rsidRPr="008A4B55">
        <w:rPr>
          <w:b w:val="0"/>
          <w:bCs w:val="0"/>
          <w:sz w:val="20"/>
          <w:szCs w:val="20"/>
        </w:rPr>
        <w:t xml:space="preserve"> leaves at dose levels of 400 and 600 mg/kg had restored the ALT, AST, ALP and BUN levels towards normalization and the effects were comparable with standard drug (</w:t>
      </w:r>
      <w:proofErr w:type="spellStart"/>
      <w:r w:rsidRPr="008A4B55">
        <w:rPr>
          <w:b w:val="0"/>
          <w:bCs w:val="0"/>
          <w:sz w:val="20"/>
          <w:szCs w:val="20"/>
        </w:rPr>
        <w:t>Silymarin</w:t>
      </w:r>
      <w:proofErr w:type="spellEnd"/>
      <w:r w:rsidRPr="008A4B55">
        <w:rPr>
          <w:b w:val="0"/>
          <w:bCs w:val="0"/>
          <w:sz w:val="20"/>
          <w:szCs w:val="20"/>
        </w:rPr>
        <w:t xml:space="preserve"> 100 mg/kg). The total protein, albumin, GSH levels and catalase, </w:t>
      </w:r>
      <w:proofErr w:type="spellStart"/>
      <w:r w:rsidRPr="008A4B55">
        <w:rPr>
          <w:b w:val="0"/>
          <w:bCs w:val="0"/>
          <w:sz w:val="20"/>
          <w:szCs w:val="20"/>
        </w:rPr>
        <w:t>GPx</w:t>
      </w:r>
      <w:proofErr w:type="spellEnd"/>
      <w:r w:rsidRPr="008A4B55">
        <w:rPr>
          <w:b w:val="0"/>
          <w:bCs w:val="0"/>
          <w:sz w:val="20"/>
          <w:szCs w:val="20"/>
        </w:rPr>
        <w:t xml:space="preserve"> activity increased significantly in the animals received pre-treatment of the DGL. </w:t>
      </w:r>
    </w:p>
    <w:p w:rsidR="00BB3AD6" w:rsidRDefault="00987AC1" w:rsidP="008A4B55">
      <w:pPr>
        <w:pStyle w:val="Heading1"/>
        <w:numPr>
          <w:ilvl w:val="0"/>
          <w:numId w:val="3"/>
        </w:numPr>
        <w:tabs>
          <w:tab w:val="left" w:pos="180"/>
        </w:tabs>
        <w:spacing w:before="40"/>
        <w:jc w:val="both"/>
      </w:pPr>
      <w:r>
        <w:t>REFERENCES</w:t>
      </w:r>
    </w:p>
    <w:p w:rsidR="008A4B55" w:rsidRPr="008A4B55" w:rsidRDefault="008A4B55" w:rsidP="00D227A2">
      <w:pPr>
        <w:pStyle w:val="ListParagraph"/>
        <w:numPr>
          <w:ilvl w:val="0"/>
          <w:numId w:val="1"/>
        </w:numPr>
        <w:tabs>
          <w:tab w:val="left" w:pos="561"/>
        </w:tabs>
        <w:ind w:left="562" w:hanging="432"/>
        <w:rPr>
          <w:sz w:val="20"/>
        </w:rPr>
      </w:pPr>
      <w:proofErr w:type="spellStart"/>
      <w:r w:rsidRPr="008A4B55">
        <w:rPr>
          <w:sz w:val="20"/>
        </w:rPr>
        <w:t>Shanmugasundaram</w:t>
      </w:r>
      <w:proofErr w:type="spellEnd"/>
      <w:r w:rsidRPr="008A4B55">
        <w:rPr>
          <w:sz w:val="20"/>
        </w:rPr>
        <w:t xml:space="preserve"> P, </w:t>
      </w:r>
      <w:proofErr w:type="spellStart"/>
      <w:r w:rsidRPr="008A4B55">
        <w:rPr>
          <w:sz w:val="20"/>
        </w:rPr>
        <w:t>Venkataraman</w:t>
      </w:r>
      <w:proofErr w:type="spellEnd"/>
      <w:r w:rsidRPr="008A4B55">
        <w:rPr>
          <w:sz w:val="20"/>
        </w:rPr>
        <w:t xml:space="preserve"> S (2006). </w:t>
      </w:r>
      <w:proofErr w:type="spellStart"/>
      <w:r w:rsidRPr="008A4B55">
        <w:rPr>
          <w:sz w:val="20"/>
        </w:rPr>
        <w:t>Hepatoprotective</w:t>
      </w:r>
      <w:proofErr w:type="spellEnd"/>
      <w:r w:rsidRPr="008A4B55">
        <w:rPr>
          <w:sz w:val="20"/>
        </w:rPr>
        <w:t xml:space="preserve"> and antioxidant effects of</w:t>
      </w:r>
      <w:r>
        <w:rPr>
          <w:sz w:val="20"/>
        </w:rPr>
        <w:t xml:space="preserve"> </w:t>
      </w:r>
      <w:proofErr w:type="spellStart"/>
      <w:r w:rsidRPr="008A4B55">
        <w:rPr>
          <w:sz w:val="20"/>
        </w:rPr>
        <w:t>Hygrophila</w:t>
      </w:r>
      <w:proofErr w:type="spellEnd"/>
      <w:r w:rsidRPr="008A4B55">
        <w:rPr>
          <w:sz w:val="20"/>
        </w:rPr>
        <w:t xml:space="preserve"> </w:t>
      </w:r>
      <w:proofErr w:type="spellStart"/>
      <w:r w:rsidRPr="008A4B55">
        <w:rPr>
          <w:sz w:val="20"/>
        </w:rPr>
        <w:t>auriculata</w:t>
      </w:r>
      <w:proofErr w:type="spellEnd"/>
      <w:r w:rsidRPr="008A4B55">
        <w:rPr>
          <w:sz w:val="20"/>
        </w:rPr>
        <w:t xml:space="preserve"> (K. </w:t>
      </w:r>
      <w:proofErr w:type="spellStart"/>
      <w:r w:rsidRPr="008A4B55">
        <w:rPr>
          <w:sz w:val="20"/>
        </w:rPr>
        <w:t>Schum</w:t>
      </w:r>
      <w:proofErr w:type="spellEnd"/>
      <w:r w:rsidRPr="008A4B55">
        <w:rPr>
          <w:sz w:val="20"/>
        </w:rPr>
        <w:t xml:space="preserve">) Heine </w:t>
      </w:r>
      <w:proofErr w:type="spellStart"/>
      <w:r w:rsidRPr="008A4B55">
        <w:rPr>
          <w:sz w:val="20"/>
        </w:rPr>
        <w:t>Acanthaceae</w:t>
      </w:r>
      <w:proofErr w:type="spellEnd"/>
      <w:r w:rsidRPr="008A4B55">
        <w:rPr>
          <w:sz w:val="20"/>
        </w:rPr>
        <w:t xml:space="preserve"> root extract. Journal of</w:t>
      </w:r>
      <w:r>
        <w:rPr>
          <w:sz w:val="20"/>
        </w:rPr>
        <w:t xml:space="preserve"> </w:t>
      </w:r>
      <w:proofErr w:type="spellStart"/>
      <w:r w:rsidRPr="008A4B55">
        <w:rPr>
          <w:sz w:val="20"/>
        </w:rPr>
        <w:t>Ethnopharmacology</w:t>
      </w:r>
      <w:proofErr w:type="spellEnd"/>
      <w:r w:rsidRPr="008A4B55">
        <w:rPr>
          <w:sz w:val="20"/>
        </w:rPr>
        <w:t xml:space="preserve"> 104: 124-128.</w:t>
      </w:r>
    </w:p>
    <w:p w:rsidR="008A4B55" w:rsidRPr="008A4B55" w:rsidRDefault="008A4B55" w:rsidP="00D227A2">
      <w:pPr>
        <w:pStyle w:val="ListParagraph"/>
        <w:numPr>
          <w:ilvl w:val="0"/>
          <w:numId w:val="1"/>
        </w:numPr>
        <w:tabs>
          <w:tab w:val="left" w:pos="561"/>
        </w:tabs>
        <w:ind w:left="562" w:hanging="432"/>
        <w:rPr>
          <w:sz w:val="20"/>
        </w:rPr>
      </w:pPr>
      <w:proofErr w:type="spellStart"/>
      <w:r w:rsidRPr="008A4B55">
        <w:rPr>
          <w:sz w:val="20"/>
        </w:rPr>
        <w:t>Saleem</w:t>
      </w:r>
      <w:proofErr w:type="spellEnd"/>
      <w:r w:rsidRPr="008A4B55">
        <w:rPr>
          <w:sz w:val="20"/>
        </w:rPr>
        <w:t xml:space="preserve"> TSM, </w:t>
      </w:r>
      <w:proofErr w:type="spellStart"/>
      <w:r w:rsidRPr="008A4B55">
        <w:rPr>
          <w:sz w:val="20"/>
        </w:rPr>
        <w:t>Chetty</w:t>
      </w:r>
      <w:proofErr w:type="spellEnd"/>
      <w:r w:rsidRPr="008A4B55">
        <w:rPr>
          <w:sz w:val="20"/>
        </w:rPr>
        <w:t xml:space="preserve"> CM, </w:t>
      </w:r>
      <w:proofErr w:type="spellStart"/>
      <w:r w:rsidRPr="008A4B55">
        <w:rPr>
          <w:sz w:val="20"/>
        </w:rPr>
        <w:t>Ramkanth</w:t>
      </w:r>
      <w:proofErr w:type="spellEnd"/>
      <w:r w:rsidRPr="008A4B55">
        <w:rPr>
          <w:sz w:val="20"/>
        </w:rPr>
        <w:t xml:space="preserve"> S, </w:t>
      </w:r>
      <w:proofErr w:type="spellStart"/>
      <w:r w:rsidRPr="008A4B55">
        <w:rPr>
          <w:sz w:val="20"/>
        </w:rPr>
        <w:t>Rajan</w:t>
      </w:r>
      <w:proofErr w:type="spellEnd"/>
      <w:r w:rsidRPr="008A4B55">
        <w:rPr>
          <w:sz w:val="20"/>
        </w:rPr>
        <w:t xml:space="preserve"> VST, Kumar KM, </w:t>
      </w:r>
      <w:proofErr w:type="spellStart"/>
      <w:r w:rsidRPr="008A4B55">
        <w:rPr>
          <w:sz w:val="20"/>
        </w:rPr>
        <w:t>Gauthaman</w:t>
      </w:r>
      <w:proofErr w:type="spellEnd"/>
      <w:r w:rsidRPr="008A4B55">
        <w:rPr>
          <w:sz w:val="20"/>
        </w:rPr>
        <w:t xml:space="preserve"> K (2010).</w:t>
      </w:r>
      <w:proofErr w:type="spellStart"/>
      <w:r w:rsidRPr="008A4B55">
        <w:rPr>
          <w:sz w:val="20"/>
        </w:rPr>
        <w:t>Hepatoprotective</w:t>
      </w:r>
      <w:proofErr w:type="spellEnd"/>
      <w:r w:rsidRPr="008A4B55">
        <w:rPr>
          <w:sz w:val="20"/>
        </w:rPr>
        <w:t xml:space="preserve"> herbs - a review. International Journal of Research in Pharmaceutical Sciences</w:t>
      </w:r>
      <w:r>
        <w:rPr>
          <w:sz w:val="20"/>
        </w:rPr>
        <w:t xml:space="preserve"> </w:t>
      </w:r>
      <w:r w:rsidRPr="008A4B55">
        <w:rPr>
          <w:sz w:val="20"/>
        </w:rPr>
        <w:t>1: 1-5.</w:t>
      </w:r>
    </w:p>
    <w:p w:rsidR="008A4B55" w:rsidRPr="008A4B55" w:rsidRDefault="008A4B55" w:rsidP="00D227A2">
      <w:pPr>
        <w:pStyle w:val="ListParagraph"/>
        <w:numPr>
          <w:ilvl w:val="0"/>
          <w:numId w:val="1"/>
        </w:numPr>
        <w:tabs>
          <w:tab w:val="left" w:pos="561"/>
        </w:tabs>
        <w:ind w:left="562" w:hanging="432"/>
        <w:rPr>
          <w:sz w:val="20"/>
        </w:rPr>
      </w:pPr>
      <w:proofErr w:type="spellStart"/>
      <w:r w:rsidRPr="008A4B55">
        <w:rPr>
          <w:sz w:val="20"/>
        </w:rPr>
        <w:t>Kaplowitz</w:t>
      </w:r>
      <w:proofErr w:type="spellEnd"/>
      <w:r w:rsidRPr="008A4B55">
        <w:rPr>
          <w:sz w:val="20"/>
        </w:rPr>
        <w:t xml:space="preserve"> N, Tsukamoto H (1996). Oxidative stress and liver disease. Progress in Liver Diseases</w:t>
      </w:r>
      <w:r>
        <w:rPr>
          <w:sz w:val="20"/>
        </w:rPr>
        <w:t xml:space="preserve"> </w:t>
      </w:r>
      <w:r w:rsidRPr="008A4B55">
        <w:rPr>
          <w:sz w:val="20"/>
        </w:rPr>
        <w:t>14: 131-159.</w:t>
      </w:r>
    </w:p>
    <w:p w:rsidR="008A4B55" w:rsidRDefault="008A4B55" w:rsidP="00D227A2">
      <w:pPr>
        <w:pStyle w:val="ListParagraph"/>
        <w:numPr>
          <w:ilvl w:val="0"/>
          <w:numId w:val="1"/>
        </w:numPr>
        <w:tabs>
          <w:tab w:val="left" w:pos="561"/>
        </w:tabs>
        <w:ind w:left="562" w:hanging="432"/>
        <w:rPr>
          <w:sz w:val="20"/>
        </w:rPr>
      </w:pPr>
      <w:proofErr w:type="spellStart"/>
      <w:r w:rsidRPr="008A4B55">
        <w:rPr>
          <w:sz w:val="20"/>
        </w:rPr>
        <w:t>Ajith</w:t>
      </w:r>
      <w:proofErr w:type="spellEnd"/>
      <w:r w:rsidRPr="008A4B55">
        <w:rPr>
          <w:sz w:val="20"/>
        </w:rPr>
        <w:t xml:space="preserve"> TA, </w:t>
      </w:r>
      <w:proofErr w:type="spellStart"/>
      <w:r w:rsidRPr="008A4B55">
        <w:rPr>
          <w:sz w:val="20"/>
        </w:rPr>
        <w:t>Hema</w:t>
      </w:r>
      <w:proofErr w:type="spellEnd"/>
      <w:r w:rsidRPr="008A4B55">
        <w:rPr>
          <w:sz w:val="20"/>
        </w:rPr>
        <w:t xml:space="preserve"> U, </w:t>
      </w:r>
      <w:proofErr w:type="spellStart"/>
      <w:r w:rsidRPr="008A4B55">
        <w:rPr>
          <w:sz w:val="20"/>
        </w:rPr>
        <w:t>Aswathy</w:t>
      </w:r>
      <w:proofErr w:type="spellEnd"/>
      <w:r w:rsidRPr="008A4B55">
        <w:rPr>
          <w:sz w:val="20"/>
        </w:rPr>
        <w:t xml:space="preserve"> MS (2007). </w:t>
      </w:r>
      <w:proofErr w:type="spellStart"/>
      <w:r w:rsidRPr="008A4B55">
        <w:rPr>
          <w:sz w:val="20"/>
        </w:rPr>
        <w:t>Zingiber</w:t>
      </w:r>
      <w:proofErr w:type="spellEnd"/>
      <w:r w:rsidRPr="008A4B55">
        <w:rPr>
          <w:sz w:val="20"/>
        </w:rPr>
        <w:t xml:space="preserve"> </w:t>
      </w:r>
      <w:proofErr w:type="spellStart"/>
      <w:r w:rsidRPr="008A4B55">
        <w:rPr>
          <w:sz w:val="20"/>
        </w:rPr>
        <w:t>officinale</w:t>
      </w:r>
      <w:proofErr w:type="spellEnd"/>
      <w:r w:rsidRPr="008A4B55">
        <w:rPr>
          <w:sz w:val="20"/>
        </w:rPr>
        <w:t xml:space="preserve"> Roscoe prevents acetaminophen-</w:t>
      </w:r>
      <w:r>
        <w:rPr>
          <w:sz w:val="20"/>
        </w:rPr>
        <w:t xml:space="preserve"> </w:t>
      </w:r>
      <w:r w:rsidRPr="008A4B55">
        <w:rPr>
          <w:sz w:val="20"/>
        </w:rPr>
        <w:t>induced acute hepatotoxicity by enhancing hepatic antioxidant status.</w:t>
      </w:r>
      <w:r>
        <w:rPr>
          <w:sz w:val="20"/>
        </w:rPr>
        <w:t xml:space="preserve"> </w:t>
      </w:r>
      <w:r w:rsidRPr="008A4B55">
        <w:rPr>
          <w:sz w:val="20"/>
        </w:rPr>
        <w:t>Food and Chemical Toxicology 45: 2267-2272.</w:t>
      </w:r>
    </w:p>
    <w:p w:rsidR="008A4B55" w:rsidRPr="003B39D2" w:rsidRDefault="008A4B55" w:rsidP="00D227A2">
      <w:pPr>
        <w:pStyle w:val="ListParagraph"/>
        <w:numPr>
          <w:ilvl w:val="0"/>
          <w:numId w:val="1"/>
        </w:numPr>
        <w:tabs>
          <w:tab w:val="left" w:pos="561"/>
        </w:tabs>
        <w:ind w:left="562" w:hanging="432"/>
        <w:rPr>
          <w:sz w:val="20"/>
        </w:rPr>
      </w:pPr>
      <w:proofErr w:type="spellStart"/>
      <w:r w:rsidRPr="003B39D2">
        <w:rPr>
          <w:sz w:val="20"/>
        </w:rPr>
        <w:t>Timbrell</w:t>
      </w:r>
      <w:proofErr w:type="spellEnd"/>
      <w:r w:rsidRPr="003B39D2">
        <w:rPr>
          <w:sz w:val="20"/>
        </w:rPr>
        <w:t xml:space="preserve"> J (2001). </w:t>
      </w:r>
      <w:proofErr w:type="gramStart"/>
      <w:r w:rsidRPr="003B39D2">
        <w:rPr>
          <w:sz w:val="20"/>
        </w:rPr>
        <w:t>Introduction to Toxicology.</w:t>
      </w:r>
      <w:proofErr w:type="gramEnd"/>
      <w:r w:rsidRPr="003B39D2">
        <w:rPr>
          <w:sz w:val="20"/>
        </w:rPr>
        <w:t xml:space="preserve"> 3rd ed. Taylor and Francis, New York, pp. 57-71.</w:t>
      </w:r>
    </w:p>
    <w:p w:rsidR="008A4B55" w:rsidRPr="003B39D2" w:rsidRDefault="008A4B55" w:rsidP="00D227A2">
      <w:pPr>
        <w:pStyle w:val="ListParagraph"/>
        <w:numPr>
          <w:ilvl w:val="0"/>
          <w:numId w:val="1"/>
        </w:numPr>
        <w:tabs>
          <w:tab w:val="left" w:pos="561"/>
        </w:tabs>
        <w:ind w:left="562" w:hanging="432"/>
        <w:rPr>
          <w:sz w:val="20"/>
        </w:rPr>
      </w:pPr>
      <w:proofErr w:type="spellStart"/>
      <w:r w:rsidRPr="008A4B55">
        <w:rPr>
          <w:sz w:val="20"/>
        </w:rPr>
        <w:t>Kohen</w:t>
      </w:r>
      <w:proofErr w:type="spellEnd"/>
      <w:r w:rsidRPr="008A4B55">
        <w:rPr>
          <w:sz w:val="20"/>
        </w:rPr>
        <w:t xml:space="preserve"> R, </w:t>
      </w:r>
      <w:proofErr w:type="spellStart"/>
      <w:r w:rsidRPr="008A4B55">
        <w:rPr>
          <w:sz w:val="20"/>
        </w:rPr>
        <w:t>Nyska</w:t>
      </w:r>
      <w:proofErr w:type="spellEnd"/>
      <w:r w:rsidRPr="008A4B55">
        <w:rPr>
          <w:sz w:val="20"/>
        </w:rPr>
        <w:t xml:space="preserve"> A (2002). Oxidation of biological systems: oxidative stress phenomena,</w:t>
      </w:r>
      <w:r w:rsidR="003B39D2">
        <w:rPr>
          <w:sz w:val="20"/>
        </w:rPr>
        <w:t xml:space="preserve"> </w:t>
      </w:r>
      <w:r w:rsidRPr="003B39D2">
        <w:rPr>
          <w:sz w:val="20"/>
        </w:rPr>
        <w:t xml:space="preserve">antioxidants, redox reactions, and methods for their quantification. </w:t>
      </w:r>
      <w:proofErr w:type="spellStart"/>
      <w:r w:rsidRPr="003B39D2">
        <w:rPr>
          <w:sz w:val="20"/>
        </w:rPr>
        <w:t>Toxicologic</w:t>
      </w:r>
      <w:proofErr w:type="spellEnd"/>
      <w:r w:rsidRPr="003B39D2">
        <w:rPr>
          <w:sz w:val="20"/>
        </w:rPr>
        <w:t xml:space="preserve"> Pathology 30:620-650.</w:t>
      </w:r>
    </w:p>
    <w:p w:rsidR="00BB3AD6" w:rsidRPr="003B39D2" w:rsidRDefault="008A4B55" w:rsidP="00D227A2">
      <w:pPr>
        <w:pStyle w:val="ListParagraph"/>
        <w:numPr>
          <w:ilvl w:val="0"/>
          <w:numId w:val="1"/>
        </w:numPr>
        <w:tabs>
          <w:tab w:val="left" w:pos="561"/>
        </w:tabs>
        <w:ind w:left="562" w:hanging="432"/>
        <w:rPr>
          <w:sz w:val="20"/>
        </w:rPr>
      </w:pPr>
      <w:r w:rsidRPr="008A4B55">
        <w:rPr>
          <w:sz w:val="20"/>
        </w:rPr>
        <w:t xml:space="preserve">Gupta AK, </w:t>
      </w:r>
      <w:proofErr w:type="spellStart"/>
      <w:r w:rsidRPr="008A4B55">
        <w:rPr>
          <w:sz w:val="20"/>
        </w:rPr>
        <w:t>Misra</w:t>
      </w:r>
      <w:proofErr w:type="spellEnd"/>
      <w:r w:rsidRPr="008A4B55">
        <w:rPr>
          <w:sz w:val="20"/>
        </w:rPr>
        <w:t xml:space="preserve"> N (2006). </w:t>
      </w:r>
      <w:proofErr w:type="spellStart"/>
      <w:r w:rsidRPr="008A4B55">
        <w:rPr>
          <w:sz w:val="20"/>
        </w:rPr>
        <w:t>Hepatoprotective</w:t>
      </w:r>
      <w:proofErr w:type="spellEnd"/>
      <w:r w:rsidRPr="008A4B55">
        <w:rPr>
          <w:sz w:val="20"/>
        </w:rPr>
        <w:t xml:space="preserve"> activity of aqueous </w:t>
      </w:r>
      <w:proofErr w:type="spellStart"/>
      <w:r w:rsidRPr="008A4B55">
        <w:rPr>
          <w:sz w:val="20"/>
        </w:rPr>
        <w:t>ethanolic</w:t>
      </w:r>
      <w:proofErr w:type="spellEnd"/>
      <w:r w:rsidRPr="008A4B55">
        <w:rPr>
          <w:sz w:val="20"/>
        </w:rPr>
        <w:t xml:space="preserve"> extract of Chamomile</w:t>
      </w:r>
      <w:r w:rsidR="003B39D2">
        <w:rPr>
          <w:sz w:val="20"/>
        </w:rPr>
        <w:t xml:space="preserve"> </w:t>
      </w:r>
      <w:proofErr w:type="spellStart"/>
      <w:r w:rsidRPr="003B39D2">
        <w:rPr>
          <w:sz w:val="20"/>
        </w:rPr>
        <w:t>capitula</w:t>
      </w:r>
      <w:proofErr w:type="spellEnd"/>
      <w:r w:rsidRPr="003B39D2">
        <w:rPr>
          <w:sz w:val="20"/>
        </w:rPr>
        <w:t xml:space="preserve"> in </w:t>
      </w:r>
      <w:proofErr w:type="spellStart"/>
      <w:r w:rsidRPr="003B39D2">
        <w:rPr>
          <w:sz w:val="20"/>
        </w:rPr>
        <w:t>paracetamol</w:t>
      </w:r>
      <w:proofErr w:type="spellEnd"/>
      <w:r w:rsidRPr="003B39D2">
        <w:rPr>
          <w:sz w:val="20"/>
        </w:rPr>
        <w:t xml:space="preserve"> intoxicated albino rats. American Journal of Pharmacology and</w:t>
      </w:r>
      <w:r w:rsidR="003B39D2">
        <w:rPr>
          <w:sz w:val="20"/>
        </w:rPr>
        <w:t xml:space="preserve"> </w:t>
      </w:r>
      <w:r w:rsidRPr="003B39D2">
        <w:rPr>
          <w:sz w:val="20"/>
        </w:rPr>
        <w:t>Toxicology 1: 17-20.</w:t>
      </w:r>
    </w:p>
    <w:sectPr w:rsidR="00BB3AD6" w:rsidRPr="003B39D2" w:rsidSect="007C11DE">
      <w:headerReference w:type="default" r:id="rId19"/>
      <w:footerReference w:type="default" r:id="rId20"/>
      <w:pgSz w:w="11910" w:h="16840"/>
      <w:pgMar w:top="810" w:right="1060" w:bottom="360" w:left="1060" w:header="154" w:footer="16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6037" w:rsidRDefault="001F6037">
      <w:r>
        <w:separator/>
      </w:r>
    </w:p>
  </w:endnote>
  <w:endnote w:type="continuationSeparator" w:id="0">
    <w:p w:rsidR="001F6037" w:rsidRDefault="001F6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D6" w:rsidRDefault="00BB3AD6">
    <w:pPr>
      <w:pStyle w:val="BodyText"/>
      <w:spacing w:line="14" w:lineRule="auto"/>
      <w:ind w:left="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6037" w:rsidRDefault="001F6037">
      <w:r>
        <w:separator/>
      </w:r>
    </w:p>
  </w:footnote>
  <w:footnote w:type="continuationSeparator" w:id="0">
    <w:p w:rsidR="001F6037" w:rsidRDefault="001F60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AD6" w:rsidRDefault="00BB3AD6">
    <w:pPr>
      <w:pStyle w:val="BodyText"/>
      <w:spacing w:line="14" w:lineRule="auto"/>
      <w:ind w:left="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DE4A1D"/>
    <w:multiLevelType w:val="multilevel"/>
    <w:tmpl w:val="AF84D1F6"/>
    <w:lvl w:ilvl="0">
      <w:start w:val="2"/>
      <w:numFmt w:val="decimal"/>
      <w:lvlText w:val="%1"/>
      <w:lvlJc w:val="left"/>
      <w:pPr>
        <w:ind w:left="135" w:hanging="357"/>
      </w:pPr>
      <w:rPr>
        <w:rFonts w:hint="default"/>
        <w:lang w:val="en-US" w:eastAsia="en-US" w:bidi="ar-SA"/>
      </w:rPr>
    </w:lvl>
    <w:lvl w:ilvl="1">
      <w:start w:val="4"/>
      <w:numFmt w:val="decimal"/>
      <w:lvlText w:val="%1.%2."/>
      <w:lvlJc w:val="left"/>
      <w:pPr>
        <w:ind w:left="135" w:hanging="357"/>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2069" w:hanging="357"/>
      </w:pPr>
      <w:rPr>
        <w:rFonts w:hint="default"/>
        <w:lang w:val="en-US" w:eastAsia="en-US" w:bidi="ar-SA"/>
      </w:rPr>
    </w:lvl>
    <w:lvl w:ilvl="3">
      <w:numFmt w:val="bullet"/>
      <w:lvlText w:val="•"/>
      <w:lvlJc w:val="left"/>
      <w:pPr>
        <w:ind w:left="3033" w:hanging="357"/>
      </w:pPr>
      <w:rPr>
        <w:rFonts w:hint="default"/>
        <w:lang w:val="en-US" w:eastAsia="en-US" w:bidi="ar-SA"/>
      </w:rPr>
    </w:lvl>
    <w:lvl w:ilvl="4">
      <w:numFmt w:val="bullet"/>
      <w:lvlText w:val="•"/>
      <w:lvlJc w:val="left"/>
      <w:pPr>
        <w:ind w:left="3998" w:hanging="357"/>
      </w:pPr>
      <w:rPr>
        <w:rFonts w:hint="default"/>
        <w:lang w:val="en-US" w:eastAsia="en-US" w:bidi="ar-SA"/>
      </w:rPr>
    </w:lvl>
    <w:lvl w:ilvl="5">
      <w:numFmt w:val="bullet"/>
      <w:lvlText w:val="•"/>
      <w:lvlJc w:val="left"/>
      <w:pPr>
        <w:ind w:left="4963" w:hanging="357"/>
      </w:pPr>
      <w:rPr>
        <w:rFonts w:hint="default"/>
        <w:lang w:val="en-US" w:eastAsia="en-US" w:bidi="ar-SA"/>
      </w:rPr>
    </w:lvl>
    <w:lvl w:ilvl="6">
      <w:numFmt w:val="bullet"/>
      <w:lvlText w:val="•"/>
      <w:lvlJc w:val="left"/>
      <w:pPr>
        <w:ind w:left="5927" w:hanging="357"/>
      </w:pPr>
      <w:rPr>
        <w:rFonts w:hint="default"/>
        <w:lang w:val="en-US" w:eastAsia="en-US" w:bidi="ar-SA"/>
      </w:rPr>
    </w:lvl>
    <w:lvl w:ilvl="7">
      <w:numFmt w:val="bullet"/>
      <w:lvlText w:val="•"/>
      <w:lvlJc w:val="left"/>
      <w:pPr>
        <w:ind w:left="6892" w:hanging="357"/>
      </w:pPr>
      <w:rPr>
        <w:rFonts w:hint="default"/>
        <w:lang w:val="en-US" w:eastAsia="en-US" w:bidi="ar-SA"/>
      </w:rPr>
    </w:lvl>
    <w:lvl w:ilvl="8">
      <w:numFmt w:val="bullet"/>
      <w:lvlText w:val="•"/>
      <w:lvlJc w:val="left"/>
      <w:pPr>
        <w:ind w:left="7857" w:hanging="357"/>
      </w:pPr>
      <w:rPr>
        <w:rFonts w:hint="default"/>
        <w:lang w:val="en-US" w:eastAsia="en-US" w:bidi="ar-SA"/>
      </w:rPr>
    </w:lvl>
  </w:abstractNum>
  <w:abstractNum w:abstractNumId="1">
    <w:nsid w:val="51697F2B"/>
    <w:multiLevelType w:val="hybridMultilevel"/>
    <w:tmpl w:val="E6EA2254"/>
    <w:lvl w:ilvl="0" w:tplc="6DE8E1C2">
      <w:start w:val="1"/>
      <w:numFmt w:val="decimal"/>
      <w:lvlText w:val="[%1]"/>
      <w:lvlJc w:val="left"/>
      <w:pPr>
        <w:ind w:left="560" w:hanging="425"/>
      </w:pPr>
      <w:rPr>
        <w:rFonts w:ascii="Times New Roman" w:eastAsia="Times New Roman" w:hAnsi="Times New Roman" w:cs="Times New Roman" w:hint="default"/>
        <w:w w:val="99"/>
        <w:sz w:val="20"/>
        <w:szCs w:val="20"/>
        <w:lang w:val="en-US" w:eastAsia="en-US" w:bidi="ar-SA"/>
      </w:rPr>
    </w:lvl>
    <w:lvl w:ilvl="1" w:tplc="70667430">
      <w:numFmt w:val="bullet"/>
      <w:lvlText w:val="•"/>
      <w:lvlJc w:val="left"/>
      <w:pPr>
        <w:ind w:left="1482" w:hanging="425"/>
      </w:pPr>
      <w:rPr>
        <w:rFonts w:hint="default"/>
        <w:lang w:val="en-US" w:eastAsia="en-US" w:bidi="ar-SA"/>
      </w:rPr>
    </w:lvl>
    <w:lvl w:ilvl="2" w:tplc="B3E865E2">
      <w:numFmt w:val="bullet"/>
      <w:lvlText w:val="•"/>
      <w:lvlJc w:val="left"/>
      <w:pPr>
        <w:ind w:left="2405" w:hanging="425"/>
      </w:pPr>
      <w:rPr>
        <w:rFonts w:hint="default"/>
        <w:lang w:val="en-US" w:eastAsia="en-US" w:bidi="ar-SA"/>
      </w:rPr>
    </w:lvl>
    <w:lvl w:ilvl="3" w:tplc="25CEAB38">
      <w:numFmt w:val="bullet"/>
      <w:lvlText w:val="•"/>
      <w:lvlJc w:val="left"/>
      <w:pPr>
        <w:ind w:left="3327" w:hanging="425"/>
      </w:pPr>
      <w:rPr>
        <w:rFonts w:hint="default"/>
        <w:lang w:val="en-US" w:eastAsia="en-US" w:bidi="ar-SA"/>
      </w:rPr>
    </w:lvl>
    <w:lvl w:ilvl="4" w:tplc="F0720F42">
      <w:numFmt w:val="bullet"/>
      <w:lvlText w:val="•"/>
      <w:lvlJc w:val="left"/>
      <w:pPr>
        <w:ind w:left="4250" w:hanging="425"/>
      </w:pPr>
      <w:rPr>
        <w:rFonts w:hint="default"/>
        <w:lang w:val="en-US" w:eastAsia="en-US" w:bidi="ar-SA"/>
      </w:rPr>
    </w:lvl>
    <w:lvl w:ilvl="5" w:tplc="D2ACB9AA">
      <w:numFmt w:val="bullet"/>
      <w:lvlText w:val="•"/>
      <w:lvlJc w:val="left"/>
      <w:pPr>
        <w:ind w:left="5173" w:hanging="425"/>
      </w:pPr>
      <w:rPr>
        <w:rFonts w:hint="default"/>
        <w:lang w:val="en-US" w:eastAsia="en-US" w:bidi="ar-SA"/>
      </w:rPr>
    </w:lvl>
    <w:lvl w:ilvl="6" w:tplc="39D87C96">
      <w:numFmt w:val="bullet"/>
      <w:lvlText w:val="•"/>
      <w:lvlJc w:val="left"/>
      <w:pPr>
        <w:ind w:left="6095" w:hanging="425"/>
      </w:pPr>
      <w:rPr>
        <w:rFonts w:hint="default"/>
        <w:lang w:val="en-US" w:eastAsia="en-US" w:bidi="ar-SA"/>
      </w:rPr>
    </w:lvl>
    <w:lvl w:ilvl="7" w:tplc="1012E77A">
      <w:numFmt w:val="bullet"/>
      <w:lvlText w:val="•"/>
      <w:lvlJc w:val="left"/>
      <w:pPr>
        <w:ind w:left="7018" w:hanging="425"/>
      </w:pPr>
      <w:rPr>
        <w:rFonts w:hint="default"/>
        <w:lang w:val="en-US" w:eastAsia="en-US" w:bidi="ar-SA"/>
      </w:rPr>
    </w:lvl>
    <w:lvl w:ilvl="8" w:tplc="B9EABC2E">
      <w:numFmt w:val="bullet"/>
      <w:lvlText w:val="•"/>
      <w:lvlJc w:val="left"/>
      <w:pPr>
        <w:ind w:left="7941" w:hanging="425"/>
      </w:pPr>
      <w:rPr>
        <w:rFonts w:hint="default"/>
        <w:lang w:val="en-US" w:eastAsia="en-US" w:bidi="ar-SA"/>
      </w:rPr>
    </w:lvl>
  </w:abstractNum>
  <w:abstractNum w:abstractNumId="2">
    <w:nsid w:val="799807DD"/>
    <w:multiLevelType w:val="multilevel"/>
    <w:tmpl w:val="6D4A1D48"/>
    <w:lvl w:ilvl="0">
      <w:start w:val="1"/>
      <w:numFmt w:val="decimal"/>
      <w:lvlText w:val="%1."/>
      <w:lvlJc w:val="left"/>
      <w:pPr>
        <w:ind w:left="495" w:hanging="360"/>
      </w:pPr>
      <w:rPr>
        <w:rFonts w:ascii="Times New Roman" w:eastAsia="Times New Roman" w:hAnsi="Times New Roman" w:cs="Times New Roman" w:hint="default"/>
        <w:b/>
        <w:bCs/>
        <w:w w:val="100"/>
        <w:sz w:val="24"/>
        <w:szCs w:val="24"/>
        <w:lang w:val="en-US" w:eastAsia="en-US" w:bidi="ar-SA"/>
      </w:rPr>
    </w:lvl>
    <w:lvl w:ilvl="1">
      <w:start w:val="1"/>
      <w:numFmt w:val="decimal"/>
      <w:lvlText w:val="%1.%2"/>
      <w:lvlJc w:val="left"/>
      <w:pPr>
        <w:ind w:left="135" w:hanging="339"/>
      </w:pPr>
      <w:rPr>
        <w:rFonts w:ascii="Times New Roman" w:eastAsia="Times New Roman" w:hAnsi="Times New Roman" w:cs="Times New Roman" w:hint="default"/>
        <w:b/>
        <w:bCs/>
        <w:spacing w:val="0"/>
        <w:w w:val="99"/>
        <w:sz w:val="20"/>
        <w:szCs w:val="20"/>
        <w:lang w:val="en-US" w:eastAsia="en-US" w:bidi="ar-SA"/>
      </w:rPr>
    </w:lvl>
    <w:lvl w:ilvl="2">
      <w:numFmt w:val="bullet"/>
      <w:lvlText w:val="•"/>
      <w:lvlJc w:val="left"/>
      <w:pPr>
        <w:ind w:left="1531" w:hanging="339"/>
      </w:pPr>
      <w:rPr>
        <w:rFonts w:hint="default"/>
        <w:lang w:val="en-US" w:eastAsia="en-US" w:bidi="ar-SA"/>
      </w:rPr>
    </w:lvl>
    <w:lvl w:ilvl="3">
      <w:numFmt w:val="bullet"/>
      <w:lvlText w:val="•"/>
      <w:lvlJc w:val="left"/>
      <w:pPr>
        <w:ind w:left="2563" w:hanging="339"/>
      </w:pPr>
      <w:rPr>
        <w:rFonts w:hint="default"/>
        <w:lang w:val="en-US" w:eastAsia="en-US" w:bidi="ar-SA"/>
      </w:rPr>
    </w:lvl>
    <w:lvl w:ilvl="4">
      <w:numFmt w:val="bullet"/>
      <w:lvlText w:val="•"/>
      <w:lvlJc w:val="left"/>
      <w:pPr>
        <w:ind w:left="3595" w:hanging="339"/>
      </w:pPr>
      <w:rPr>
        <w:rFonts w:hint="default"/>
        <w:lang w:val="en-US" w:eastAsia="en-US" w:bidi="ar-SA"/>
      </w:rPr>
    </w:lvl>
    <w:lvl w:ilvl="5">
      <w:numFmt w:val="bullet"/>
      <w:lvlText w:val="•"/>
      <w:lvlJc w:val="left"/>
      <w:pPr>
        <w:ind w:left="4627" w:hanging="339"/>
      </w:pPr>
      <w:rPr>
        <w:rFonts w:hint="default"/>
        <w:lang w:val="en-US" w:eastAsia="en-US" w:bidi="ar-SA"/>
      </w:rPr>
    </w:lvl>
    <w:lvl w:ilvl="6">
      <w:numFmt w:val="bullet"/>
      <w:lvlText w:val="•"/>
      <w:lvlJc w:val="left"/>
      <w:pPr>
        <w:ind w:left="5659" w:hanging="339"/>
      </w:pPr>
      <w:rPr>
        <w:rFonts w:hint="default"/>
        <w:lang w:val="en-US" w:eastAsia="en-US" w:bidi="ar-SA"/>
      </w:rPr>
    </w:lvl>
    <w:lvl w:ilvl="7">
      <w:numFmt w:val="bullet"/>
      <w:lvlText w:val="•"/>
      <w:lvlJc w:val="left"/>
      <w:pPr>
        <w:ind w:left="6690" w:hanging="339"/>
      </w:pPr>
      <w:rPr>
        <w:rFonts w:hint="default"/>
        <w:lang w:val="en-US" w:eastAsia="en-US" w:bidi="ar-SA"/>
      </w:rPr>
    </w:lvl>
    <w:lvl w:ilvl="8">
      <w:numFmt w:val="bullet"/>
      <w:lvlText w:val="•"/>
      <w:lvlJc w:val="left"/>
      <w:pPr>
        <w:ind w:left="7722" w:hanging="339"/>
      </w:pPr>
      <w:rPr>
        <w:rFonts w:hint="default"/>
        <w:lang w:val="en-US"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
  <w:rsids>
    <w:rsidRoot w:val="00BB3AD6"/>
    <w:rsid w:val="001F6037"/>
    <w:rsid w:val="003B39D2"/>
    <w:rsid w:val="003F50CD"/>
    <w:rsid w:val="0045393C"/>
    <w:rsid w:val="00485255"/>
    <w:rsid w:val="005F1BD9"/>
    <w:rsid w:val="00742F92"/>
    <w:rsid w:val="007C11DE"/>
    <w:rsid w:val="008A4B55"/>
    <w:rsid w:val="00987AC1"/>
    <w:rsid w:val="00BB3AD6"/>
    <w:rsid w:val="00D227A2"/>
    <w:rsid w:val="00E32E62"/>
    <w:rsid w:val="00F633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5" w:hanging="361"/>
      <w:outlineLvl w:val="0"/>
    </w:pPr>
    <w:rPr>
      <w:b/>
      <w:bCs/>
      <w:sz w:val="24"/>
      <w:szCs w:val="24"/>
    </w:rPr>
  </w:style>
  <w:style w:type="paragraph" w:styleId="Heading2">
    <w:name w:val="heading 2"/>
    <w:basedOn w:val="Normal"/>
    <w:uiPriority w:val="1"/>
    <w:qFormat/>
    <w:pPr>
      <w:spacing w:before="40"/>
      <w:ind w:left="20" w:right="16"/>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
    <w:qFormat/>
    <w:pPr>
      <w:spacing w:before="65"/>
      <w:ind w:left="286" w:right="289" w:hanging="1"/>
      <w:jc w:val="center"/>
    </w:pPr>
    <w:rPr>
      <w:b/>
      <w:bCs/>
      <w:sz w:val="28"/>
      <w:szCs w:val="28"/>
    </w:rPr>
  </w:style>
  <w:style w:type="paragraph" w:styleId="ListParagraph">
    <w:name w:val="List Paragraph"/>
    <w:basedOn w:val="Normal"/>
    <w:uiPriority w:val="1"/>
    <w:qFormat/>
    <w:pPr>
      <w:ind w:left="135"/>
      <w:jc w:val="both"/>
    </w:pPr>
  </w:style>
  <w:style w:type="paragraph" w:customStyle="1" w:styleId="TableParagraph">
    <w:name w:val="Table Paragraph"/>
    <w:basedOn w:val="Normal"/>
    <w:uiPriority w:val="1"/>
    <w:qFormat/>
    <w:pPr>
      <w:spacing w:before="41"/>
      <w:jc w:val="center"/>
    </w:pPr>
  </w:style>
  <w:style w:type="paragraph" w:styleId="Header">
    <w:name w:val="header"/>
    <w:basedOn w:val="Normal"/>
    <w:link w:val="HeaderChar"/>
    <w:uiPriority w:val="99"/>
    <w:unhideWhenUsed/>
    <w:rsid w:val="00742F92"/>
    <w:pPr>
      <w:tabs>
        <w:tab w:val="center" w:pos="4680"/>
        <w:tab w:val="right" w:pos="9360"/>
      </w:tabs>
    </w:pPr>
  </w:style>
  <w:style w:type="character" w:customStyle="1" w:styleId="HeaderChar">
    <w:name w:val="Header Char"/>
    <w:basedOn w:val="DefaultParagraphFont"/>
    <w:link w:val="Header"/>
    <w:uiPriority w:val="99"/>
    <w:rsid w:val="00742F92"/>
    <w:rPr>
      <w:rFonts w:ascii="Times New Roman" w:eastAsia="Times New Roman" w:hAnsi="Times New Roman" w:cs="Times New Roman"/>
    </w:rPr>
  </w:style>
  <w:style w:type="paragraph" w:styleId="Footer">
    <w:name w:val="footer"/>
    <w:basedOn w:val="Normal"/>
    <w:link w:val="FooterChar"/>
    <w:uiPriority w:val="99"/>
    <w:unhideWhenUsed/>
    <w:rsid w:val="00742F92"/>
    <w:pPr>
      <w:tabs>
        <w:tab w:val="center" w:pos="4680"/>
        <w:tab w:val="right" w:pos="9360"/>
      </w:tabs>
    </w:pPr>
  </w:style>
  <w:style w:type="character" w:customStyle="1" w:styleId="FooterChar">
    <w:name w:val="Footer Char"/>
    <w:basedOn w:val="DefaultParagraphFont"/>
    <w:link w:val="Footer"/>
    <w:uiPriority w:val="99"/>
    <w:rsid w:val="00742F92"/>
    <w:rPr>
      <w:rFonts w:ascii="Times New Roman" w:eastAsia="Times New Roman" w:hAnsi="Times New Roman" w:cs="Times New Roman"/>
    </w:rPr>
  </w:style>
  <w:style w:type="table" w:styleId="TableGrid">
    <w:name w:val="Table Grid"/>
    <w:basedOn w:val="TableNormal"/>
    <w:uiPriority w:val="59"/>
    <w:rsid w:val="003F50CD"/>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2E62"/>
    <w:rPr>
      <w:rFonts w:ascii="Tahoma" w:hAnsi="Tahoma" w:cs="Tahoma"/>
      <w:sz w:val="16"/>
      <w:szCs w:val="16"/>
    </w:rPr>
  </w:style>
  <w:style w:type="character" w:customStyle="1" w:styleId="BalloonTextChar">
    <w:name w:val="Balloon Text Char"/>
    <w:basedOn w:val="DefaultParagraphFont"/>
    <w:link w:val="BalloonText"/>
    <w:uiPriority w:val="99"/>
    <w:semiHidden/>
    <w:rsid w:val="00E32E62"/>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495" w:hanging="361"/>
      <w:outlineLvl w:val="0"/>
    </w:pPr>
    <w:rPr>
      <w:b/>
      <w:bCs/>
      <w:sz w:val="24"/>
      <w:szCs w:val="24"/>
    </w:rPr>
  </w:style>
  <w:style w:type="paragraph" w:styleId="Heading2">
    <w:name w:val="heading 2"/>
    <w:basedOn w:val="Normal"/>
    <w:uiPriority w:val="1"/>
    <w:qFormat/>
    <w:pPr>
      <w:spacing w:before="40"/>
      <w:ind w:left="20" w:right="16"/>
      <w:jc w:val="center"/>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35"/>
    </w:pPr>
    <w:rPr>
      <w:sz w:val="20"/>
      <w:szCs w:val="20"/>
    </w:rPr>
  </w:style>
  <w:style w:type="paragraph" w:styleId="Title">
    <w:name w:val="Title"/>
    <w:basedOn w:val="Normal"/>
    <w:uiPriority w:val="1"/>
    <w:qFormat/>
    <w:pPr>
      <w:spacing w:before="65"/>
      <w:ind w:left="286" w:right="289" w:hanging="1"/>
      <w:jc w:val="center"/>
    </w:pPr>
    <w:rPr>
      <w:b/>
      <w:bCs/>
      <w:sz w:val="28"/>
      <w:szCs w:val="28"/>
    </w:rPr>
  </w:style>
  <w:style w:type="paragraph" w:styleId="ListParagraph">
    <w:name w:val="List Paragraph"/>
    <w:basedOn w:val="Normal"/>
    <w:uiPriority w:val="1"/>
    <w:qFormat/>
    <w:pPr>
      <w:ind w:left="135"/>
      <w:jc w:val="both"/>
    </w:pPr>
  </w:style>
  <w:style w:type="paragraph" w:customStyle="1" w:styleId="TableParagraph">
    <w:name w:val="Table Paragraph"/>
    <w:basedOn w:val="Normal"/>
    <w:uiPriority w:val="1"/>
    <w:qFormat/>
    <w:pPr>
      <w:spacing w:before="41"/>
      <w:jc w:val="center"/>
    </w:pPr>
  </w:style>
  <w:style w:type="paragraph" w:styleId="Header">
    <w:name w:val="header"/>
    <w:basedOn w:val="Normal"/>
    <w:link w:val="HeaderChar"/>
    <w:uiPriority w:val="99"/>
    <w:unhideWhenUsed/>
    <w:rsid w:val="00742F92"/>
    <w:pPr>
      <w:tabs>
        <w:tab w:val="center" w:pos="4680"/>
        <w:tab w:val="right" w:pos="9360"/>
      </w:tabs>
    </w:pPr>
  </w:style>
  <w:style w:type="character" w:customStyle="1" w:styleId="HeaderChar">
    <w:name w:val="Header Char"/>
    <w:basedOn w:val="DefaultParagraphFont"/>
    <w:link w:val="Header"/>
    <w:uiPriority w:val="99"/>
    <w:rsid w:val="00742F92"/>
    <w:rPr>
      <w:rFonts w:ascii="Times New Roman" w:eastAsia="Times New Roman" w:hAnsi="Times New Roman" w:cs="Times New Roman"/>
    </w:rPr>
  </w:style>
  <w:style w:type="paragraph" w:styleId="Footer">
    <w:name w:val="footer"/>
    <w:basedOn w:val="Normal"/>
    <w:link w:val="FooterChar"/>
    <w:uiPriority w:val="99"/>
    <w:unhideWhenUsed/>
    <w:rsid w:val="00742F92"/>
    <w:pPr>
      <w:tabs>
        <w:tab w:val="center" w:pos="4680"/>
        <w:tab w:val="right" w:pos="9360"/>
      </w:tabs>
    </w:pPr>
  </w:style>
  <w:style w:type="character" w:customStyle="1" w:styleId="FooterChar">
    <w:name w:val="Footer Char"/>
    <w:basedOn w:val="DefaultParagraphFont"/>
    <w:link w:val="Footer"/>
    <w:uiPriority w:val="99"/>
    <w:rsid w:val="00742F92"/>
    <w:rPr>
      <w:rFonts w:ascii="Times New Roman" w:eastAsia="Times New Roman" w:hAnsi="Times New Roman" w:cs="Times New Roman"/>
    </w:rPr>
  </w:style>
  <w:style w:type="table" w:styleId="TableGrid">
    <w:name w:val="Table Grid"/>
    <w:basedOn w:val="TableNormal"/>
    <w:uiPriority w:val="59"/>
    <w:rsid w:val="003F50CD"/>
    <w:pPr>
      <w:widowControl/>
      <w:autoSpaceDE/>
      <w:autoSpaceDN/>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E32E62"/>
    <w:rPr>
      <w:rFonts w:ascii="Tahoma" w:hAnsi="Tahoma" w:cs="Tahoma"/>
      <w:sz w:val="16"/>
      <w:szCs w:val="16"/>
    </w:rPr>
  </w:style>
  <w:style w:type="character" w:customStyle="1" w:styleId="BalloonTextChar">
    <w:name w:val="Balloon Text Char"/>
    <w:basedOn w:val="DefaultParagraphFont"/>
    <w:link w:val="BalloonText"/>
    <w:uiPriority w:val="99"/>
    <w:semiHidden/>
    <w:rsid w:val="00E32E62"/>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 Type="http://schemas.openxmlformats.org/officeDocument/2006/relationships/styles" Target="styles.xml"/><Relationship Id="rId16" Type="http://schemas.openxmlformats.org/officeDocument/2006/relationships/image" Target="media/image9.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image" Target="media/image8.emf"/><Relationship Id="rId10" Type="http://schemas.openxmlformats.org/officeDocument/2006/relationships/image" Target="media/image3.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2948</Words>
  <Characters>16805</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Rampyari</dc:creator>
  <cp:lastModifiedBy>sdrcp 121</cp:lastModifiedBy>
  <cp:revision>2</cp:revision>
  <dcterms:created xsi:type="dcterms:W3CDTF">2024-02-06T07:14:00Z</dcterms:created>
  <dcterms:modified xsi:type="dcterms:W3CDTF">2024-02-06T07:14:00Z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2023-10-10T00:00:00Z</vt:filetime>
  </property>
  <property fmtid="{D5CDD505-2E9C-101B-9397-08002B2CF9AE}" pid="3" name="Creator">
    <vt:lpwstr>Microsoft® Word 2021</vt:lpwstr>
  </property>
  <property fmtid="{D5CDD505-2E9C-101B-9397-08002B2CF9AE}" pid="4" name="LastSaved">
    <vt:filetime>2024-02-05T00:00:00Z</vt:filetime>
  </property>
</Properties>
</file>