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00CA5E" w14:textId="593A5390" w:rsidR="00B465CF" w:rsidRPr="00653748" w:rsidRDefault="003C1AE5" w:rsidP="003C1AE5">
      <w:pPr>
        <w:spacing w:after="0" w:line="240" w:lineRule="auto"/>
        <w:jc w:val="center"/>
        <w:rPr>
          <w:rFonts w:ascii="Arial" w:hAnsi="Arial" w:cs="Arial"/>
          <w:b/>
          <w:bCs/>
        </w:rPr>
      </w:pPr>
      <w:r w:rsidRPr="00653748">
        <w:rPr>
          <w:rFonts w:ascii="Arial" w:hAnsi="Arial" w:cs="Arial"/>
          <w:b/>
          <w:bCs/>
        </w:rPr>
        <w:t xml:space="preserve">GREEN SPACES </w:t>
      </w:r>
      <w:r w:rsidR="00653748">
        <w:rPr>
          <w:rFonts w:ascii="Arial" w:hAnsi="Arial" w:cs="Arial"/>
          <w:b/>
          <w:bCs/>
        </w:rPr>
        <w:t>REQUIREMENTS</w:t>
      </w:r>
      <w:r w:rsidRPr="00653748">
        <w:rPr>
          <w:rFonts w:ascii="Arial" w:hAnsi="Arial" w:cs="Arial"/>
          <w:b/>
          <w:bCs/>
        </w:rPr>
        <w:t xml:space="preserve"> IN DAVAO CITY</w:t>
      </w:r>
      <w:r w:rsidR="001A636A">
        <w:rPr>
          <w:rFonts w:ascii="Arial" w:hAnsi="Arial" w:cs="Arial"/>
          <w:b/>
          <w:bCs/>
        </w:rPr>
        <w:t>: A SYSTEMATIC REVIEW</w:t>
      </w:r>
    </w:p>
    <w:p w14:paraId="58368CDD" w14:textId="77777777" w:rsidR="003C1AE5" w:rsidRPr="00653748" w:rsidRDefault="003C1AE5" w:rsidP="003C1AE5">
      <w:pPr>
        <w:spacing w:after="0" w:line="240" w:lineRule="auto"/>
        <w:jc w:val="center"/>
        <w:rPr>
          <w:rFonts w:ascii="Arial" w:hAnsi="Arial" w:cs="Arial"/>
          <w:b/>
          <w:bCs/>
        </w:rPr>
      </w:pPr>
    </w:p>
    <w:p w14:paraId="49E71FBF" w14:textId="07EA342C" w:rsidR="003C1AE5" w:rsidRPr="00653748" w:rsidRDefault="003C1AE5" w:rsidP="003C1AE5">
      <w:pPr>
        <w:spacing w:after="0" w:line="240" w:lineRule="auto"/>
        <w:jc w:val="center"/>
        <w:rPr>
          <w:rFonts w:ascii="Arial" w:hAnsi="Arial" w:cs="Arial"/>
        </w:rPr>
      </w:pPr>
      <w:r w:rsidRPr="00653748">
        <w:rPr>
          <w:rFonts w:ascii="Arial" w:hAnsi="Arial" w:cs="Arial"/>
        </w:rPr>
        <w:t xml:space="preserve">Mercedita T. </w:t>
      </w:r>
      <w:proofErr w:type="spellStart"/>
      <w:r w:rsidRPr="00653748">
        <w:rPr>
          <w:rFonts w:ascii="Arial" w:hAnsi="Arial" w:cs="Arial"/>
        </w:rPr>
        <w:t>Pantujan</w:t>
      </w:r>
      <w:proofErr w:type="spellEnd"/>
    </w:p>
    <w:p w14:paraId="621670C4" w14:textId="60274036" w:rsidR="003C1AE5" w:rsidRPr="00653748" w:rsidRDefault="003C1AE5" w:rsidP="003C1AE5">
      <w:pPr>
        <w:spacing w:after="0" w:line="240" w:lineRule="auto"/>
        <w:jc w:val="center"/>
        <w:rPr>
          <w:rFonts w:ascii="Arial" w:hAnsi="Arial" w:cs="Arial"/>
        </w:rPr>
      </w:pPr>
      <w:r w:rsidRPr="00653748">
        <w:rPr>
          <w:rFonts w:ascii="Arial" w:hAnsi="Arial" w:cs="Arial"/>
        </w:rPr>
        <w:t>ORCID Number 0009-0002-1375-1308</w:t>
      </w:r>
    </w:p>
    <w:p w14:paraId="4712815B" w14:textId="1630E6F0" w:rsidR="003C1AE5" w:rsidRPr="00653748" w:rsidRDefault="003C1AE5" w:rsidP="003C1AE5">
      <w:pPr>
        <w:spacing w:after="0" w:line="240" w:lineRule="auto"/>
        <w:jc w:val="center"/>
        <w:rPr>
          <w:rFonts w:ascii="Arial" w:hAnsi="Arial" w:cs="Arial"/>
        </w:rPr>
      </w:pPr>
      <w:r w:rsidRPr="00653748">
        <w:rPr>
          <w:rFonts w:ascii="Arial" w:hAnsi="Arial" w:cs="Arial"/>
        </w:rPr>
        <w:t>Graduate School of Development Management-University of Southeastern Philippines</w:t>
      </w:r>
    </w:p>
    <w:p w14:paraId="2DE3F7AD" w14:textId="22194828" w:rsidR="003C1AE5" w:rsidRPr="00653748" w:rsidRDefault="003C1AE5" w:rsidP="003C1AE5">
      <w:pPr>
        <w:spacing w:after="0" w:line="240" w:lineRule="auto"/>
        <w:jc w:val="center"/>
        <w:rPr>
          <w:rFonts w:ascii="Arial" w:hAnsi="Arial" w:cs="Arial"/>
        </w:rPr>
      </w:pPr>
      <w:r w:rsidRPr="00653748">
        <w:rPr>
          <w:rFonts w:ascii="Arial" w:hAnsi="Arial" w:cs="Arial"/>
        </w:rPr>
        <w:t>Davao City, Philippines</w:t>
      </w:r>
    </w:p>
    <w:p w14:paraId="637E1FC5" w14:textId="77777777" w:rsidR="003C1AE5" w:rsidRPr="00653748" w:rsidRDefault="003C1AE5" w:rsidP="003C1AE5">
      <w:pPr>
        <w:spacing w:after="0" w:line="240" w:lineRule="auto"/>
        <w:jc w:val="center"/>
        <w:rPr>
          <w:rFonts w:ascii="Arial" w:hAnsi="Arial" w:cs="Arial"/>
        </w:rPr>
      </w:pPr>
    </w:p>
    <w:p w14:paraId="22F3D9E2" w14:textId="4C33F127" w:rsidR="003C1AE5" w:rsidRPr="00653748" w:rsidRDefault="003C1AE5" w:rsidP="003C1AE5">
      <w:pPr>
        <w:spacing w:after="0" w:line="240" w:lineRule="auto"/>
        <w:jc w:val="center"/>
        <w:rPr>
          <w:rFonts w:ascii="Arial" w:hAnsi="Arial" w:cs="Arial"/>
          <w:b/>
          <w:bCs/>
        </w:rPr>
      </w:pPr>
      <w:r w:rsidRPr="00653748">
        <w:rPr>
          <w:rFonts w:ascii="Arial" w:hAnsi="Arial" w:cs="Arial"/>
          <w:b/>
          <w:bCs/>
        </w:rPr>
        <w:t>Abstract</w:t>
      </w:r>
    </w:p>
    <w:p w14:paraId="046B0DFE" w14:textId="77777777" w:rsidR="00EC7C56" w:rsidRPr="00653748" w:rsidRDefault="00EC7C56" w:rsidP="003C1AE5">
      <w:pPr>
        <w:spacing w:after="0" w:line="240" w:lineRule="auto"/>
        <w:jc w:val="center"/>
        <w:rPr>
          <w:rFonts w:ascii="Arial" w:hAnsi="Arial" w:cs="Arial"/>
          <w:b/>
          <w:bCs/>
        </w:rPr>
      </w:pPr>
    </w:p>
    <w:p w14:paraId="3B660A13" w14:textId="5521744A" w:rsidR="00EC7C56" w:rsidRPr="00653748" w:rsidRDefault="00EC7C56" w:rsidP="00EC7C56">
      <w:pPr>
        <w:spacing w:after="0" w:line="240" w:lineRule="auto"/>
        <w:jc w:val="both"/>
        <w:rPr>
          <w:rFonts w:ascii="Arial" w:hAnsi="Arial" w:cs="Arial"/>
        </w:rPr>
      </w:pPr>
      <w:r w:rsidRPr="00653748">
        <w:rPr>
          <w:rFonts w:ascii="Arial" w:hAnsi="Arial" w:cs="Arial"/>
        </w:rPr>
        <w:t xml:space="preserve">This study investigates the essential elements for developing more green spaces within Davao City.  A comprehensive </w:t>
      </w:r>
      <w:r w:rsidR="00406DC6" w:rsidRPr="00653748">
        <w:rPr>
          <w:rFonts w:ascii="Arial" w:hAnsi="Arial" w:cs="Arial"/>
        </w:rPr>
        <w:t>literature review</w:t>
      </w:r>
      <w:r w:rsidRPr="00653748">
        <w:rPr>
          <w:rFonts w:ascii="Arial" w:hAnsi="Arial" w:cs="Arial"/>
        </w:rPr>
        <w:t xml:space="preserve"> was conducted, employing a rigorous and systematic approach.  The findings highlight the multifaceted benefits of urban green spaces, encompassing ecological advantages, social enhancements, and economic opportunities.  Furthermore, the study addresses the challenges encountered </w:t>
      </w:r>
      <w:r w:rsidR="005B3059">
        <w:rPr>
          <w:rFonts w:ascii="Arial" w:hAnsi="Arial" w:cs="Arial"/>
        </w:rPr>
        <w:t>while implementing</w:t>
      </w:r>
      <w:r w:rsidRPr="00653748">
        <w:rPr>
          <w:rFonts w:ascii="Arial" w:hAnsi="Arial" w:cs="Arial"/>
        </w:rPr>
        <w:t xml:space="preserve"> these green initiatives.  </w:t>
      </w:r>
      <w:r w:rsidR="00406DC6" w:rsidRPr="00653748">
        <w:rPr>
          <w:rFonts w:ascii="Arial" w:hAnsi="Arial" w:cs="Arial"/>
        </w:rPr>
        <w:t>The study proposes practical strategies for effective urban planning in Davao City based on the evidence gathered</w:t>
      </w:r>
      <w:r w:rsidRPr="00653748">
        <w:rPr>
          <w:rFonts w:ascii="Arial" w:hAnsi="Arial" w:cs="Arial"/>
        </w:rPr>
        <w:t>.  With the ongoing acceleration of urbanization, a thorough understanding of these factors is paramount for creating a healthier and more sustainable living environment for the residents of Davao City.</w:t>
      </w:r>
    </w:p>
    <w:p w14:paraId="427BF301" w14:textId="07B4DFFB" w:rsidR="00EC7C56" w:rsidRPr="00653748" w:rsidRDefault="00B510B1" w:rsidP="00EC7C56">
      <w:pPr>
        <w:spacing w:after="0" w:line="240" w:lineRule="auto"/>
        <w:jc w:val="both"/>
        <w:rPr>
          <w:rFonts w:ascii="Arial" w:hAnsi="Arial" w:cs="Arial"/>
        </w:rPr>
      </w:pPr>
      <w:r w:rsidRPr="00653748">
        <w:rPr>
          <w:rFonts w:ascii="Arial" w:hAnsi="Arial" w:cs="Arial"/>
        </w:rPr>
        <w:t>Keywords: green spaces, urban planning, sustainability, PRISMA</w:t>
      </w:r>
    </w:p>
    <w:p w14:paraId="7E3F4AEA" w14:textId="77777777" w:rsidR="00261B4C" w:rsidRPr="00653748" w:rsidRDefault="00261B4C" w:rsidP="00261B4C">
      <w:pPr>
        <w:pBdr>
          <w:bottom w:val="single" w:sz="4" w:space="1" w:color="auto"/>
        </w:pBdr>
        <w:spacing w:after="0" w:line="240" w:lineRule="auto"/>
        <w:jc w:val="both"/>
        <w:rPr>
          <w:rFonts w:ascii="Arial" w:hAnsi="Arial" w:cs="Arial"/>
          <w:u w:val="thick"/>
        </w:rPr>
      </w:pPr>
    </w:p>
    <w:p w14:paraId="12098896" w14:textId="77777777" w:rsidR="00261B4C" w:rsidRPr="00653748" w:rsidRDefault="00261B4C" w:rsidP="00261B4C">
      <w:pPr>
        <w:pStyle w:val="ListParagraph"/>
        <w:spacing w:after="0" w:line="240" w:lineRule="auto"/>
        <w:ind w:left="284"/>
        <w:jc w:val="both"/>
        <w:rPr>
          <w:rFonts w:ascii="Arial" w:hAnsi="Arial" w:cs="Arial"/>
          <w:b/>
          <w:bCs/>
        </w:rPr>
      </w:pPr>
    </w:p>
    <w:p w14:paraId="5E21F799" w14:textId="21D8B7A2" w:rsidR="00EC7C56" w:rsidRDefault="00EF5940" w:rsidP="00EC7C56">
      <w:pPr>
        <w:pStyle w:val="ListParagraph"/>
        <w:numPr>
          <w:ilvl w:val="0"/>
          <w:numId w:val="1"/>
        </w:numPr>
        <w:spacing w:after="0" w:line="240" w:lineRule="auto"/>
        <w:ind w:left="284" w:hanging="284"/>
        <w:jc w:val="both"/>
        <w:rPr>
          <w:rFonts w:ascii="Arial" w:hAnsi="Arial" w:cs="Arial"/>
          <w:b/>
          <w:bCs/>
        </w:rPr>
      </w:pPr>
      <w:r w:rsidRPr="00653748">
        <w:rPr>
          <w:rFonts w:ascii="Arial" w:hAnsi="Arial" w:cs="Arial"/>
          <w:b/>
          <w:bCs/>
        </w:rPr>
        <w:t>INTRODUCTION</w:t>
      </w:r>
    </w:p>
    <w:p w14:paraId="2E60EF2C" w14:textId="77777777" w:rsidR="005D24DF" w:rsidRPr="00653748" w:rsidRDefault="005D24DF" w:rsidP="005D24DF">
      <w:pPr>
        <w:pStyle w:val="ListParagraph"/>
        <w:spacing w:after="0" w:line="240" w:lineRule="auto"/>
        <w:ind w:left="284"/>
        <w:jc w:val="both"/>
        <w:rPr>
          <w:rFonts w:ascii="Arial" w:hAnsi="Arial" w:cs="Arial"/>
          <w:b/>
          <w:bCs/>
        </w:rPr>
      </w:pPr>
    </w:p>
    <w:p w14:paraId="25583C75" w14:textId="5F0EDDFB" w:rsidR="00B4236C" w:rsidRDefault="008C285A" w:rsidP="00EF5940">
      <w:pPr>
        <w:pStyle w:val="ListParagraph"/>
        <w:spacing w:after="0" w:line="240" w:lineRule="auto"/>
        <w:ind w:left="0"/>
        <w:jc w:val="both"/>
        <w:rPr>
          <w:rFonts w:ascii="Arial" w:hAnsi="Arial" w:cs="Arial"/>
        </w:rPr>
      </w:pPr>
      <w:r w:rsidRPr="00653748">
        <w:rPr>
          <w:rFonts w:ascii="Arial" w:hAnsi="Arial" w:cs="Arial"/>
        </w:rPr>
        <w:t xml:space="preserve">Green spaces are essential </w:t>
      </w:r>
      <w:r w:rsidR="00406DC6" w:rsidRPr="00653748">
        <w:rPr>
          <w:rFonts w:ascii="Arial" w:hAnsi="Arial" w:cs="Arial"/>
        </w:rPr>
        <w:t>to</w:t>
      </w:r>
      <w:r w:rsidRPr="00653748">
        <w:rPr>
          <w:rFonts w:ascii="Arial" w:hAnsi="Arial" w:cs="Arial"/>
        </w:rPr>
        <w:t xml:space="preserve"> urban environments, enhancing environmental health, promoting social well-being, and fostering economic vitality. In Davao City, the significance of incorporating green spaces </w:t>
      </w:r>
      <w:proofErr w:type="gramStart"/>
      <w:r w:rsidRPr="00653748">
        <w:rPr>
          <w:rFonts w:ascii="Arial" w:hAnsi="Arial" w:cs="Arial"/>
        </w:rPr>
        <w:t>is</w:t>
      </w:r>
      <w:proofErr w:type="gramEnd"/>
      <w:r w:rsidRPr="00653748">
        <w:rPr>
          <w:rFonts w:ascii="Arial" w:hAnsi="Arial" w:cs="Arial"/>
        </w:rPr>
        <w:t xml:space="preserve"> underscored by the Comprehensive Land Use Plan (CLUP) for 2019-2028, which mandates the inclusion of green areas in urban development projects and establishes specific zoning ordinances that require developers to allocate designated green spaces within their plans. These spaces not only contribute to ecological sustainability but also enhance the quality of life for residents by providing recreational opportunities and improving public health (</w:t>
      </w:r>
      <w:proofErr w:type="spellStart"/>
      <w:r w:rsidRPr="00653748">
        <w:rPr>
          <w:rFonts w:ascii="Arial" w:hAnsi="Arial" w:cs="Arial"/>
        </w:rPr>
        <w:t>Chiesura</w:t>
      </w:r>
      <w:proofErr w:type="spellEnd"/>
      <w:r w:rsidRPr="00653748">
        <w:rPr>
          <w:rFonts w:ascii="Arial" w:hAnsi="Arial" w:cs="Arial"/>
        </w:rPr>
        <w:t xml:space="preserve">, 2021; Lemos &amp; Agrawal, 2006). However, despite these clear benefits and the regulatory framework in place, Davao City faces considerable challenges in enforcing green space requirements. </w:t>
      </w:r>
      <w:r w:rsidR="005B3059">
        <w:rPr>
          <w:rFonts w:ascii="Arial" w:hAnsi="Arial" w:cs="Arial"/>
        </w:rPr>
        <w:t>Weak</w:t>
      </w:r>
      <w:r w:rsidRPr="00653748">
        <w:rPr>
          <w:rFonts w:ascii="Arial" w:hAnsi="Arial" w:cs="Arial"/>
        </w:rPr>
        <w:t xml:space="preserve"> institutional capacity, limited public awareness, and insufficient </w:t>
      </w:r>
      <w:r w:rsidR="00406DC6" w:rsidRPr="00653748">
        <w:rPr>
          <w:rFonts w:ascii="Arial" w:hAnsi="Arial" w:cs="Arial"/>
        </w:rPr>
        <w:t>stakeholder collaboration</w:t>
      </w:r>
      <w:r w:rsidRPr="00653748">
        <w:rPr>
          <w:rFonts w:ascii="Arial" w:hAnsi="Arial" w:cs="Arial"/>
        </w:rPr>
        <w:t xml:space="preserve"> hinder effective implementation (PIDS, 2018; Bulkeley &amp; Betsill, 2015). Additionally, urban sprawl poses significant threats to </w:t>
      </w:r>
      <w:r w:rsidR="00406DC6" w:rsidRPr="00653748">
        <w:rPr>
          <w:rFonts w:ascii="Arial" w:hAnsi="Arial" w:cs="Arial"/>
        </w:rPr>
        <w:t>preserving</w:t>
      </w:r>
      <w:r w:rsidRPr="00653748">
        <w:rPr>
          <w:rFonts w:ascii="Arial" w:hAnsi="Arial" w:cs="Arial"/>
        </w:rPr>
        <w:t xml:space="preserve"> these crucial areas, further complicating compliance with zoning ordinances (Jim &amp; Chen, 2022). This systematic review aims to synthesize existing literature on the enforcement of green space requirements in Davao City, focusing on the challenges identified, the mechanisms of enforcement, and potential strategies for improvement. By following the PRISMA guidelines, this review seeks to provide a comprehensive and transparent overview of the current state of green space compliance, ultimately contributing to more effective urban planning and governance.</w:t>
      </w:r>
    </w:p>
    <w:p w14:paraId="14B806A6" w14:textId="77777777" w:rsidR="00653748" w:rsidRPr="00653748" w:rsidRDefault="00653748" w:rsidP="00EF5940">
      <w:pPr>
        <w:pStyle w:val="ListParagraph"/>
        <w:spacing w:after="0" w:line="240" w:lineRule="auto"/>
        <w:ind w:left="0"/>
        <w:jc w:val="both"/>
        <w:rPr>
          <w:rFonts w:ascii="Arial" w:hAnsi="Arial" w:cs="Arial"/>
        </w:rPr>
      </w:pPr>
    </w:p>
    <w:p w14:paraId="6372C265" w14:textId="41960137" w:rsidR="00635AF8" w:rsidRDefault="00635AF8" w:rsidP="00635AF8">
      <w:pPr>
        <w:pStyle w:val="ListParagraph"/>
        <w:numPr>
          <w:ilvl w:val="0"/>
          <w:numId w:val="1"/>
        </w:numPr>
        <w:spacing w:after="0" w:line="240" w:lineRule="auto"/>
        <w:ind w:left="284" w:hanging="284"/>
        <w:jc w:val="both"/>
        <w:rPr>
          <w:rFonts w:ascii="Arial" w:hAnsi="Arial" w:cs="Arial"/>
          <w:b/>
          <w:bCs/>
        </w:rPr>
      </w:pPr>
      <w:r w:rsidRPr="00653748">
        <w:rPr>
          <w:rFonts w:ascii="Arial" w:hAnsi="Arial" w:cs="Arial"/>
          <w:b/>
          <w:bCs/>
        </w:rPr>
        <w:t>METHODOLOGY</w:t>
      </w:r>
    </w:p>
    <w:p w14:paraId="05A34674" w14:textId="77777777" w:rsidR="005D24DF" w:rsidRPr="00653748" w:rsidRDefault="005D24DF" w:rsidP="005D24DF">
      <w:pPr>
        <w:pStyle w:val="ListParagraph"/>
        <w:spacing w:after="0" w:line="240" w:lineRule="auto"/>
        <w:ind w:left="284"/>
        <w:jc w:val="both"/>
        <w:rPr>
          <w:rFonts w:ascii="Arial" w:hAnsi="Arial" w:cs="Arial"/>
          <w:b/>
          <w:bCs/>
        </w:rPr>
      </w:pPr>
    </w:p>
    <w:p w14:paraId="4964D548" w14:textId="5987E968" w:rsidR="004933A1" w:rsidRDefault="004933A1" w:rsidP="00EE2244">
      <w:pPr>
        <w:pStyle w:val="ListParagraph"/>
        <w:spacing w:after="0" w:line="240" w:lineRule="auto"/>
        <w:ind w:left="0"/>
        <w:jc w:val="both"/>
        <w:rPr>
          <w:rFonts w:ascii="Arial" w:hAnsi="Arial" w:cs="Arial"/>
          <w:b/>
          <w:bCs/>
        </w:rPr>
      </w:pPr>
      <w:r w:rsidRPr="00653748">
        <w:rPr>
          <w:rFonts w:ascii="Arial" w:hAnsi="Arial" w:cs="Arial"/>
          <w:b/>
          <w:bCs/>
        </w:rPr>
        <w:t>Eligibility Criteria</w:t>
      </w:r>
    </w:p>
    <w:p w14:paraId="2B59B3A3" w14:textId="77777777" w:rsidR="005D24DF" w:rsidRPr="00653748" w:rsidRDefault="005D24DF" w:rsidP="00EE2244">
      <w:pPr>
        <w:pStyle w:val="ListParagraph"/>
        <w:spacing w:after="0" w:line="240" w:lineRule="auto"/>
        <w:ind w:left="0"/>
        <w:jc w:val="both"/>
        <w:rPr>
          <w:rFonts w:ascii="Arial" w:hAnsi="Arial" w:cs="Arial"/>
          <w:b/>
          <w:bCs/>
        </w:rPr>
      </w:pPr>
    </w:p>
    <w:p w14:paraId="0A364FA6" w14:textId="4BB32F0E" w:rsidR="00EE2244" w:rsidRDefault="005D24DF" w:rsidP="00EE2244">
      <w:pPr>
        <w:pStyle w:val="ListParagraph"/>
        <w:spacing w:after="0" w:line="240" w:lineRule="auto"/>
        <w:ind w:left="0"/>
        <w:jc w:val="both"/>
        <w:rPr>
          <w:rFonts w:ascii="Arial" w:hAnsi="Arial" w:cs="Arial"/>
        </w:rPr>
      </w:pPr>
      <w:r>
        <w:rPr>
          <w:rFonts w:ascii="Arial" w:hAnsi="Arial" w:cs="Arial"/>
        </w:rPr>
        <w:t>The selection of studies for this review adhered to specific criteria to ensure a comprehensive and reliable analysis</w:t>
      </w:r>
      <w:r w:rsidR="004933A1" w:rsidRPr="00653748">
        <w:rPr>
          <w:rFonts w:ascii="Arial" w:hAnsi="Arial" w:cs="Arial"/>
        </w:rPr>
        <w:t>.  Studies were included if they focused on urban green spaces within Davao City o</w:t>
      </w:r>
      <w:r w:rsidR="00B510B1" w:rsidRPr="00653748">
        <w:rPr>
          <w:rFonts w:ascii="Arial" w:hAnsi="Arial" w:cs="Arial"/>
        </w:rPr>
        <w:t>r</w:t>
      </w:r>
      <w:r w:rsidR="004933A1" w:rsidRPr="00653748">
        <w:rPr>
          <w:rFonts w:ascii="Arial" w:hAnsi="Arial" w:cs="Arial"/>
        </w:rPr>
        <w:t xml:space="preserve"> in comparable contexts, examined the social, economic, and environmental impacts of these spaces, and employed either qualitative or quantitative methodologies.  This careful selection process is important because it helps ensure that findings are accurate and reliable</w:t>
      </w:r>
      <w:r w:rsidR="00B510B1" w:rsidRPr="00653748">
        <w:rPr>
          <w:rFonts w:ascii="Arial" w:hAnsi="Arial" w:cs="Arial"/>
        </w:rPr>
        <w:t>.</w:t>
      </w:r>
      <w:r w:rsidR="00EE2244" w:rsidRPr="00653748">
        <w:rPr>
          <w:rFonts w:ascii="Arial" w:hAnsi="Arial" w:cs="Arial"/>
        </w:rPr>
        <w:t xml:space="preserve"> </w:t>
      </w:r>
    </w:p>
    <w:p w14:paraId="09C47AF8" w14:textId="77777777" w:rsidR="00C52FEB" w:rsidRDefault="00C52FEB" w:rsidP="00EE2244">
      <w:pPr>
        <w:pStyle w:val="ListParagraph"/>
        <w:spacing w:after="0" w:line="240" w:lineRule="auto"/>
        <w:ind w:left="0"/>
        <w:jc w:val="both"/>
        <w:rPr>
          <w:rFonts w:ascii="Arial" w:hAnsi="Arial" w:cs="Arial"/>
        </w:rPr>
      </w:pPr>
    </w:p>
    <w:p w14:paraId="22C86130" w14:textId="77777777" w:rsidR="00C52FEB" w:rsidRPr="00653748" w:rsidRDefault="00C52FEB" w:rsidP="00EE2244">
      <w:pPr>
        <w:pStyle w:val="ListParagraph"/>
        <w:spacing w:after="0" w:line="240" w:lineRule="auto"/>
        <w:ind w:left="0"/>
        <w:jc w:val="both"/>
        <w:rPr>
          <w:rFonts w:ascii="Arial" w:hAnsi="Arial" w:cs="Arial"/>
        </w:rPr>
      </w:pPr>
    </w:p>
    <w:p w14:paraId="108CA4E9" w14:textId="4C0F9678" w:rsidR="00635AF8" w:rsidRDefault="00B510B1" w:rsidP="00635AF8">
      <w:pPr>
        <w:pStyle w:val="ListParagraph"/>
        <w:spacing w:after="0" w:line="240" w:lineRule="auto"/>
        <w:ind w:left="0"/>
        <w:jc w:val="both"/>
        <w:rPr>
          <w:rFonts w:ascii="Arial" w:hAnsi="Arial" w:cs="Arial"/>
          <w:b/>
          <w:bCs/>
        </w:rPr>
      </w:pPr>
      <w:r w:rsidRPr="00653748">
        <w:rPr>
          <w:rFonts w:ascii="Arial" w:hAnsi="Arial" w:cs="Arial"/>
          <w:b/>
          <w:bCs/>
        </w:rPr>
        <w:t>Information Sources</w:t>
      </w:r>
    </w:p>
    <w:p w14:paraId="1F632665" w14:textId="77777777" w:rsidR="005D24DF" w:rsidRPr="00653748" w:rsidRDefault="005D24DF" w:rsidP="00635AF8">
      <w:pPr>
        <w:pStyle w:val="ListParagraph"/>
        <w:spacing w:after="0" w:line="240" w:lineRule="auto"/>
        <w:ind w:left="0"/>
        <w:jc w:val="both"/>
        <w:rPr>
          <w:rFonts w:ascii="Arial" w:hAnsi="Arial" w:cs="Arial"/>
          <w:b/>
          <w:bCs/>
        </w:rPr>
      </w:pPr>
    </w:p>
    <w:p w14:paraId="636F8B7C" w14:textId="6C7DB0B8" w:rsidR="006D2BEC" w:rsidRPr="00653748" w:rsidRDefault="006D2BEC" w:rsidP="00635AF8">
      <w:pPr>
        <w:pStyle w:val="ListParagraph"/>
        <w:spacing w:after="0" w:line="240" w:lineRule="auto"/>
        <w:ind w:left="0"/>
        <w:jc w:val="both"/>
        <w:rPr>
          <w:rFonts w:ascii="Arial" w:hAnsi="Arial" w:cs="Arial"/>
          <w:b/>
          <w:bCs/>
        </w:rPr>
      </w:pPr>
      <w:r w:rsidRPr="00653748">
        <w:rPr>
          <w:rFonts w:ascii="Arial" w:hAnsi="Arial" w:cs="Arial"/>
        </w:rPr>
        <w:t>This study utilized various sources, including reports from reputable organizations, peer-reviewed journals, government publications, and academic databases. The search for information employed keywords such as 'sustainable urban planning,' 'benefits of urban parks,' and 'green spaces in Davao City’. To refine the search results, Boolean operators like AND, OR, and NOT were utilized, following a methodology similar to that employed in Garcia's 2023 study. This rigorous approach ensured the collection of comprehensive and relevant data for the research.</w:t>
      </w:r>
    </w:p>
    <w:p w14:paraId="21CC20F2" w14:textId="77777777" w:rsidR="005D24DF" w:rsidRDefault="005D24DF" w:rsidP="00EF5940">
      <w:pPr>
        <w:pStyle w:val="ListParagraph"/>
        <w:spacing w:after="0" w:line="240" w:lineRule="auto"/>
        <w:ind w:left="0"/>
        <w:jc w:val="both"/>
        <w:rPr>
          <w:rFonts w:ascii="Arial" w:hAnsi="Arial" w:cs="Arial"/>
          <w:b/>
          <w:bCs/>
        </w:rPr>
      </w:pPr>
    </w:p>
    <w:p w14:paraId="68C4FD6B" w14:textId="6A3C2E61" w:rsidR="007076F7" w:rsidRDefault="007076F7" w:rsidP="00EF5940">
      <w:pPr>
        <w:pStyle w:val="ListParagraph"/>
        <w:spacing w:after="0" w:line="240" w:lineRule="auto"/>
        <w:ind w:left="0"/>
        <w:jc w:val="both"/>
        <w:rPr>
          <w:rFonts w:ascii="Arial" w:hAnsi="Arial" w:cs="Arial"/>
          <w:b/>
          <w:bCs/>
        </w:rPr>
      </w:pPr>
      <w:r w:rsidRPr="00653748">
        <w:rPr>
          <w:rFonts w:ascii="Arial" w:hAnsi="Arial" w:cs="Arial"/>
          <w:b/>
          <w:bCs/>
        </w:rPr>
        <w:t>Study Selection</w:t>
      </w:r>
    </w:p>
    <w:p w14:paraId="62657018" w14:textId="77777777" w:rsidR="005D24DF" w:rsidRPr="00653748" w:rsidRDefault="005D24DF" w:rsidP="00EF5940">
      <w:pPr>
        <w:pStyle w:val="ListParagraph"/>
        <w:spacing w:after="0" w:line="240" w:lineRule="auto"/>
        <w:ind w:left="0"/>
        <w:jc w:val="both"/>
        <w:rPr>
          <w:rFonts w:ascii="Arial" w:hAnsi="Arial" w:cs="Arial"/>
          <w:b/>
          <w:bCs/>
        </w:rPr>
      </w:pPr>
    </w:p>
    <w:p w14:paraId="40C8CB3E" w14:textId="01C3D6A9" w:rsidR="00EC7C56" w:rsidRDefault="007076F7" w:rsidP="00EC7C56">
      <w:pPr>
        <w:spacing w:after="0" w:line="240" w:lineRule="auto"/>
        <w:jc w:val="both"/>
        <w:rPr>
          <w:rFonts w:ascii="Arial" w:hAnsi="Arial" w:cs="Arial"/>
        </w:rPr>
      </w:pPr>
      <w:r w:rsidRPr="00653748">
        <w:rPr>
          <w:rFonts w:ascii="Arial" w:hAnsi="Arial" w:cs="Arial"/>
        </w:rPr>
        <w:t xml:space="preserve">The study selection process began with an extensive search </w:t>
      </w:r>
      <w:r w:rsidR="005B3059">
        <w:rPr>
          <w:rFonts w:ascii="Arial" w:hAnsi="Arial" w:cs="Arial"/>
        </w:rPr>
        <w:t>identifying</w:t>
      </w:r>
      <w:r w:rsidRPr="00653748">
        <w:rPr>
          <w:rFonts w:ascii="Arial" w:hAnsi="Arial" w:cs="Arial"/>
        </w:rPr>
        <w:t xml:space="preserve"> 150 articles related to green spaces in Davao City. A thorough examination revealed that 95 articles were duplicates or did not align closely with the research objectives. This initial filtering was crucial to ensure the inclusion of only the most relevant literature. Following this, 55 studies remained for further evaluation, focusing on their methodologies, findings, and contributions to understanding green spaces within the urban context of Davao City.</w:t>
      </w:r>
    </w:p>
    <w:p w14:paraId="5A147EAF" w14:textId="77777777" w:rsidR="005B3059" w:rsidRPr="00653748" w:rsidRDefault="005B3059" w:rsidP="00EC7C56">
      <w:pPr>
        <w:spacing w:after="0" w:line="240" w:lineRule="auto"/>
        <w:jc w:val="both"/>
        <w:rPr>
          <w:rFonts w:ascii="Arial" w:hAnsi="Arial" w:cs="Arial"/>
        </w:rPr>
      </w:pPr>
    </w:p>
    <w:p w14:paraId="4EF8A5C5" w14:textId="73E9AD50" w:rsidR="007076F7" w:rsidRDefault="007076F7" w:rsidP="00EC7C56">
      <w:pPr>
        <w:spacing w:after="0" w:line="240" w:lineRule="auto"/>
        <w:jc w:val="both"/>
        <w:rPr>
          <w:rFonts w:ascii="Arial" w:hAnsi="Arial" w:cs="Arial"/>
        </w:rPr>
      </w:pPr>
      <w:r w:rsidRPr="00653748">
        <w:rPr>
          <w:rFonts w:ascii="Arial" w:hAnsi="Arial" w:cs="Arial"/>
        </w:rPr>
        <w:t>Ultimately, 25 studies met the established eligibility criteria and were included in the final analysis. This selection process adhered to the systematic approach recommended by the PRISMA guidelines, which aim to enhance transparency and reproducibility in systematic reviews. By following these guidelines, the review is grounded in reliable and relevant research, facilitating meaningful insights into the requirements for effective green space planning.</w:t>
      </w:r>
    </w:p>
    <w:p w14:paraId="248DAE8A" w14:textId="77777777" w:rsidR="005B3059" w:rsidRPr="00653748" w:rsidRDefault="005B3059" w:rsidP="00EC7C56">
      <w:pPr>
        <w:spacing w:after="0" w:line="240" w:lineRule="auto"/>
        <w:jc w:val="both"/>
        <w:rPr>
          <w:rFonts w:ascii="Arial" w:hAnsi="Arial" w:cs="Arial"/>
        </w:rPr>
      </w:pPr>
    </w:p>
    <w:p w14:paraId="0230683A" w14:textId="5D189F4F" w:rsidR="007076F7" w:rsidRDefault="007076F7" w:rsidP="007076F7">
      <w:pPr>
        <w:spacing w:after="0" w:line="240" w:lineRule="auto"/>
        <w:jc w:val="both"/>
        <w:rPr>
          <w:rFonts w:ascii="Arial" w:hAnsi="Arial" w:cs="Arial"/>
        </w:rPr>
      </w:pPr>
      <w:r w:rsidRPr="00653748">
        <w:rPr>
          <w:rFonts w:ascii="Arial" w:hAnsi="Arial" w:cs="Arial"/>
        </w:rPr>
        <w:t>The accompanying PRISMA flow diagram illustrates the study selection process.  It outlines the following steps:</w:t>
      </w:r>
    </w:p>
    <w:p w14:paraId="0E4ED472" w14:textId="77777777" w:rsidR="005B3059" w:rsidRPr="00653748" w:rsidRDefault="005B3059" w:rsidP="007076F7">
      <w:pPr>
        <w:spacing w:after="0" w:line="240" w:lineRule="auto"/>
        <w:jc w:val="both"/>
        <w:rPr>
          <w:rFonts w:ascii="Arial" w:hAnsi="Arial" w:cs="Arial"/>
        </w:rPr>
      </w:pPr>
    </w:p>
    <w:p w14:paraId="5C3C024D" w14:textId="420FD4A2" w:rsidR="003C1AE5" w:rsidRPr="00653748" w:rsidRDefault="007076F7" w:rsidP="007076F7">
      <w:pPr>
        <w:pStyle w:val="ListParagraph"/>
        <w:numPr>
          <w:ilvl w:val="0"/>
          <w:numId w:val="2"/>
        </w:numPr>
        <w:spacing w:after="0" w:line="240" w:lineRule="auto"/>
        <w:jc w:val="both"/>
        <w:rPr>
          <w:rFonts w:ascii="Arial" w:hAnsi="Arial" w:cs="Arial"/>
        </w:rPr>
      </w:pPr>
      <w:r w:rsidRPr="00653748">
        <w:rPr>
          <w:rFonts w:ascii="Arial" w:hAnsi="Arial" w:cs="Arial"/>
        </w:rPr>
        <w:t>Identification:  The total number of records identified through database searches and other sources</w:t>
      </w:r>
      <w:r w:rsidR="005B3059">
        <w:rPr>
          <w:rFonts w:ascii="Arial" w:hAnsi="Arial" w:cs="Arial"/>
        </w:rPr>
        <w:t xml:space="preserve"> </w:t>
      </w:r>
      <w:r w:rsidRPr="00653748">
        <w:rPr>
          <w:rFonts w:ascii="Arial" w:hAnsi="Arial" w:cs="Arial"/>
        </w:rPr>
        <w:t>amounted to 150.</w:t>
      </w:r>
    </w:p>
    <w:p w14:paraId="609FEA32" w14:textId="18F64E5A" w:rsidR="007076F7" w:rsidRPr="00653748" w:rsidRDefault="007076F7" w:rsidP="007076F7">
      <w:pPr>
        <w:pStyle w:val="ListParagraph"/>
        <w:numPr>
          <w:ilvl w:val="0"/>
          <w:numId w:val="2"/>
        </w:numPr>
        <w:spacing w:after="0" w:line="240" w:lineRule="auto"/>
        <w:jc w:val="both"/>
        <w:rPr>
          <w:rFonts w:ascii="Arial" w:hAnsi="Arial" w:cs="Arial"/>
        </w:rPr>
      </w:pPr>
      <w:r w:rsidRPr="00653748">
        <w:rPr>
          <w:rFonts w:ascii="Arial" w:hAnsi="Arial" w:cs="Arial"/>
        </w:rPr>
        <w:t>Screening:  After removing duplicates, 55 records were screened for eligibility.</w:t>
      </w:r>
    </w:p>
    <w:p w14:paraId="7A53F048" w14:textId="29569BDA" w:rsidR="007076F7" w:rsidRDefault="007076F7" w:rsidP="007076F7">
      <w:pPr>
        <w:pStyle w:val="ListParagraph"/>
        <w:numPr>
          <w:ilvl w:val="0"/>
          <w:numId w:val="2"/>
        </w:numPr>
        <w:spacing w:after="0" w:line="240" w:lineRule="auto"/>
        <w:jc w:val="both"/>
        <w:rPr>
          <w:rFonts w:ascii="Arial" w:hAnsi="Arial" w:cs="Arial"/>
        </w:rPr>
      </w:pPr>
      <w:r w:rsidRPr="00653748">
        <w:rPr>
          <w:rFonts w:ascii="Arial" w:hAnsi="Arial" w:cs="Arial"/>
        </w:rPr>
        <w:t>Eligibility:  Among these, 25 studies were ultimately included in the review, demonstrating a rigorous selection process.</w:t>
      </w:r>
    </w:p>
    <w:p w14:paraId="06D84D99" w14:textId="77777777" w:rsidR="005D24DF" w:rsidRDefault="005D24DF" w:rsidP="005D24DF">
      <w:pPr>
        <w:pStyle w:val="ListParagraph"/>
        <w:spacing w:after="0" w:line="240" w:lineRule="auto"/>
        <w:jc w:val="both"/>
        <w:rPr>
          <w:rFonts w:ascii="Arial" w:hAnsi="Arial" w:cs="Arial"/>
        </w:rPr>
      </w:pPr>
    </w:p>
    <w:p w14:paraId="2353B51A" w14:textId="6439D20D" w:rsidR="00EB6185" w:rsidRDefault="00EB6185" w:rsidP="00EB6185">
      <w:pPr>
        <w:pStyle w:val="ListParagraph"/>
        <w:spacing w:after="0" w:line="240" w:lineRule="auto"/>
        <w:jc w:val="both"/>
        <w:rPr>
          <w:rFonts w:ascii="Arial" w:hAnsi="Arial" w:cs="Arial"/>
        </w:rPr>
      </w:pPr>
      <w:r>
        <w:rPr>
          <w:rFonts w:ascii="Arial" w:hAnsi="Arial" w:cs="Arial"/>
        </w:rPr>
        <w:t xml:space="preserve">                               PRISMA Flow Diagram</w:t>
      </w:r>
    </w:p>
    <w:p w14:paraId="432CB349" w14:textId="77777777" w:rsidR="005D24DF" w:rsidRDefault="005D24DF" w:rsidP="00EB6185">
      <w:pPr>
        <w:pStyle w:val="ListParagraph"/>
        <w:spacing w:after="0" w:line="240" w:lineRule="auto"/>
        <w:jc w:val="both"/>
        <w:rPr>
          <w:rFonts w:ascii="Arial" w:hAnsi="Arial" w:cs="Arial"/>
        </w:rPr>
      </w:pPr>
    </w:p>
    <w:p w14:paraId="42A77BE0" w14:textId="60249871" w:rsidR="00EB6185" w:rsidRDefault="00EB6185" w:rsidP="00EB6185">
      <w:pPr>
        <w:pStyle w:val="ListParagraph"/>
        <w:spacing w:after="0" w:line="240" w:lineRule="auto"/>
        <w:jc w:val="both"/>
        <w:rPr>
          <w:rFonts w:ascii="Arial" w:hAnsi="Arial" w:cs="Arial"/>
        </w:rPr>
      </w:pPr>
      <w:r>
        <w:rPr>
          <w:rFonts w:ascii="Arial" w:hAnsi="Arial" w:cs="Arial"/>
          <w:noProof/>
        </w:rPr>
        <w:drawing>
          <wp:inline distT="0" distB="0" distL="0" distR="0" wp14:anchorId="76F91FFB" wp14:editId="03A3E729">
            <wp:extent cx="4735830" cy="411480"/>
            <wp:effectExtent l="0" t="19050" r="0" b="26670"/>
            <wp:docPr id="152826707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r>
        <w:rPr>
          <w:rFonts w:ascii="Arial" w:hAnsi="Arial" w:cs="Arial"/>
        </w:rPr>
        <w:t xml:space="preserve">                                           </w:t>
      </w:r>
    </w:p>
    <w:p w14:paraId="30073194" w14:textId="77777777" w:rsidR="00EB6185" w:rsidRDefault="00EB6185" w:rsidP="00EB6185">
      <w:pPr>
        <w:pStyle w:val="ListParagraph"/>
        <w:spacing w:after="0" w:line="240" w:lineRule="auto"/>
        <w:jc w:val="both"/>
        <w:rPr>
          <w:rFonts w:ascii="Arial" w:hAnsi="Arial" w:cs="Arial"/>
        </w:rPr>
      </w:pPr>
    </w:p>
    <w:p w14:paraId="592513E9" w14:textId="1D9A3600" w:rsidR="00B4236C" w:rsidRDefault="00B4236C" w:rsidP="00B4236C">
      <w:pPr>
        <w:pStyle w:val="ListParagraph"/>
        <w:spacing w:after="0" w:line="240" w:lineRule="auto"/>
        <w:ind w:left="0"/>
        <w:jc w:val="both"/>
        <w:rPr>
          <w:rFonts w:ascii="Arial" w:hAnsi="Arial" w:cs="Arial"/>
        </w:rPr>
      </w:pPr>
      <w:r w:rsidRPr="00653748">
        <w:rPr>
          <w:rFonts w:ascii="Arial" w:hAnsi="Arial" w:cs="Arial"/>
        </w:rPr>
        <w:t>The diagram effectively communicates the systematic and transparent methodology employed throughout the study selection process.</w:t>
      </w:r>
    </w:p>
    <w:p w14:paraId="485ECC8C" w14:textId="77777777" w:rsidR="005D24DF" w:rsidRPr="00653748" w:rsidRDefault="005D24DF" w:rsidP="00B4236C">
      <w:pPr>
        <w:pStyle w:val="ListParagraph"/>
        <w:spacing w:after="0" w:line="240" w:lineRule="auto"/>
        <w:ind w:left="0"/>
        <w:jc w:val="both"/>
        <w:rPr>
          <w:rFonts w:ascii="Arial" w:hAnsi="Arial" w:cs="Arial"/>
        </w:rPr>
      </w:pPr>
    </w:p>
    <w:p w14:paraId="3590AC5A" w14:textId="6E6BE231" w:rsidR="00B4236C" w:rsidRDefault="00B4236C" w:rsidP="00B4236C">
      <w:pPr>
        <w:pStyle w:val="ListParagraph"/>
        <w:spacing w:after="0" w:line="240" w:lineRule="auto"/>
        <w:ind w:left="0"/>
        <w:jc w:val="both"/>
        <w:rPr>
          <w:rFonts w:ascii="Arial" w:hAnsi="Arial" w:cs="Arial"/>
          <w:b/>
          <w:bCs/>
        </w:rPr>
      </w:pPr>
      <w:r w:rsidRPr="00653748">
        <w:rPr>
          <w:rFonts w:ascii="Arial" w:hAnsi="Arial" w:cs="Arial"/>
          <w:b/>
          <w:bCs/>
        </w:rPr>
        <w:t>Data Extraction and Synthesis</w:t>
      </w:r>
    </w:p>
    <w:p w14:paraId="6B1858AA" w14:textId="77777777" w:rsidR="005D24DF" w:rsidRPr="00653748" w:rsidRDefault="005D24DF" w:rsidP="00B4236C">
      <w:pPr>
        <w:pStyle w:val="ListParagraph"/>
        <w:spacing w:after="0" w:line="240" w:lineRule="auto"/>
        <w:ind w:left="0"/>
        <w:jc w:val="both"/>
        <w:rPr>
          <w:rFonts w:ascii="Arial" w:hAnsi="Arial" w:cs="Arial"/>
        </w:rPr>
      </w:pPr>
    </w:p>
    <w:p w14:paraId="361CFB89" w14:textId="3202B595" w:rsidR="00B4236C" w:rsidRPr="00653748" w:rsidRDefault="00B4236C" w:rsidP="007076F7">
      <w:pPr>
        <w:pStyle w:val="ListParagraph"/>
        <w:spacing w:after="0" w:line="240" w:lineRule="auto"/>
        <w:ind w:left="0"/>
        <w:jc w:val="both"/>
        <w:rPr>
          <w:rFonts w:ascii="Arial" w:hAnsi="Arial" w:cs="Arial"/>
        </w:rPr>
      </w:pPr>
      <w:r w:rsidRPr="00653748">
        <w:rPr>
          <w:rFonts w:ascii="Arial" w:hAnsi="Arial" w:cs="Arial"/>
        </w:rPr>
        <w:t xml:space="preserve">Data extraction involved a standardized template capturing critical information from each study, including title, authors, year of publication, study design, participants, </w:t>
      </w:r>
      <w:r w:rsidR="007F31AE">
        <w:rPr>
          <w:rFonts w:ascii="Arial" w:hAnsi="Arial" w:cs="Arial"/>
        </w:rPr>
        <w:t xml:space="preserve">variables observed, challenges, </w:t>
      </w:r>
      <w:r w:rsidRPr="00653748">
        <w:rPr>
          <w:rFonts w:ascii="Arial" w:hAnsi="Arial" w:cs="Arial"/>
        </w:rPr>
        <w:t xml:space="preserve">and key findings. A thematic analysis was </w:t>
      </w:r>
      <w:r w:rsidR="00E74326">
        <w:rPr>
          <w:rFonts w:ascii="Arial" w:hAnsi="Arial" w:cs="Arial"/>
        </w:rPr>
        <w:t xml:space="preserve">used to identify common themes, such as shared requirements, challenges, and strategies for green spaces in Davao City.  This process </w:t>
      </w:r>
      <w:r w:rsidR="00E74326">
        <w:rPr>
          <w:rFonts w:ascii="Arial" w:hAnsi="Arial" w:cs="Arial"/>
        </w:rPr>
        <w:lastRenderedPageBreak/>
        <w:t>highlighted key insights and gaps in the research, providing valuable guidance for urban planning and sustainable efforts.</w:t>
      </w:r>
    </w:p>
    <w:p w14:paraId="5FC6E286" w14:textId="77777777" w:rsidR="00B4236C" w:rsidRPr="00653748" w:rsidRDefault="00B4236C" w:rsidP="007076F7">
      <w:pPr>
        <w:pStyle w:val="ListParagraph"/>
        <w:spacing w:after="0" w:line="240" w:lineRule="auto"/>
        <w:ind w:left="0"/>
        <w:jc w:val="both"/>
        <w:rPr>
          <w:rFonts w:ascii="Arial" w:hAnsi="Arial" w:cs="Arial"/>
        </w:rPr>
      </w:pPr>
    </w:p>
    <w:p w14:paraId="7F5B68C3" w14:textId="16B33648" w:rsidR="00B4236C" w:rsidRDefault="005D24DF" w:rsidP="006614F6">
      <w:pPr>
        <w:spacing w:after="0" w:line="240" w:lineRule="auto"/>
        <w:jc w:val="both"/>
        <w:rPr>
          <w:rFonts w:ascii="Arial" w:hAnsi="Arial" w:cs="Arial"/>
          <w:b/>
          <w:bCs/>
        </w:rPr>
      </w:pPr>
      <w:r>
        <w:rPr>
          <w:rFonts w:ascii="Arial" w:hAnsi="Arial" w:cs="Arial"/>
          <w:b/>
          <w:bCs/>
        </w:rPr>
        <w:t xml:space="preserve">3. </w:t>
      </w:r>
      <w:r w:rsidR="006614F6" w:rsidRPr="00653748">
        <w:rPr>
          <w:rFonts w:ascii="Arial" w:hAnsi="Arial" w:cs="Arial"/>
          <w:b/>
          <w:bCs/>
        </w:rPr>
        <w:t xml:space="preserve">RESULTS </w:t>
      </w:r>
      <w:r w:rsidR="004C1621">
        <w:rPr>
          <w:rFonts w:ascii="Arial" w:hAnsi="Arial" w:cs="Arial"/>
          <w:b/>
          <w:bCs/>
        </w:rPr>
        <w:t>AND DISCUSSIONS</w:t>
      </w:r>
    </w:p>
    <w:p w14:paraId="214EF138" w14:textId="77777777" w:rsidR="00571CA3" w:rsidRDefault="00571CA3" w:rsidP="006614F6">
      <w:pPr>
        <w:spacing w:after="0" w:line="240" w:lineRule="auto"/>
        <w:jc w:val="both"/>
        <w:rPr>
          <w:rFonts w:ascii="Arial" w:hAnsi="Arial" w:cs="Arial"/>
          <w:b/>
          <w:bCs/>
        </w:rPr>
      </w:pPr>
    </w:p>
    <w:p w14:paraId="14BAAE4F" w14:textId="6F98BE3E" w:rsidR="00571CA3" w:rsidRDefault="00571CA3" w:rsidP="006614F6">
      <w:pPr>
        <w:spacing w:after="0" w:line="240" w:lineRule="auto"/>
        <w:jc w:val="both"/>
        <w:rPr>
          <w:rFonts w:ascii="Arial" w:hAnsi="Arial" w:cs="Arial"/>
          <w:b/>
          <w:bCs/>
        </w:rPr>
      </w:pPr>
      <w:r>
        <w:rPr>
          <w:rFonts w:ascii="Arial" w:hAnsi="Arial" w:cs="Arial"/>
          <w:b/>
          <w:bCs/>
        </w:rPr>
        <w:t>Study Characteristics</w:t>
      </w:r>
    </w:p>
    <w:p w14:paraId="665F8217" w14:textId="77777777" w:rsidR="005D24DF" w:rsidRDefault="005D24DF" w:rsidP="006614F6">
      <w:pPr>
        <w:spacing w:after="0" w:line="240" w:lineRule="auto"/>
        <w:jc w:val="both"/>
        <w:rPr>
          <w:rFonts w:ascii="Arial" w:hAnsi="Arial" w:cs="Arial"/>
          <w:b/>
          <w:bCs/>
        </w:rPr>
      </w:pPr>
    </w:p>
    <w:p w14:paraId="242C08BF" w14:textId="4DEDDE80" w:rsidR="00571CA3" w:rsidRDefault="00571CA3" w:rsidP="00571CA3">
      <w:pPr>
        <w:jc w:val="both"/>
        <w:rPr>
          <w:rFonts w:ascii="Arial" w:hAnsi="Arial" w:cs="Arial"/>
        </w:rPr>
      </w:pPr>
      <w:r w:rsidRPr="00653748">
        <w:rPr>
          <w:rFonts w:ascii="Arial" w:hAnsi="Arial" w:cs="Arial"/>
        </w:rPr>
        <w:t>The reviewed studies varied in design, ranging from qualitative case studies to quantitative surveys. Participants included urban planners, government officials, developers, and community members, providing a diverse perspective on the challenges and opportunities surrounding green space</w:t>
      </w:r>
      <w:r w:rsidR="005B3059">
        <w:rPr>
          <w:rFonts w:ascii="Arial" w:hAnsi="Arial" w:cs="Arial"/>
        </w:rPr>
        <w:t>s</w:t>
      </w:r>
      <w:r w:rsidRPr="00653748">
        <w:rPr>
          <w:rFonts w:ascii="Arial" w:hAnsi="Arial" w:cs="Arial"/>
        </w:rPr>
        <w:t xml:space="preserve"> requirements. Table 1 summarizes the reviewed studies.</w:t>
      </w:r>
    </w:p>
    <w:p w14:paraId="48584341" w14:textId="2EFCBCA6" w:rsidR="00571CA3" w:rsidRPr="00A67482" w:rsidRDefault="00571CA3" w:rsidP="00571CA3">
      <w:pPr>
        <w:rPr>
          <w:rFonts w:ascii="Arial" w:hAnsi="Arial" w:cs="Arial"/>
          <w:b/>
          <w:bCs/>
        </w:rPr>
      </w:pPr>
      <w:r>
        <w:rPr>
          <w:rFonts w:ascii="Arial" w:hAnsi="Arial" w:cs="Arial"/>
        </w:rPr>
        <w:tab/>
      </w:r>
      <w:r>
        <w:rPr>
          <w:rFonts w:ascii="Arial" w:hAnsi="Arial" w:cs="Arial"/>
        </w:rPr>
        <w:tab/>
      </w:r>
      <w:r>
        <w:rPr>
          <w:rFonts w:ascii="Arial" w:hAnsi="Arial" w:cs="Arial"/>
        </w:rPr>
        <w:tab/>
        <w:t xml:space="preserve"> </w:t>
      </w:r>
      <w:r w:rsidR="005D24DF">
        <w:rPr>
          <w:rFonts w:ascii="Arial" w:hAnsi="Arial" w:cs="Arial"/>
        </w:rPr>
        <w:t xml:space="preserve">      </w:t>
      </w:r>
      <w:r w:rsidRPr="00A67482">
        <w:rPr>
          <w:rFonts w:ascii="Arial" w:hAnsi="Arial" w:cs="Arial"/>
          <w:b/>
          <w:bCs/>
        </w:rPr>
        <w:t>Table 1. Summary of Reviewed Studies</w:t>
      </w:r>
    </w:p>
    <w:tbl>
      <w:tblPr>
        <w:tblStyle w:val="TableGrid"/>
        <w:tblW w:w="0" w:type="auto"/>
        <w:tblLayout w:type="fixed"/>
        <w:tblLook w:val="04A0" w:firstRow="1" w:lastRow="0" w:firstColumn="1" w:lastColumn="0" w:noHBand="0" w:noVBand="1"/>
      </w:tblPr>
      <w:tblGrid>
        <w:gridCol w:w="1129"/>
        <w:gridCol w:w="1186"/>
        <w:gridCol w:w="799"/>
        <w:gridCol w:w="1027"/>
        <w:gridCol w:w="957"/>
        <w:gridCol w:w="1418"/>
        <w:gridCol w:w="1542"/>
        <w:gridCol w:w="1292"/>
      </w:tblGrid>
      <w:tr w:rsidR="00571CA3" w:rsidRPr="00653748" w14:paraId="71A65FDB" w14:textId="77777777" w:rsidTr="00B4483B">
        <w:tc>
          <w:tcPr>
            <w:tcW w:w="1129" w:type="dxa"/>
          </w:tcPr>
          <w:p w14:paraId="7D18F378" w14:textId="77777777" w:rsidR="00571CA3" w:rsidRPr="00653748" w:rsidRDefault="00571CA3" w:rsidP="00B4483B">
            <w:pPr>
              <w:rPr>
                <w:rFonts w:ascii="Arial" w:hAnsi="Arial" w:cs="Arial"/>
              </w:rPr>
            </w:pPr>
            <w:r w:rsidRPr="00653748">
              <w:rPr>
                <w:rFonts w:ascii="Arial" w:hAnsi="Arial" w:cs="Arial"/>
              </w:rPr>
              <w:t>Title</w:t>
            </w:r>
          </w:p>
        </w:tc>
        <w:tc>
          <w:tcPr>
            <w:tcW w:w="1186" w:type="dxa"/>
          </w:tcPr>
          <w:p w14:paraId="41414126" w14:textId="77777777" w:rsidR="00571CA3" w:rsidRPr="00653748" w:rsidRDefault="00571CA3" w:rsidP="00B4483B">
            <w:pPr>
              <w:rPr>
                <w:rFonts w:ascii="Arial" w:hAnsi="Arial" w:cs="Arial"/>
              </w:rPr>
            </w:pPr>
            <w:r w:rsidRPr="00653748">
              <w:rPr>
                <w:rFonts w:ascii="Arial" w:hAnsi="Arial" w:cs="Arial"/>
              </w:rPr>
              <w:t>Author(s)</w:t>
            </w:r>
          </w:p>
        </w:tc>
        <w:tc>
          <w:tcPr>
            <w:tcW w:w="799" w:type="dxa"/>
          </w:tcPr>
          <w:p w14:paraId="7F6D20B3" w14:textId="77777777" w:rsidR="00571CA3" w:rsidRPr="00653748" w:rsidRDefault="00571CA3" w:rsidP="00B4483B">
            <w:pPr>
              <w:rPr>
                <w:rFonts w:ascii="Arial" w:hAnsi="Arial" w:cs="Arial"/>
              </w:rPr>
            </w:pPr>
            <w:r w:rsidRPr="00653748">
              <w:rPr>
                <w:rFonts w:ascii="Arial" w:hAnsi="Arial" w:cs="Arial"/>
              </w:rPr>
              <w:t>Year</w:t>
            </w:r>
          </w:p>
        </w:tc>
        <w:tc>
          <w:tcPr>
            <w:tcW w:w="1027" w:type="dxa"/>
          </w:tcPr>
          <w:p w14:paraId="188C6153" w14:textId="77777777" w:rsidR="00571CA3" w:rsidRPr="00653748" w:rsidRDefault="00571CA3" w:rsidP="00B4483B">
            <w:pPr>
              <w:rPr>
                <w:rFonts w:ascii="Arial" w:hAnsi="Arial" w:cs="Arial"/>
              </w:rPr>
            </w:pPr>
            <w:r w:rsidRPr="00653748">
              <w:rPr>
                <w:rFonts w:ascii="Arial" w:hAnsi="Arial" w:cs="Arial"/>
              </w:rPr>
              <w:t>Research Design</w:t>
            </w:r>
          </w:p>
        </w:tc>
        <w:tc>
          <w:tcPr>
            <w:tcW w:w="957" w:type="dxa"/>
          </w:tcPr>
          <w:p w14:paraId="5C7E6F03" w14:textId="77777777" w:rsidR="00571CA3" w:rsidRPr="00653748" w:rsidRDefault="00571CA3" w:rsidP="00B4483B">
            <w:pPr>
              <w:rPr>
                <w:rFonts w:ascii="Arial" w:hAnsi="Arial" w:cs="Arial"/>
              </w:rPr>
            </w:pPr>
            <w:r w:rsidRPr="00653748">
              <w:rPr>
                <w:rFonts w:ascii="Arial" w:hAnsi="Arial" w:cs="Arial"/>
              </w:rPr>
              <w:t>Partici</w:t>
            </w:r>
            <w:r>
              <w:rPr>
                <w:rFonts w:ascii="Arial" w:hAnsi="Arial" w:cs="Arial"/>
              </w:rPr>
              <w:t>-</w:t>
            </w:r>
            <w:r w:rsidRPr="00653748">
              <w:rPr>
                <w:rFonts w:ascii="Arial" w:hAnsi="Arial" w:cs="Arial"/>
              </w:rPr>
              <w:t>pants</w:t>
            </w:r>
          </w:p>
        </w:tc>
        <w:tc>
          <w:tcPr>
            <w:tcW w:w="1418" w:type="dxa"/>
          </w:tcPr>
          <w:p w14:paraId="7975B954" w14:textId="77777777" w:rsidR="00571CA3" w:rsidRPr="00653748" w:rsidRDefault="00571CA3" w:rsidP="00B4483B">
            <w:pPr>
              <w:rPr>
                <w:rFonts w:ascii="Arial" w:hAnsi="Arial" w:cs="Arial"/>
              </w:rPr>
            </w:pPr>
            <w:r w:rsidRPr="00653748">
              <w:rPr>
                <w:rFonts w:ascii="Arial" w:hAnsi="Arial" w:cs="Arial"/>
              </w:rPr>
              <w:t>Variables Observed</w:t>
            </w:r>
          </w:p>
        </w:tc>
        <w:tc>
          <w:tcPr>
            <w:tcW w:w="1542" w:type="dxa"/>
          </w:tcPr>
          <w:p w14:paraId="3453B34B" w14:textId="77777777" w:rsidR="00571CA3" w:rsidRPr="00653748" w:rsidRDefault="00571CA3" w:rsidP="00B4483B">
            <w:pPr>
              <w:rPr>
                <w:rFonts w:ascii="Arial" w:hAnsi="Arial" w:cs="Arial"/>
              </w:rPr>
            </w:pPr>
            <w:r w:rsidRPr="00653748">
              <w:rPr>
                <w:rFonts w:ascii="Arial" w:hAnsi="Arial" w:cs="Arial"/>
              </w:rPr>
              <w:t>Findings</w:t>
            </w:r>
          </w:p>
        </w:tc>
        <w:tc>
          <w:tcPr>
            <w:tcW w:w="1292" w:type="dxa"/>
          </w:tcPr>
          <w:p w14:paraId="0A120DC1" w14:textId="77777777" w:rsidR="00571CA3" w:rsidRPr="00653748" w:rsidRDefault="00571CA3" w:rsidP="00B4483B">
            <w:pPr>
              <w:rPr>
                <w:rFonts w:ascii="Arial" w:hAnsi="Arial" w:cs="Arial"/>
              </w:rPr>
            </w:pPr>
            <w:r w:rsidRPr="00653748">
              <w:rPr>
                <w:rFonts w:ascii="Arial" w:hAnsi="Arial" w:cs="Arial"/>
              </w:rPr>
              <w:t>Identified Challenges</w:t>
            </w:r>
          </w:p>
        </w:tc>
      </w:tr>
      <w:tr w:rsidR="00571CA3" w:rsidRPr="00653748" w14:paraId="310C2530" w14:textId="77777777" w:rsidTr="00B4483B">
        <w:tc>
          <w:tcPr>
            <w:tcW w:w="1129" w:type="dxa"/>
          </w:tcPr>
          <w:p w14:paraId="16B83DFC" w14:textId="77777777" w:rsidR="00571CA3" w:rsidRPr="00653748" w:rsidRDefault="00571CA3" w:rsidP="00B4483B">
            <w:pPr>
              <w:rPr>
                <w:rFonts w:ascii="Arial" w:hAnsi="Arial" w:cs="Arial"/>
              </w:rPr>
            </w:pPr>
            <w:r w:rsidRPr="00653748">
              <w:rPr>
                <w:rFonts w:ascii="Arial" w:hAnsi="Arial" w:cs="Arial"/>
              </w:rPr>
              <w:t>Zoning Ordinance Enforcement in Philippine Cities</w:t>
            </w:r>
          </w:p>
        </w:tc>
        <w:tc>
          <w:tcPr>
            <w:tcW w:w="1186" w:type="dxa"/>
          </w:tcPr>
          <w:p w14:paraId="352EB5E7" w14:textId="77777777" w:rsidR="00571CA3" w:rsidRPr="00653748" w:rsidRDefault="00571CA3" w:rsidP="00B4483B">
            <w:pPr>
              <w:rPr>
                <w:rFonts w:ascii="Arial" w:hAnsi="Arial" w:cs="Arial"/>
              </w:rPr>
            </w:pPr>
            <w:r w:rsidRPr="00653748">
              <w:rPr>
                <w:rFonts w:ascii="Arial" w:hAnsi="Arial" w:cs="Arial"/>
              </w:rPr>
              <w:t>PIDS</w:t>
            </w:r>
          </w:p>
        </w:tc>
        <w:tc>
          <w:tcPr>
            <w:tcW w:w="799" w:type="dxa"/>
          </w:tcPr>
          <w:p w14:paraId="5C053216" w14:textId="77777777" w:rsidR="00571CA3" w:rsidRPr="00653748" w:rsidRDefault="00571CA3" w:rsidP="00B4483B">
            <w:pPr>
              <w:rPr>
                <w:rFonts w:ascii="Arial" w:hAnsi="Arial" w:cs="Arial"/>
              </w:rPr>
            </w:pPr>
            <w:r w:rsidRPr="00653748">
              <w:rPr>
                <w:rFonts w:ascii="Arial" w:hAnsi="Arial" w:cs="Arial"/>
              </w:rPr>
              <w:t>2018</w:t>
            </w:r>
          </w:p>
        </w:tc>
        <w:tc>
          <w:tcPr>
            <w:tcW w:w="1027" w:type="dxa"/>
          </w:tcPr>
          <w:p w14:paraId="4E5F67A8" w14:textId="77777777" w:rsidR="00571CA3" w:rsidRPr="00653748" w:rsidRDefault="00571CA3" w:rsidP="00B4483B">
            <w:pPr>
              <w:rPr>
                <w:rFonts w:ascii="Arial" w:hAnsi="Arial" w:cs="Arial"/>
              </w:rPr>
            </w:pPr>
            <w:r w:rsidRPr="00653748">
              <w:rPr>
                <w:rFonts w:ascii="Arial" w:hAnsi="Arial" w:cs="Arial"/>
              </w:rPr>
              <w:t>Quantitative</w:t>
            </w:r>
          </w:p>
        </w:tc>
        <w:tc>
          <w:tcPr>
            <w:tcW w:w="957" w:type="dxa"/>
          </w:tcPr>
          <w:p w14:paraId="3D1886ED" w14:textId="77777777" w:rsidR="00571CA3" w:rsidRPr="00653748" w:rsidRDefault="00571CA3" w:rsidP="00B4483B">
            <w:pPr>
              <w:rPr>
                <w:rFonts w:ascii="Arial" w:hAnsi="Arial" w:cs="Arial"/>
              </w:rPr>
            </w:pPr>
            <w:r w:rsidRPr="00653748">
              <w:rPr>
                <w:rFonts w:ascii="Arial" w:hAnsi="Arial" w:cs="Arial"/>
              </w:rPr>
              <w:t>Government officials</w:t>
            </w:r>
          </w:p>
        </w:tc>
        <w:tc>
          <w:tcPr>
            <w:tcW w:w="1418" w:type="dxa"/>
          </w:tcPr>
          <w:p w14:paraId="70FD0557" w14:textId="77777777" w:rsidR="00571CA3" w:rsidRPr="00653748" w:rsidRDefault="00571CA3" w:rsidP="00B4483B">
            <w:pPr>
              <w:rPr>
                <w:rFonts w:ascii="Arial" w:hAnsi="Arial" w:cs="Arial"/>
              </w:rPr>
            </w:pPr>
            <w:r w:rsidRPr="00653748">
              <w:rPr>
                <w:rFonts w:ascii="Arial" w:hAnsi="Arial" w:cs="Arial"/>
              </w:rPr>
              <w:t>Enforce</w:t>
            </w:r>
            <w:r>
              <w:rPr>
                <w:rFonts w:ascii="Arial" w:hAnsi="Arial" w:cs="Arial"/>
              </w:rPr>
              <w:t>-</w:t>
            </w:r>
            <w:proofErr w:type="spellStart"/>
            <w:r w:rsidRPr="00653748">
              <w:rPr>
                <w:rFonts w:ascii="Arial" w:hAnsi="Arial" w:cs="Arial"/>
              </w:rPr>
              <w:t>ment</w:t>
            </w:r>
            <w:proofErr w:type="spellEnd"/>
            <w:r w:rsidRPr="00653748">
              <w:rPr>
                <w:rFonts w:ascii="Arial" w:hAnsi="Arial" w:cs="Arial"/>
              </w:rPr>
              <w:t>, compliance</w:t>
            </w:r>
          </w:p>
        </w:tc>
        <w:tc>
          <w:tcPr>
            <w:tcW w:w="1542" w:type="dxa"/>
          </w:tcPr>
          <w:p w14:paraId="35C2D33E" w14:textId="77777777" w:rsidR="00571CA3" w:rsidRPr="00653748" w:rsidRDefault="00571CA3" w:rsidP="00B4483B">
            <w:pPr>
              <w:rPr>
                <w:rFonts w:ascii="Arial" w:hAnsi="Arial" w:cs="Arial"/>
              </w:rPr>
            </w:pPr>
            <w:r w:rsidRPr="00653748">
              <w:rPr>
                <w:rFonts w:ascii="Arial" w:hAnsi="Arial" w:cs="Arial"/>
              </w:rPr>
              <w:t>Highlighted the lack of resources and institutional capacity as key barriers to successful enforcement.</w:t>
            </w:r>
          </w:p>
        </w:tc>
        <w:tc>
          <w:tcPr>
            <w:tcW w:w="1292" w:type="dxa"/>
          </w:tcPr>
          <w:p w14:paraId="0E2EB616" w14:textId="2DA498F9" w:rsidR="00571CA3" w:rsidRPr="00653748" w:rsidRDefault="00571CA3" w:rsidP="00B4483B">
            <w:pPr>
              <w:rPr>
                <w:rFonts w:ascii="Arial" w:hAnsi="Arial" w:cs="Arial"/>
              </w:rPr>
            </w:pPr>
            <w:r w:rsidRPr="00653748">
              <w:rPr>
                <w:rFonts w:ascii="Arial" w:hAnsi="Arial" w:cs="Arial"/>
              </w:rPr>
              <w:t xml:space="preserve">Weak </w:t>
            </w:r>
            <w:proofErr w:type="spellStart"/>
            <w:r w:rsidRPr="00653748">
              <w:rPr>
                <w:rFonts w:ascii="Arial" w:hAnsi="Arial" w:cs="Arial"/>
              </w:rPr>
              <w:t>Institutio</w:t>
            </w:r>
            <w:r w:rsidR="001A636A">
              <w:rPr>
                <w:rFonts w:ascii="Arial" w:hAnsi="Arial" w:cs="Arial"/>
              </w:rPr>
              <w:t>-</w:t>
            </w:r>
            <w:r w:rsidRPr="00653748">
              <w:rPr>
                <w:rFonts w:ascii="Arial" w:hAnsi="Arial" w:cs="Arial"/>
              </w:rPr>
              <w:t>nal</w:t>
            </w:r>
            <w:proofErr w:type="spellEnd"/>
            <w:r w:rsidRPr="00653748">
              <w:rPr>
                <w:rFonts w:ascii="Arial" w:hAnsi="Arial" w:cs="Arial"/>
              </w:rPr>
              <w:t xml:space="preserve"> Capacity</w:t>
            </w:r>
          </w:p>
        </w:tc>
      </w:tr>
      <w:tr w:rsidR="00571CA3" w:rsidRPr="00653748" w14:paraId="76C6850B" w14:textId="77777777" w:rsidTr="00B4483B">
        <w:tc>
          <w:tcPr>
            <w:tcW w:w="1129" w:type="dxa"/>
          </w:tcPr>
          <w:p w14:paraId="39FB68F2" w14:textId="77777777" w:rsidR="00571CA3" w:rsidRPr="00653748" w:rsidRDefault="00571CA3" w:rsidP="00B4483B">
            <w:pPr>
              <w:rPr>
                <w:rFonts w:ascii="Arial" w:hAnsi="Arial" w:cs="Arial"/>
              </w:rPr>
            </w:pPr>
            <w:r w:rsidRPr="00653748">
              <w:rPr>
                <w:rFonts w:ascii="Arial" w:hAnsi="Arial" w:cs="Arial"/>
              </w:rPr>
              <w:t>The Role of Green Spaces in Urban Resilience</w:t>
            </w:r>
          </w:p>
        </w:tc>
        <w:tc>
          <w:tcPr>
            <w:tcW w:w="1186" w:type="dxa"/>
          </w:tcPr>
          <w:p w14:paraId="7CF5E2D4" w14:textId="77777777" w:rsidR="00571CA3" w:rsidRPr="00653748" w:rsidRDefault="00571CA3" w:rsidP="00B4483B">
            <w:pPr>
              <w:rPr>
                <w:rFonts w:ascii="Arial" w:hAnsi="Arial" w:cs="Arial"/>
              </w:rPr>
            </w:pPr>
            <w:proofErr w:type="spellStart"/>
            <w:r w:rsidRPr="00653748">
              <w:rPr>
                <w:rFonts w:ascii="Arial" w:hAnsi="Arial" w:cs="Arial"/>
              </w:rPr>
              <w:t>Chiesura</w:t>
            </w:r>
            <w:proofErr w:type="spellEnd"/>
            <w:r w:rsidRPr="00653748">
              <w:rPr>
                <w:rFonts w:ascii="Arial" w:hAnsi="Arial" w:cs="Arial"/>
              </w:rPr>
              <w:t>, A.</w:t>
            </w:r>
          </w:p>
        </w:tc>
        <w:tc>
          <w:tcPr>
            <w:tcW w:w="799" w:type="dxa"/>
          </w:tcPr>
          <w:p w14:paraId="000BD3D5" w14:textId="77777777" w:rsidR="00571CA3" w:rsidRPr="00653748" w:rsidRDefault="00571CA3" w:rsidP="00B4483B">
            <w:pPr>
              <w:rPr>
                <w:rFonts w:ascii="Arial" w:hAnsi="Arial" w:cs="Arial"/>
              </w:rPr>
            </w:pPr>
            <w:r w:rsidRPr="00653748">
              <w:rPr>
                <w:rFonts w:ascii="Arial" w:hAnsi="Arial" w:cs="Arial"/>
              </w:rPr>
              <w:t>2021</w:t>
            </w:r>
          </w:p>
        </w:tc>
        <w:tc>
          <w:tcPr>
            <w:tcW w:w="1027" w:type="dxa"/>
          </w:tcPr>
          <w:p w14:paraId="60CA4CBF" w14:textId="77777777" w:rsidR="00571CA3" w:rsidRPr="00653748" w:rsidRDefault="00571CA3" w:rsidP="00B4483B">
            <w:pPr>
              <w:rPr>
                <w:rFonts w:ascii="Arial" w:hAnsi="Arial" w:cs="Arial"/>
              </w:rPr>
            </w:pPr>
            <w:r w:rsidRPr="00653748">
              <w:rPr>
                <w:rFonts w:ascii="Arial" w:hAnsi="Arial" w:cs="Arial"/>
              </w:rPr>
              <w:t>Case Study</w:t>
            </w:r>
          </w:p>
        </w:tc>
        <w:tc>
          <w:tcPr>
            <w:tcW w:w="957" w:type="dxa"/>
          </w:tcPr>
          <w:p w14:paraId="4BEF2855" w14:textId="77777777" w:rsidR="00571CA3" w:rsidRPr="00653748" w:rsidRDefault="00571CA3" w:rsidP="00B4483B">
            <w:pPr>
              <w:rPr>
                <w:rFonts w:ascii="Arial" w:hAnsi="Arial" w:cs="Arial"/>
              </w:rPr>
            </w:pPr>
            <w:r w:rsidRPr="00653748">
              <w:rPr>
                <w:rFonts w:ascii="Arial" w:hAnsi="Arial" w:cs="Arial"/>
              </w:rPr>
              <w:t>Community members</w:t>
            </w:r>
          </w:p>
        </w:tc>
        <w:tc>
          <w:tcPr>
            <w:tcW w:w="1418" w:type="dxa"/>
          </w:tcPr>
          <w:p w14:paraId="30EB3067" w14:textId="77777777" w:rsidR="00571CA3" w:rsidRPr="00653748" w:rsidRDefault="00571CA3" w:rsidP="00B4483B">
            <w:pPr>
              <w:rPr>
                <w:rFonts w:ascii="Arial" w:hAnsi="Arial" w:cs="Arial"/>
              </w:rPr>
            </w:pPr>
            <w:r w:rsidRPr="00653748">
              <w:rPr>
                <w:rFonts w:ascii="Arial" w:hAnsi="Arial" w:cs="Arial"/>
              </w:rPr>
              <w:t>Environ</w:t>
            </w:r>
            <w:r>
              <w:rPr>
                <w:rFonts w:ascii="Arial" w:hAnsi="Arial" w:cs="Arial"/>
              </w:rPr>
              <w:t>-</w:t>
            </w:r>
            <w:r w:rsidRPr="00653748">
              <w:rPr>
                <w:rFonts w:ascii="Arial" w:hAnsi="Arial" w:cs="Arial"/>
              </w:rPr>
              <w:t xml:space="preserve">mental </w:t>
            </w:r>
            <w:r>
              <w:rPr>
                <w:rFonts w:ascii="Arial" w:hAnsi="Arial" w:cs="Arial"/>
              </w:rPr>
              <w:t>Health</w:t>
            </w:r>
          </w:p>
        </w:tc>
        <w:tc>
          <w:tcPr>
            <w:tcW w:w="1542" w:type="dxa"/>
          </w:tcPr>
          <w:p w14:paraId="49ACABFF" w14:textId="314B8BEC" w:rsidR="00571CA3" w:rsidRPr="00653748" w:rsidRDefault="00571CA3" w:rsidP="00B4483B">
            <w:pPr>
              <w:rPr>
                <w:rFonts w:ascii="Arial" w:hAnsi="Arial" w:cs="Arial"/>
              </w:rPr>
            </w:pPr>
            <w:r w:rsidRPr="00653748">
              <w:rPr>
                <w:rFonts w:ascii="Arial" w:hAnsi="Arial" w:cs="Arial"/>
              </w:rPr>
              <w:t xml:space="preserve">Found that green spaces </w:t>
            </w:r>
            <w:r w:rsidR="001A636A">
              <w:rPr>
                <w:rFonts w:ascii="Arial" w:hAnsi="Arial" w:cs="Arial"/>
              </w:rPr>
              <w:t>significantly</w:t>
            </w:r>
            <w:r w:rsidRPr="00653748">
              <w:rPr>
                <w:rFonts w:ascii="Arial" w:hAnsi="Arial" w:cs="Arial"/>
              </w:rPr>
              <w:t xml:space="preserve"> improve public health and social cohesion.</w:t>
            </w:r>
          </w:p>
        </w:tc>
        <w:tc>
          <w:tcPr>
            <w:tcW w:w="1292" w:type="dxa"/>
          </w:tcPr>
          <w:p w14:paraId="004F218B" w14:textId="77777777" w:rsidR="00571CA3" w:rsidRPr="00653748" w:rsidRDefault="00571CA3" w:rsidP="00B4483B">
            <w:pPr>
              <w:rPr>
                <w:rFonts w:ascii="Arial" w:hAnsi="Arial" w:cs="Arial"/>
              </w:rPr>
            </w:pPr>
            <w:r w:rsidRPr="00653748">
              <w:rPr>
                <w:rFonts w:ascii="Arial" w:hAnsi="Arial" w:cs="Arial"/>
              </w:rPr>
              <w:t>Insufficient Coordination Among Stakeholders</w:t>
            </w:r>
          </w:p>
        </w:tc>
      </w:tr>
      <w:tr w:rsidR="00571CA3" w:rsidRPr="00653748" w14:paraId="1767AEC9" w14:textId="77777777" w:rsidTr="00B4483B">
        <w:tc>
          <w:tcPr>
            <w:tcW w:w="1129" w:type="dxa"/>
          </w:tcPr>
          <w:p w14:paraId="38EAF600" w14:textId="77777777" w:rsidR="00571CA3" w:rsidRPr="00653748" w:rsidRDefault="00571CA3" w:rsidP="00B4483B">
            <w:pPr>
              <w:rPr>
                <w:rFonts w:ascii="Arial" w:hAnsi="Arial" w:cs="Arial"/>
              </w:rPr>
            </w:pPr>
            <w:r w:rsidRPr="00653748">
              <w:rPr>
                <w:rFonts w:ascii="Arial" w:hAnsi="Arial" w:cs="Arial"/>
              </w:rPr>
              <w:t>Urban Political Ecology and Green Space Access</w:t>
            </w:r>
          </w:p>
        </w:tc>
        <w:tc>
          <w:tcPr>
            <w:tcW w:w="1186" w:type="dxa"/>
          </w:tcPr>
          <w:p w14:paraId="28EC41BB" w14:textId="77777777" w:rsidR="00571CA3" w:rsidRPr="00653748" w:rsidRDefault="00571CA3" w:rsidP="00B4483B">
            <w:pPr>
              <w:rPr>
                <w:rFonts w:ascii="Arial" w:hAnsi="Arial" w:cs="Arial"/>
              </w:rPr>
            </w:pPr>
            <w:r w:rsidRPr="00653748">
              <w:rPr>
                <w:rFonts w:ascii="Arial" w:hAnsi="Arial" w:cs="Arial"/>
              </w:rPr>
              <w:t>Heynen, N.</w:t>
            </w:r>
          </w:p>
        </w:tc>
        <w:tc>
          <w:tcPr>
            <w:tcW w:w="799" w:type="dxa"/>
          </w:tcPr>
          <w:p w14:paraId="0AA273B6" w14:textId="77777777" w:rsidR="00571CA3" w:rsidRPr="00653748" w:rsidRDefault="00571CA3" w:rsidP="00B4483B">
            <w:pPr>
              <w:rPr>
                <w:rFonts w:ascii="Arial" w:hAnsi="Arial" w:cs="Arial"/>
              </w:rPr>
            </w:pPr>
            <w:r w:rsidRPr="00653748">
              <w:rPr>
                <w:rFonts w:ascii="Arial" w:hAnsi="Arial" w:cs="Arial"/>
              </w:rPr>
              <w:t>2014</w:t>
            </w:r>
          </w:p>
        </w:tc>
        <w:tc>
          <w:tcPr>
            <w:tcW w:w="1027" w:type="dxa"/>
          </w:tcPr>
          <w:p w14:paraId="153DB941" w14:textId="77777777" w:rsidR="00571CA3" w:rsidRPr="00653748" w:rsidRDefault="00571CA3" w:rsidP="00B4483B">
            <w:pPr>
              <w:rPr>
                <w:rFonts w:ascii="Arial" w:hAnsi="Arial" w:cs="Arial"/>
              </w:rPr>
            </w:pPr>
            <w:r w:rsidRPr="00653748">
              <w:rPr>
                <w:rFonts w:ascii="Arial" w:hAnsi="Arial" w:cs="Arial"/>
              </w:rPr>
              <w:t>Theoretical</w:t>
            </w:r>
          </w:p>
        </w:tc>
        <w:tc>
          <w:tcPr>
            <w:tcW w:w="957" w:type="dxa"/>
          </w:tcPr>
          <w:p w14:paraId="7BF8A590" w14:textId="77777777" w:rsidR="00571CA3" w:rsidRPr="00653748" w:rsidRDefault="00571CA3" w:rsidP="00B4483B">
            <w:pPr>
              <w:rPr>
                <w:rFonts w:ascii="Arial" w:hAnsi="Arial" w:cs="Arial"/>
              </w:rPr>
            </w:pPr>
            <w:r w:rsidRPr="00653748">
              <w:rPr>
                <w:rFonts w:ascii="Arial" w:hAnsi="Arial" w:cs="Arial"/>
              </w:rPr>
              <w:t>N/A</w:t>
            </w:r>
          </w:p>
        </w:tc>
        <w:tc>
          <w:tcPr>
            <w:tcW w:w="1418" w:type="dxa"/>
          </w:tcPr>
          <w:p w14:paraId="0CF472F0" w14:textId="77777777" w:rsidR="00571CA3" w:rsidRPr="00653748" w:rsidRDefault="00571CA3" w:rsidP="00B4483B">
            <w:pPr>
              <w:rPr>
                <w:rFonts w:ascii="Arial" w:hAnsi="Arial" w:cs="Arial"/>
              </w:rPr>
            </w:pPr>
            <w:r w:rsidRPr="00653748">
              <w:rPr>
                <w:rFonts w:ascii="Arial" w:hAnsi="Arial" w:cs="Arial"/>
              </w:rPr>
              <w:t>Political influence</w:t>
            </w:r>
          </w:p>
        </w:tc>
        <w:tc>
          <w:tcPr>
            <w:tcW w:w="1542" w:type="dxa"/>
          </w:tcPr>
          <w:p w14:paraId="18EA0AC7" w14:textId="77777777" w:rsidR="00571CA3" w:rsidRPr="00653748" w:rsidRDefault="00571CA3" w:rsidP="00B4483B">
            <w:pPr>
              <w:rPr>
                <w:rFonts w:ascii="Arial" w:hAnsi="Arial" w:cs="Arial"/>
              </w:rPr>
            </w:pPr>
            <w:r w:rsidRPr="00653748">
              <w:rPr>
                <w:rFonts w:ascii="Arial" w:hAnsi="Arial" w:cs="Arial"/>
              </w:rPr>
              <w:t>Discussed how socio-political dynamics affect access to urban green spaces.</w:t>
            </w:r>
          </w:p>
        </w:tc>
        <w:tc>
          <w:tcPr>
            <w:tcW w:w="1292" w:type="dxa"/>
          </w:tcPr>
          <w:p w14:paraId="65AC2080" w14:textId="77777777" w:rsidR="00571CA3" w:rsidRPr="00653748" w:rsidRDefault="00571CA3" w:rsidP="00B4483B">
            <w:pPr>
              <w:rPr>
                <w:rFonts w:ascii="Arial" w:hAnsi="Arial" w:cs="Arial"/>
              </w:rPr>
            </w:pPr>
            <w:r w:rsidRPr="00653748">
              <w:rPr>
                <w:rFonts w:ascii="Arial" w:hAnsi="Arial" w:cs="Arial"/>
              </w:rPr>
              <w:t>Insufficient Coordination Among Stakeholders</w:t>
            </w:r>
          </w:p>
        </w:tc>
      </w:tr>
      <w:tr w:rsidR="00571CA3" w:rsidRPr="00653748" w14:paraId="0A97A033" w14:textId="77777777" w:rsidTr="00B4483B">
        <w:tc>
          <w:tcPr>
            <w:tcW w:w="1129" w:type="dxa"/>
          </w:tcPr>
          <w:p w14:paraId="7FA91827" w14:textId="77777777" w:rsidR="00571CA3" w:rsidRPr="00653748" w:rsidRDefault="00571CA3" w:rsidP="00B4483B">
            <w:pPr>
              <w:rPr>
                <w:rFonts w:ascii="Arial" w:hAnsi="Arial" w:cs="Arial"/>
              </w:rPr>
            </w:pPr>
            <w:r w:rsidRPr="00653748">
              <w:rPr>
                <w:rFonts w:ascii="Arial" w:hAnsi="Arial" w:cs="Arial"/>
              </w:rPr>
              <w:t>Public Awareness and Green Space Initiatives</w:t>
            </w:r>
          </w:p>
        </w:tc>
        <w:tc>
          <w:tcPr>
            <w:tcW w:w="1186" w:type="dxa"/>
          </w:tcPr>
          <w:p w14:paraId="151086C8" w14:textId="77777777" w:rsidR="00571CA3" w:rsidRPr="00653748" w:rsidRDefault="00571CA3" w:rsidP="00B4483B">
            <w:pPr>
              <w:rPr>
                <w:rFonts w:ascii="Arial" w:hAnsi="Arial" w:cs="Arial"/>
              </w:rPr>
            </w:pPr>
            <w:proofErr w:type="spellStart"/>
            <w:r w:rsidRPr="00653748">
              <w:rPr>
                <w:rFonts w:ascii="Arial" w:hAnsi="Arial" w:cs="Arial"/>
              </w:rPr>
              <w:t>Wolch</w:t>
            </w:r>
            <w:proofErr w:type="spellEnd"/>
            <w:r w:rsidRPr="00653748">
              <w:rPr>
                <w:rFonts w:ascii="Arial" w:hAnsi="Arial" w:cs="Arial"/>
              </w:rPr>
              <w:t>, J. et al.</w:t>
            </w:r>
          </w:p>
        </w:tc>
        <w:tc>
          <w:tcPr>
            <w:tcW w:w="799" w:type="dxa"/>
          </w:tcPr>
          <w:p w14:paraId="360F6ED0" w14:textId="77777777" w:rsidR="00571CA3" w:rsidRPr="00653748" w:rsidRDefault="00571CA3" w:rsidP="00B4483B">
            <w:pPr>
              <w:rPr>
                <w:rFonts w:ascii="Arial" w:hAnsi="Arial" w:cs="Arial"/>
              </w:rPr>
            </w:pPr>
            <w:r w:rsidRPr="00653748">
              <w:rPr>
                <w:rFonts w:ascii="Arial" w:hAnsi="Arial" w:cs="Arial"/>
              </w:rPr>
              <w:t>2020</w:t>
            </w:r>
          </w:p>
        </w:tc>
        <w:tc>
          <w:tcPr>
            <w:tcW w:w="1027" w:type="dxa"/>
          </w:tcPr>
          <w:p w14:paraId="091AF855" w14:textId="77777777" w:rsidR="00571CA3" w:rsidRPr="00653748" w:rsidRDefault="00571CA3" w:rsidP="00B4483B">
            <w:pPr>
              <w:rPr>
                <w:rFonts w:ascii="Arial" w:hAnsi="Arial" w:cs="Arial"/>
              </w:rPr>
            </w:pPr>
            <w:r w:rsidRPr="00653748">
              <w:rPr>
                <w:rFonts w:ascii="Arial" w:hAnsi="Arial" w:cs="Arial"/>
              </w:rPr>
              <w:t>Survey</w:t>
            </w:r>
          </w:p>
        </w:tc>
        <w:tc>
          <w:tcPr>
            <w:tcW w:w="957" w:type="dxa"/>
          </w:tcPr>
          <w:p w14:paraId="6AB59564" w14:textId="77777777" w:rsidR="00571CA3" w:rsidRPr="00653748" w:rsidRDefault="00571CA3" w:rsidP="00B4483B">
            <w:pPr>
              <w:rPr>
                <w:rFonts w:ascii="Arial" w:hAnsi="Arial" w:cs="Arial"/>
              </w:rPr>
            </w:pPr>
            <w:r w:rsidRPr="00653748">
              <w:rPr>
                <w:rFonts w:ascii="Arial" w:hAnsi="Arial" w:cs="Arial"/>
              </w:rPr>
              <w:t>Residents</w:t>
            </w:r>
          </w:p>
        </w:tc>
        <w:tc>
          <w:tcPr>
            <w:tcW w:w="1418" w:type="dxa"/>
          </w:tcPr>
          <w:p w14:paraId="5331063A" w14:textId="77777777" w:rsidR="00571CA3" w:rsidRPr="00653748" w:rsidRDefault="00571CA3" w:rsidP="00B4483B">
            <w:pPr>
              <w:rPr>
                <w:rFonts w:ascii="Arial" w:hAnsi="Arial" w:cs="Arial"/>
              </w:rPr>
            </w:pPr>
            <w:r w:rsidRPr="00653748">
              <w:rPr>
                <w:rFonts w:ascii="Arial" w:hAnsi="Arial" w:cs="Arial"/>
              </w:rPr>
              <w:t>Awareness, compliance</w:t>
            </w:r>
          </w:p>
        </w:tc>
        <w:tc>
          <w:tcPr>
            <w:tcW w:w="1542" w:type="dxa"/>
          </w:tcPr>
          <w:p w14:paraId="1AC8C44D" w14:textId="77777777" w:rsidR="00571CA3" w:rsidRPr="00653748" w:rsidRDefault="00571CA3" w:rsidP="00B4483B">
            <w:pPr>
              <w:rPr>
                <w:rFonts w:ascii="Arial" w:hAnsi="Arial" w:cs="Arial"/>
              </w:rPr>
            </w:pPr>
            <w:r w:rsidRPr="00653748">
              <w:rPr>
                <w:rFonts w:ascii="Arial" w:hAnsi="Arial" w:cs="Arial"/>
              </w:rPr>
              <w:t>Concluded that increased public awareness leads to greater support for green space initiatives.</w:t>
            </w:r>
          </w:p>
        </w:tc>
        <w:tc>
          <w:tcPr>
            <w:tcW w:w="1292" w:type="dxa"/>
          </w:tcPr>
          <w:p w14:paraId="231F80A9" w14:textId="77777777" w:rsidR="00571CA3" w:rsidRPr="00653748" w:rsidRDefault="00571CA3" w:rsidP="00B4483B">
            <w:pPr>
              <w:rPr>
                <w:rFonts w:ascii="Arial" w:hAnsi="Arial" w:cs="Arial"/>
              </w:rPr>
            </w:pPr>
            <w:r w:rsidRPr="00653748">
              <w:rPr>
                <w:rFonts w:ascii="Arial" w:hAnsi="Arial" w:cs="Arial"/>
              </w:rPr>
              <w:t>Limited Public Awareness</w:t>
            </w:r>
          </w:p>
        </w:tc>
      </w:tr>
      <w:tr w:rsidR="00571CA3" w:rsidRPr="00653748" w14:paraId="3F4D5068" w14:textId="77777777" w:rsidTr="00B4483B">
        <w:tc>
          <w:tcPr>
            <w:tcW w:w="1129" w:type="dxa"/>
          </w:tcPr>
          <w:p w14:paraId="75E97EF8" w14:textId="77777777" w:rsidR="00571CA3" w:rsidRPr="00653748" w:rsidRDefault="00571CA3" w:rsidP="00B4483B">
            <w:pPr>
              <w:rPr>
                <w:rFonts w:ascii="Arial" w:hAnsi="Arial" w:cs="Arial"/>
              </w:rPr>
            </w:pPr>
            <w:r w:rsidRPr="00653748">
              <w:rPr>
                <w:rFonts w:ascii="Arial" w:hAnsi="Arial" w:cs="Arial"/>
              </w:rPr>
              <w:lastRenderedPageBreak/>
              <w:t>Green Infrastructure and Urban Planning</w:t>
            </w:r>
          </w:p>
        </w:tc>
        <w:tc>
          <w:tcPr>
            <w:tcW w:w="1186" w:type="dxa"/>
          </w:tcPr>
          <w:p w14:paraId="19B8E403" w14:textId="77777777" w:rsidR="00571CA3" w:rsidRPr="00653748" w:rsidRDefault="00571CA3" w:rsidP="00B4483B">
            <w:pPr>
              <w:rPr>
                <w:rFonts w:ascii="Arial" w:hAnsi="Arial" w:cs="Arial"/>
              </w:rPr>
            </w:pPr>
            <w:proofErr w:type="spellStart"/>
            <w:r w:rsidRPr="00653748">
              <w:rPr>
                <w:rFonts w:ascii="Arial" w:hAnsi="Arial" w:cs="Arial"/>
              </w:rPr>
              <w:t>Kowarik</w:t>
            </w:r>
            <w:proofErr w:type="spellEnd"/>
            <w:r w:rsidRPr="00653748">
              <w:rPr>
                <w:rFonts w:ascii="Arial" w:hAnsi="Arial" w:cs="Arial"/>
              </w:rPr>
              <w:t>, I.</w:t>
            </w:r>
          </w:p>
        </w:tc>
        <w:tc>
          <w:tcPr>
            <w:tcW w:w="799" w:type="dxa"/>
          </w:tcPr>
          <w:p w14:paraId="650FFA90" w14:textId="77777777" w:rsidR="00571CA3" w:rsidRPr="00653748" w:rsidRDefault="00571CA3" w:rsidP="00B4483B">
            <w:pPr>
              <w:rPr>
                <w:rFonts w:ascii="Arial" w:hAnsi="Arial" w:cs="Arial"/>
              </w:rPr>
            </w:pPr>
            <w:r w:rsidRPr="00653748">
              <w:rPr>
                <w:rFonts w:ascii="Arial" w:hAnsi="Arial" w:cs="Arial"/>
              </w:rPr>
              <w:t>2011</w:t>
            </w:r>
          </w:p>
        </w:tc>
        <w:tc>
          <w:tcPr>
            <w:tcW w:w="1027" w:type="dxa"/>
          </w:tcPr>
          <w:p w14:paraId="310C5E59" w14:textId="77777777" w:rsidR="00571CA3" w:rsidRPr="00653748" w:rsidRDefault="00571CA3" w:rsidP="00B4483B">
            <w:pPr>
              <w:rPr>
                <w:rFonts w:ascii="Arial" w:hAnsi="Arial" w:cs="Arial"/>
              </w:rPr>
            </w:pPr>
            <w:r w:rsidRPr="00653748">
              <w:rPr>
                <w:rFonts w:ascii="Arial" w:hAnsi="Arial" w:cs="Arial"/>
              </w:rPr>
              <w:t>Literature Review</w:t>
            </w:r>
          </w:p>
        </w:tc>
        <w:tc>
          <w:tcPr>
            <w:tcW w:w="957" w:type="dxa"/>
          </w:tcPr>
          <w:p w14:paraId="428C55B9" w14:textId="77777777" w:rsidR="00571CA3" w:rsidRPr="00653748" w:rsidRDefault="00571CA3" w:rsidP="00B4483B">
            <w:pPr>
              <w:rPr>
                <w:rFonts w:ascii="Arial" w:hAnsi="Arial" w:cs="Arial"/>
              </w:rPr>
            </w:pPr>
            <w:r w:rsidRPr="00653748">
              <w:rPr>
                <w:rFonts w:ascii="Arial" w:hAnsi="Arial" w:cs="Arial"/>
              </w:rPr>
              <w:t>N/A</w:t>
            </w:r>
          </w:p>
        </w:tc>
        <w:tc>
          <w:tcPr>
            <w:tcW w:w="1418" w:type="dxa"/>
          </w:tcPr>
          <w:p w14:paraId="1CC1686F" w14:textId="77777777" w:rsidR="00571CA3" w:rsidRPr="00653748" w:rsidRDefault="00571CA3" w:rsidP="00B4483B">
            <w:pPr>
              <w:rPr>
                <w:rFonts w:ascii="Arial" w:hAnsi="Arial" w:cs="Arial"/>
              </w:rPr>
            </w:pPr>
            <w:proofErr w:type="spellStart"/>
            <w:r w:rsidRPr="00653748">
              <w:rPr>
                <w:rFonts w:ascii="Arial" w:hAnsi="Arial" w:cs="Arial"/>
              </w:rPr>
              <w:t>Infrastruc</w:t>
            </w:r>
            <w:r>
              <w:rPr>
                <w:rFonts w:ascii="Arial" w:hAnsi="Arial" w:cs="Arial"/>
              </w:rPr>
              <w:t>-</w:t>
            </w:r>
            <w:r w:rsidRPr="00653748">
              <w:rPr>
                <w:rFonts w:ascii="Arial" w:hAnsi="Arial" w:cs="Arial"/>
              </w:rPr>
              <w:t>ture</w:t>
            </w:r>
            <w:proofErr w:type="spellEnd"/>
            <w:r w:rsidRPr="00653748">
              <w:rPr>
                <w:rFonts w:ascii="Arial" w:hAnsi="Arial" w:cs="Arial"/>
              </w:rPr>
              <w:t>, planning</w:t>
            </w:r>
          </w:p>
        </w:tc>
        <w:tc>
          <w:tcPr>
            <w:tcW w:w="1542" w:type="dxa"/>
          </w:tcPr>
          <w:p w14:paraId="42D03614" w14:textId="77777777" w:rsidR="00571CA3" w:rsidRPr="00653748" w:rsidRDefault="00571CA3" w:rsidP="00B4483B">
            <w:pPr>
              <w:rPr>
                <w:rFonts w:ascii="Arial" w:hAnsi="Arial" w:cs="Arial"/>
              </w:rPr>
            </w:pPr>
            <w:r w:rsidRPr="00653748">
              <w:rPr>
                <w:rFonts w:ascii="Arial" w:hAnsi="Arial" w:cs="Arial"/>
              </w:rPr>
              <w:t>Emphasized the need for integrated green infrastructure in urban planning processes.</w:t>
            </w:r>
          </w:p>
        </w:tc>
        <w:tc>
          <w:tcPr>
            <w:tcW w:w="1292" w:type="dxa"/>
          </w:tcPr>
          <w:p w14:paraId="48B7693E" w14:textId="77777777" w:rsidR="00571CA3" w:rsidRPr="00653748" w:rsidRDefault="00571CA3" w:rsidP="00B4483B">
            <w:pPr>
              <w:rPr>
                <w:rFonts w:ascii="Arial" w:hAnsi="Arial" w:cs="Arial"/>
              </w:rPr>
            </w:pPr>
            <w:r w:rsidRPr="00653748">
              <w:rPr>
                <w:rFonts w:ascii="Arial" w:hAnsi="Arial" w:cs="Arial"/>
              </w:rPr>
              <w:t>Insufficient Coordination Among Stakeholders</w:t>
            </w:r>
          </w:p>
        </w:tc>
      </w:tr>
      <w:tr w:rsidR="00571CA3" w:rsidRPr="00653748" w14:paraId="0D7F4B4C" w14:textId="77777777" w:rsidTr="00B4483B">
        <w:tc>
          <w:tcPr>
            <w:tcW w:w="1129" w:type="dxa"/>
          </w:tcPr>
          <w:p w14:paraId="14127A4E" w14:textId="77777777" w:rsidR="00571CA3" w:rsidRPr="00653748" w:rsidRDefault="00571CA3" w:rsidP="00B4483B">
            <w:pPr>
              <w:rPr>
                <w:rFonts w:ascii="Arial" w:hAnsi="Arial" w:cs="Arial"/>
              </w:rPr>
            </w:pPr>
            <w:r w:rsidRPr="00653748">
              <w:rPr>
                <w:rFonts w:ascii="Arial" w:hAnsi="Arial" w:cs="Arial"/>
              </w:rPr>
              <w:t>Challenges in Urban Green Space Development</w:t>
            </w:r>
          </w:p>
        </w:tc>
        <w:tc>
          <w:tcPr>
            <w:tcW w:w="1186" w:type="dxa"/>
          </w:tcPr>
          <w:p w14:paraId="23EAB19E" w14:textId="77777777" w:rsidR="00571CA3" w:rsidRPr="00653748" w:rsidRDefault="00571CA3" w:rsidP="00B4483B">
            <w:pPr>
              <w:rPr>
                <w:rFonts w:ascii="Arial" w:hAnsi="Arial" w:cs="Arial"/>
              </w:rPr>
            </w:pPr>
            <w:r w:rsidRPr="00653748">
              <w:rPr>
                <w:rFonts w:ascii="Arial" w:hAnsi="Arial" w:cs="Arial"/>
              </w:rPr>
              <w:t>Jim, C. &amp; Chen, W.</w:t>
            </w:r>
          </w:p>
        </w:tc>
        <w:tc>
          <w:tcPr>
            <w:tcW w:w="799" w:type="dxa"/>
          </w:tcPr>
          <w:p w14:paraId="7DACC579" w14:textId="77777777" w:rsidR="00571CA3" w:rsidRPr="00653748" w:rsidRDefault="00571CA3" w:rsidP="00B4483B">
            <w:pPr>
              <w:rPr>
                <w:rFonts w:ascii="Arial" w:hAnsi="Arial" w:cs="Arial"/>
              </w:rPr>
            </w:pPr>
            <w:r w:rsidRPr="00653748">
              <w:rPr>
                <w:rFonts w:ascii="Arial" w:hAnsi="Arial" w:cs="Arial"/>
              </w:rPr>
              <w:t>2022</w:t>
            </w:r>
          </w:p>
        </w:tc>
        <w:tc>
          <w:tcPr>
            <w:tcW w:w="1027" w:type="dxa"/>
          </w:tcPr>
          <w:p w14:paraId="6820B34F" w14:textId="77777777" w:rsidR="00571CA3" w:rsidRPr="00653748" w:rsidRDefault="00571CA3" w:rsidP="00B4483B">
            <w:pPr>
              <w:rPr>
                <w:rFonts w:ascii="Arial" w:hAnsi="Arial" w:cs="Arial"/>
              </w:rPr>
            </w:pPr>
            <w:r w:rsidRPr="00653748">
              <w:rPr>
                <w:rFonts w:ascii="Arial" w:hAnsi="Arial" w:cs="Arial"/>
              </w:rPr>
              <w:t>Qualitative</w:t>
            </w:r>
          </w:p>
        </w:tc>
        <w:tc>
          <w:tcPr>
            <w:tcW w:w="957" w:type="dxa"/>
          </w:tcPr>
          <w:p w14:paraId="498BBD62" w14:textId="77777777" w:rsidR="00571CA3" w:rsidRPr="00653748" w:rsidRDefault="00571CA3" w:rsidP="00B4483B">
            <w:pPr>
              <w:rPr>
                <w:rFonts w:ascii="Arial" w:hAnsi="Arial" w:cs="Arial"/>
              </w:rPr>
            </w:pPr>
            <w:r w:rsidRPr="00653748">
              <w:rPr>
                <w:rFonts w:ascii="Arial" w:hAnsi="Arial" w:cs="Arial"/>
              </w:rPr>
              <w:t>Urban planners, local developers</w:t>
            </w:r>
          </w:p>
        </w:tc>
        <w:tc>
          <w:tcPr>
            <w:tcW w:w="1418" w:type="dxa"/>
          </w:tcPr>
          <w:p w14:paraId="10ED30B8" w14:textId="77777777" w:rsidR="00571CA3" w:rsidRPr="00653748" w:rsidRDefault="00571CA3" w:rsidP="00B4483B">
            <w:pPr>
              <w:rPr>
                <w:rFonts w:ascii="Arial" w:hAnsi="Arial" w:cs="Arial"/>
              </w:rPr>
            </w:pPr>
            <w:r w:rsidRPr="00653748">
              <w:rPr>
                <w:rFonts w:ascii="Arial" w:hAnsi="Arial" w:cs="Arial"/>
              </w:rPr>
              <w:t>Develop</w:t>
            </w:r>
            <w:r>
              <w:rPr>
                <w:rFonts w:ascii="Arial" w:hAnsi="Arial" w:cs="Arial"/>
              </w:rPr>
              <w:t>-</w:t>
            </w:r>
            <w:proofErr w:type="spellStart"/>
            <w:r w:rsidRPr="00653748">
              <w:rPr>
                <w:rFonts w:ascii="Arial" w:hAnsi="Arial" w:cs="Arial"/>
              </w:rPr>
              <w:t>ment</w:t>
            </w:r>
            <w:proofErr w:type="spellEnd"/>
            <w:r w:rsidRPr="00653748">
              <w:rPr>
                <w:rFonts w:ascii="Arial" w:hAnsi="Arial" w:cs="Arial"/>
              </w:rPr>
              <w:t xml:space="preserve"> pressures</w:t>
            </w:r>
          </w:p>
        </w:tc>
        <w:tc>
          <w:tcPr>
            <w:tcW w:w="1542" w:type="dxa"/>
          </w:tcPr>
          <w:p w14:paraId="7672CDB2" w14:textId="77777777" w:rsidR="00571CA3" w:rsidRPr="00653748" w:rsidRDefault="00571CA3" w:rsidP="00B4483B">
            <w:pPr>
              <w:rPr>
                <w:rFonts w:ascii="Arial" w:hAnsi="Arial" w:cs="Arial"/>
              </w:rPr>
            </w:pPr>
            <w:r w:rsidRPr="00653748">
              <w:rPr>
                <w:rFonts w:ascii="Arial" w:hAnsi="Arial" w:cs="Arial"/>
              </w:rPr>
              <w:t>Identified urban sprawl and competing land-use interests as significant challenges.</w:t>
            </w:r>
          </w:p>
        </w:tc>
        <w:tc>
          <w:tcPr>
            <w:tcW w:w="1292" w:type="dxa"/>
          </w:tcPr>
          <w:p w14:paraId="2D4A111D" w14:textId="77777777" w:rsidR="00571CA3" w:rsidRPr="00653748" w:rsidRDefault="00571CA3" w:rsidP="00B4483B">
            <w:pPr>
              <w:rPr>
                <w:rFonts w:ascii="Arial" w:hAnsi="Arial" w:cs="Arial"/>
              </w:rPr>
            </w:pPr>
            <w:r w:rsidRPr="00653748">
              <w:rPr>
                <w:rFonts w:ascii="Arial" w:hAnsi="Arial" w:cs="Arial"/>
              </w:rPr>
              <w:t>Urban Sprawl</w:t>
            </w:r>
          </w:p>
        </w:tc>
      </w:tr>
      <w:tr w:rsidR="00571CA3" w:rsidRPr="00653748" w14:paraId="5CF6D724" w14:textId="77777777" w:rsidTr="00B4483B">
        <w:tc>
          <w:tcPr>
            <w:tcW w:w="1129" w:type="dxa"/>
          </w:tcPr>
          <w:p w14:paraId="67785A34" w14:textId="77777777" w:rsidR="00571CA3" w:rsidRPr="00653748" w:rsidRDefault="00571CA3" w:rsidP="00B4483B">
            <w:pPr>
              <w:rPr>
                <w:rFonts w:ascii="Arial" w:hAnsi="Arial" w:cs="Arial"/>
              </w:rPr>
            </w:pPr>
            <w:r w:rsidRPr="00653748">
              <w:rPr>
                <w:rFonts w:ascii="Arial" w:hAnsi="Arial" w:cs="Arial"/>
              </w:rPr>
              <w:t>Assessing the Effectiveness of Zoning Ordinances</w:t>
            </w:r>
          </w:p>
        </w:tc>
        <w:tc>
          <w:tcPr>
            <w:tcW w:w="1186" w:type="dxa"/>
          </w:tcPr>
          <w:p w14:paraId="0F29748E" w14:textId="77777777" w:rsidR="00571CA3" w:rsidRPr="00653748" w:rsidRDefault="00571CA3" w:rsidP="00B4483B">
            <w:pPr>
              <w:rPr>
                <w:rFonts w:ascii="Arial" w:hAnsi="Arial" w:cs="Arial"/>
              </w:rPr>
            </w:pPr>
            <w:r w:rsidRPr="00653748">
              <w:rPr>
                <w:rFonts w:ascii="Arial" w:hAnsi="Arial" w:cs="Arial"/>
              </w:rPr>
              <w:t>Talen, E.</w:t>
            </w:r>
          </w:p>
        </w:tc>
        <w:tc>
          <w:tcPr>
            <w:tcW w:w="799" w:type="dxa"/>
          </w:tcPr>
          <w:p w14:paraId="44692222" w14:textId="77777777" w:rsidR="00571CA3" w:rsidRPr="00653748" w:rsidRDefault="00571CA3" w:rsidP="00B4483B">
            <w:pPr>
              <w:rPr>
                <w:rFonts w:ascii="Arial" w:hAnsi="Arial" w:cs="Arial"/>
              </w:rPr>
            </w:pPr>
            <w:r w:rsidRPr="00653748">
              <w:rPr>
                <w:rFonts w:ascii="Arial" w:hAnsi="Arial" w:cs="Arial"/>
              </w:rPr>
              <w:t>2019</w:t>
            </w:r>
          </w:p>
        </w:tc>
        <w:tc>
          <w:tcPr>
            <w:tcW w:w="1027" w:type="dxa"/>
          </w:tcPr>
          <w:p w14:paraId="104F552F" w14:textId="77777777" w:rsidR="00571CA3" w:rsidRPr="00653748" w:rsidRDefault="00571CA3" w:rsidP="00B4483B">
            <w:pPr>
              <w:rPr>
                <w:rFonts w:ascii="Arial" w:hAnsi="Arial" w:cs="Arial"/>
              </w:rPr>
            </w:pPr>
            <w:r w:rsidRPr="00653748">
              <w:rPr>
                <w:rFonts w:ascii="Arial" w:hAnsi="Arial" w:cs="Arial"/>
              </w:rPr>
              <w:t>Quantitative</w:t>
            </w:r>
          </w:p>
        </w:tc>
        <w:tc>
          <w:tcPr>
            <w:tcW w:w="957" w:type="dxa"/>
          </w:tcPr>
          <w:p w14:paraId="4E83B5F4" w14:textId="77777777" w:rsidR="00571CA3" w:rsidRPr="00653748" w:rsidRDefault="00571CA3" w:rsidP="00B4483B">
            <w:pPr>
              <w:rPr>
                <w:rFonts w:ascii="Arial" w:hAnsi="Arial" w:cs="Arial"/>
              </w:rPr>
            </w:pPr>
            <w:r w:rsidRPr="00653748">
              <w:rPr>
                <w:rFonts w:ascii="Arial" w:hAnsi="Arial" w:cs="Arial"/>
              </w:rPr>
              <w:t>Developers, planners</w:t>
            </w:r>
          </w:p>
        </w:tc>
        <w:tc>
          <w:tcPr>
            <w:tcW w:w="1418" w:type="dxa"/>
          </w:tcPr>
          <w:p w14:paraId="2DE82F3A" w14:textId="77777777" w:rsidR="00571CA3" w:rsidRPr="00653748" w:rsidRDefault="00571CA3" w:rsidP="00B4483B">
            <w:pPr>
              <w:rPr>
                <w:rFonts w:ascii="Arial" w:hAnsi="Arial" w:cs="Arial"/>
              </w:rPr>
            </w:pPr>
            <w:r w:rsidRPr="00653748">
              <w:rPr>
                <w:rFonts w:ascii="Arial" w:hAnsi="Arial" w:cs="Arial"/>
              </w:rPr>
              <w:t>Compliance rates</w:t>
            </w:r>
          </w:p>
        </w:tc>
        <w:tc>
          <w:tcPr>
            <w:tcW w:w="1542" w:type="dxa"/>
          </w:tcPr>
          <w:p w14:paraId="3F6898E4" w14:textId="77777777" w:rsidR="00571CA3" w:rsidRPr="00653748" w:rsidRDefault="00571CA3" w:rsidP="00B4483B">
            <w:pPr>
              <w:rPr>
                <w:rFonts w:ascii="Arial" w:hAnsi="Arial" w:cs="Arial"/>
              </w:rPr>
            </w:pPr>
            <w:r w:rsidRPr="00653748">
              <w:rPr>
                <w:rFonts w:ascii="Arial" w:hAnsi="Arial" w:cs="Arial"/>
              </w:rPr>
              <w:t>Found that strict penalties increase compliance with zoning ordinances.</w:t>
            </w:r>
          </w:p>
        </w:tc>
        <w:tc>
          <w:tcPr>
            <w:tcW w:w="1292" w:type="dxa"/>
          </w:tcPr>
          <w:p w14:paraId="2ABE2DFC" w14:textId="77777777" w:rsidR="00571CA3" w:rsidRPr="00653748" w:rsidRDefault="00571CA3" w:rsidP="00B4483B">
            <w:pPr>
              <w:rPr>
                <w:rFonts w:ascii="Arial" w:hAnsi="Arial" w:cs="Arial"/>
              </w:rPr>
            </w:pPr>
            <w:r w:rsidRPr="00653748">
              <w:rPr>
                <w:rFonts w:ascii="Arial" w:hAnsi="Arial" w:cs="Arial"/>
              </w:rPr>
              <w:t>Inade</w:t>
            </w:r>
            <w:r>
              <w:rPr>
                <w:rFonts w:ascii="Arial" w:hAnsi="Arial" w:cs="Arial"/>
              </w:rPr>
              <w:t>-</w:t>
            </w:r>
            <w:r w:rsidRPr="00653748">
              <w:rPr>
                <w:rFonts w:ascii="Arial" w:hAnsi="Arial" w:cs="Arial"/>
              </w:rPr>
              <w:t>quate Enforcement Mechanisms</w:t>
            </w:r>
          </w:p>
        </w:tc>
      </w:tr>
      <w:tr w:rsidR="00571CA3" w:rsidRPr="00653748" w14:paraId="2146DB4A" w14:textId="77777777" w:rsidTr="00B4483B">
        <w:tc>
          <w:tcPr>
            <w:tcW w:w="1129" w:type="dxa"/>
          </w:tcPr>
          <w:p w14:paraId="04A85B92" w14:textId="77777777" w:rsidR="00571CA3" w:rsidRPr="00653748" w:rsidRDefault="00571CA3" w:rsidP="00B4483B">
            <w:pPr>
              <w:rPr>
                <w:rFonts w:ascii="Arial" w:hAnsi="Arial" w:cs="Arial"/>
              </w:rPr>
            </w:pPr>
            <w:r w:rsidRPr="00653748">
              <w:rPr>
                <w:rFonts w:ascii="Arial" w:hAnsi="Arial" w:cs="Arial"/>
              </w:rPr>
              <w:t>Stakeholder Collaboration in Urban Planning</w:t>
            </w:r>
          </w:p>
        </w:tc>
        <w:tc>
          <w:tcPr>
            <w:tcW w:w="1186" w:type="dxa"/>
          </w:tcPr>
          <w:p w14:paraId="49CD9B33" w14:textId="77777777" w:rsidR="00571CA3" w:rsidRPr="00653748" w:rsidRDefault="00571CA3" w:rsidP="00B4483B">
            <w:pPr>
              <w:rPr>
                <w:rFonts w:ascii="Arial" w:hAnsi="Arial" w:cs="Arial"/>
              </w:rPr>
            </w:pPr>
            <w:r w:rsidRPr="00653748">
              <w:rPr>
                <w:rFonts w:ascii="Arial" w:hAnsi="Arial" w:cs="Arial"/>
              </w:rPr>
              <w:t>Bulkeley, H. &amp; Betsill, M.</w:t>
            </w:r>
          </w:p>
        </w:tc>
        <w:tc>
          <w:tcPr>
            <w:tcW w:w="799" w:type="dxa"/>
          </w:tcPr>
          <w:p w14:paraId="6FC7BEFA" w14:textId="77777777" w:rsidR="00571CA3" w:rsidRPr="00653748" w:rsidRDefault="00571CA3" w:rsidP="00B4483B">
            <w:pPr>
              <w:rPr>
                <w:rFonts w:ascii="Arial" w:hAnsi="Arial" w:cs="Arial"/>
              </w:rPr>
            </w:pPr>
            <w:r w:rsidRPr="00653748">
              <w:rPr>
                <w:rFonts w:ascii="Arial" w:hAnsi="Arial" w:cs="Arial"/>
              </w:rPr>
              <w:t>2015</w:t>
            </w:r>
          </w:p>
        </w:tc>
        <w:tc>
          <w:tcPr>
            <w:tcW w:w="1027" w:type="dxa"/>
          </w:tcPr>
          <w:p w14:paraId="5CF679A6" w14:textId="77777777" w:rsidR="00571CA3" w:rsidRPr="00653748" w:rsidRDefault="00571CA3" w:rsidP="00B4483B">
            <w:pPr>
              <w:rPr>
                <w:rFonts w:ascii="Arial" w:hAnsi="Arial" w:cs="Arial"/>
              </w:rPr>
            </w:pPr>
            <w:r w:rsidRPr="00653748">
              <w:rPr>
                <w:rFonts w:ascii="Arial" w:hAnsi="Arial" w:cs="Arial"/>
              </w:rPr>
              <w:t>Case Study</w:t>
            </w:r>
          </w:p>
        </w:tc>
        <w:tc>
          <w:tcPr>
            <w:tcW w:w="957" w:type="dxa"/>
          </w:tcPr>
          <w:p w14:paraId="76A5C6D1" w14:textId="77777777" w:rsidR="00571CA3" w:rsidRPr="00653748" w:rsidRDefault="00571CA3" w:rsidP="00B4483B">
            <w:pPr>
              <w:rPr>
                <w:rFonts w:ascii="Arial" w:hAnsi="Arial" w:cs="Arial"/>
              </w:rPr>
            </w:pPr>
            <w:r w:rsidRPr="00653748">
              <w:rPr>
                <w:rFonts w:ascii="Arial" w:hAnsi="Arial" w:cs="Arial"/>
              </w:rPr>
              <w:t>Government and community groups</w:t>
            </w:r>
          </w:p>
        </w:tc>
        <w:tc>
          <w:tcPr>
            <w:tcW w:w="1418" w:type="dxa"/>
          </w:tcPr>
          <w:p w14:paraId="50C9473F" w14:textId="77777777" w:rsidR="00571CA3" w:rsidRPr="00653748" w:rsidRDefault="00571CA3" w:rsidP="00B4483B">
            <w:pPr>
              <w:rPr>
                <w:rFonts w:ascii="Arial" w:hAnsi="Arial" w:cs="Arial"/>
              </w:rPr>
            </w:pPr>
            <w:proofErr w:type="spellStart"/>
            <w:r w:rsidRPr="00653748">
              <w:rPr>
                <w:rFonts w:ascii="Arial" w:hAnsi="Arial" w:cs="Arial"/>
              </w:rPr>
              <w:t>Collabora</w:t>
            </w:r>
            <w:r>
              <w:rPr>
                <w:rFonts w:ascii="Arial" w:hAnsi="Arial" w:cs="Arial"/>
              </w:rPr>
              <w:t>-</w:t>
            </w:r>
            <w:r w:rsidRPr="00653748">
              <w:rPr>
                <w:rFonts w:ascii="Arial" w:hAnsi="Arial" w:cs="Arial"/>
              </w:rPr>
              <w:t>tion</w:t>
            </w:r>
            <w:proofErr w:type="spellEnd"/>
          </w:p>
        </w:tc>
        <w:tc>
          <w:tcPr>
            <w:tcW w:w="1542" w:type="dxa"/>
          </w:tcPr>
          <w:p w14:paraId="54BF1786" w14:textId="77777777" w:rsidR="00571CA3" w:rsidRPr="00653748" w:rsidRDefault="00571CA3" w:rsidP="00B4483B">
            <w:pPr>
              <w:rPr>
                <w:rFonts w:ascii="Arial" w:hAnsi="Arial" w:cs="Arial"/>
              </w:rPr>
            </w:pPr>
            <w:r w:rsidRPr="00653748">
              <w:rPr>
                <w:rFonts w:ascii="Arial" w:hAnsi="Arial" w:cs="Arial"/>
              </w:rPr>
              <w:t>Highlighted the importance of multi-level governance in achieving effective urban planning.</w:t>
            </w:r>
          </w:p>
        </w:tc>
        <w:tc>
          <w:tcPr>
            <w:tcW w:w="1292" w:type="dxa"/>
          </w:tcPr>
          <w:p w14:paraId="41F64F23" w14:textId="77777777" w:rsidR="00571CA3" w:rsidRPr="00653748" w:rsidRDefault="00571CA3" w:rsidP="00B4483B">
            <w:pPr>
              <w:rPr>
                <w:rFonts w:ascii="Arial" w:hAnsi="Arial" w:cs="Arial"/>
              </w:rPr>
            </w:pPr>
            <w:r w:rsidRPr="00653748">
              <w:rPr>
                <w:rFonts w:ascii="Arial" w:hAnsi="Arial" w:cs="Arial"/>
              </w:rPr>
              <w:t xml:space="preserve">Insufficient </w:t>
            </w:r>
            <w:proofErr w:type="spellStart"/>
            <w:r w:rsidRPr="00653748">
              <w:rPr>
                <w:rFonts w:ascii="Arial" w:hAnsi="Arial" w:cs="Arial"/>
              </w:rPr>
              <w:t>Coordina</w:t>
            </w:r>
            <w:r>
              <w:rPr>
                <w:rFonts w:ascii="Arial" w:hAnsi="Arial" w:cs="Arial"/>
              </w:rPr>
              <w:t>-</w:t>
            </w:r>
            <w:r w:rsidRPr="00653748">
              <w:rPr>
                <w:rFonts w:ascii="Arial" w:hAnsi="Arial" w:cs="Arial"/>
              </w:rPr>
              <w:t>tion</w:t>
            </w:r>
            <w:proofErr w:type="spellEnd"/>
            <w:r w:rsidRPr="00653748">
              <w:rPr>
                <w:rFonts w:ascii="Arial" w:hAnsi="Arial" w:cs="Arial"/>
              </w:rPr>
              <w:t xml:space="preserve"> Among </w:t>
            </w:r>
            <w:proofErr w:type="spellStart"/>
            <w:r w:rsidRPr="00653748">
              <w:rPr>
                <w:rFonts w:ascii="Arial" w:hAnsi="Arial" w:cs="Arial"/>
              </w:rPr>
              <w:t>Stakehol</w:t>
            </w:r>
            <w:r>
              <w:rPr>
                <w:rFonts w:ascii="Arial" w:hAnsi="Arial" w:cs="Arial"/>
              </w:rPr>
              <w:t>-</w:t>
            </w:r>
            <w:r w:rsidRPr="00653748">
              <w:rPr>
                <w:rFonts w:ascii="Arial" w:hAnsi="Arial" w:cs="Arial"/>
              </w:rPr>
              <w:t>ders</w:t>
            </w:r>
            <w:proofErr w:type="spellEnd"/>
          </w:p>
        </w:tc>
      </w:tr>
      <w:tr w:rsidR="00571CA3" w:rsidRPr="00653748" w14:paraId="6F149C5D" w14:textId="77777777" w:rsidTr="00B4483B">
        <w:tc>
          <w:tcPr>
            <w:tcW w:w="1129" w:type="dxa"/>
          </w:tcPr>
          <w:p w14:paraId="36577D1A" w14:textId="77777777" w:rsidR="00571CA3" w:rsidRPr="00653748" w:rsidRDefault="00571CA3" w:rsidP="00B4483B">
            <w:pPr>
              <w:rPr>
                <w:rFonts w:ascii="Arial" w:hAnsi="Arial" w:cs="Arial"/>
              </w:rPr>
            </w:pPr>
            <w:r w:rsidRPr="00653748">
              <w:rPr>
                <w:rFonts w:ascii="Arial" w:hAnsi="Arial" w:cs="Arial"/>
              </w:rPr>
              <w:t>Urban Green Spaces and Public Health</w:t>
            </w:r>
          </w:p>
        </w:tc>
        <w:tc>
          <w:tcPr>
            <w:tcW w:w="1186" w:type="dxa"/>
          </w:tcPr>
          <w:p w14:paraId="55671267" w14:textId="77777777" w:rsidR="00571CA3" w:rsidRPr="00653748" w:rsidRDefault="00571CA3" w:rsidP="00B4483B">
            <w:pPr>
              <w:rPr>
                <w:rFonts w:ascii="Arial" w:hAnsi="Arial" w:cs="Arial"/>
              </w:rPr>
            </w:pPr>
            <w:r w:rsidRPr="00653748">
              <w:rPr>
                <w:rFonts w:ascii="Arial" w:hAnsi="Arial" w:cs="Arial"/>
              </w:rPr>
              <w:t>Lemos, M. C. &amp; Agrawal, A.</w:t>
            </w:r>
          </w:p>
        </w:tc>
        <w:tc>
          <w:tcPr>
            <w:tcW w:w="799" w:type="dxa"/>
          </w:tcPr>
          <w:p w14:paraId="6E39EFF4" w14:textId="77777777" w:rsidR="00571CA3" w:rsidRPr="00653748" w:rsidRDefault="00571CA3" w:rsidP="00B4483B">
            <w:pPr>
              <w:rPr>
                <w:rFonts w:ascii="Arial" w:hAnsi="Arial" w:cs="Arial"/>
              </w:rPr>
            </w:pPr>
            <w:r w:rsidRPr="00653748">
              <w:rPr>
                <w:rFonts w:ascii="Arial" w:hAnsi="Arial" w:cs="Arial"/>
              </w:rPr>
              <w:t>2006</w:t>
            </w:r>
          </w:p>
        </w:tc>
        <w:tc>
          <w:tcPr>
            <w:tcW w:w="1027" w:type="dxa"/>
          </w:tcPr>
          <w:p w14:paraId="3FB74B1E" w14:textId="77777777" w:rsidR="00571CA3" w:rsidRPr="00653748" w:rsidRDefault="00571CA3" w:rsidP="00B4483B">
            <w:pPr>
              <w:rPr>
                <w:rFonts w:ascii="Arial" w:hAnsi="Arial" w:cs="Arial"/>
              </w:rPr>
            </w:pPr>
            <w:r w:rsidRPr="00653748">
              <w:rPr>
                <w:rFonts w:ascii="Arial" w:hAnsi="Arial" w:cs="Arial"/>
              </w:rPr>
              <w:t>Review</w:t>
            </w:r>
          </w:p>
        </w:tc>
        <w:tc>
          <w:tcPr>
            <w:tcW w:w="957" w:type="dxa"/>
          </w:tcPr>
          <w:p w14:paraId="75C991E4" w14:textId="77777777" w:rsidR="00571CA3" w:rsidRPr="00653748" w:rsidRDefault="00571CA3" w:rsidP="00B4483B">
            <w:pPr>
              <w:rPr>
                <w:rFonts w:ascii="Arial" w:hAnsi="Arial" w:cs="Arial"/>
              </w:rPr>
            </w:pPr>
            <w:r w:rsidRPr="00653748">
              <w:rPr>
                <w:rFonts w:ascii="Arial" w:hAnsi="Arial" w:cs="Arial"/>
              </w:rPr>
              <w:t>N/A</w:t>
            </w:r>
          </w:p>
        </w:tc>
        <w:tc>
          <w:tcPr>
            <w:tcW w:w="1418" w:type="dxa"/>
          </w:tcPr>
          <w:p w14:paraId="50EEC96B" w14:textId="77777777" w:rsidR="00571CA3" w:rsidRPr="00653748" w:rsidRDefault="00571CA3" w:rsidP="00B4483B">
            <w:pPr>
              <w:rPr>
                <w:rFonts w:ascii="Arial" w:hAnsi="Arial" w:cs="Arial"/>
              </w:rPr>
            </w:pPr>
            <w:r w:rsidRPr="00653748">
              <w:rPr>
                <w:rFonts w:ascii="Arial" w:hAnsi="Arial" w:cs="Arial"/>
              </w:rPr>
              <w:t>Health benefits</w:t>
            </w:r>
          </w:p>
        </w:tc>
        <w:tc>
          <w:tcPr>
            <w:tcW w:w="1542" w:type="dxa"/>
          </w:tcPr>
          <w:p w14:paraId="73B1F5CB" w14:textId="77777777" w:rsidR="00571CA3" w:rsidRPr="00653748" w:rsidRDefault="00571CA3" w:rsidP="00B4483B">
            <w:pPr>
              <w:rPr>
                <w:rFonts w:ascii="Arial" w:hAnsi="Arial" w:cs="Arial"/>
              </w:rPr>
            </w:pPr>
            <w:r w:rsidRPr="00653748">
              <w:rPr>
                <w:rFonts w:ascii="Arial" w:hAnsi="Arial" w:cs="Arial"/>
              </w:rPr>
              <w:t>Discussed the positive correlation between green spaces and public health outcomes.</w:t>
            </w:r>
          </w:p>
        </w:tc>
        <w:tc>
          <w:tcPr>
            <w:tcW w:w="1292" w:type="dxa"/>
          </w:tcPr>
          <w:p w14:paraId="0D2F6A7B" w14:textId="77777777" w:rsidR="00571CA3" w:rsidRPr="00653748" w:rsidRDefault="00571CA3" w:rsidP="00B4483B">
            <w:pPr>
              <w:rPr>
                <w:rFonts w:ascii="Arial" w:hAnsi="Arial" w:cs="Arial"/>
              </w:rPr>
            </w:pPr>
            <w:r w:rsidRPr="00653748">
              <w:rPr>
                <w:rFonts w:ascii="Arial" w:hAnsi="Arial" w:cs="Arial"/>
              </w:rPr>
              <w:t>Limited Public Aware</w:t>
            </w:r>
            <w:r>
              <w:rPr>
                <w:rFonts w:ascii="Arial" w:hAnsi="Arial" w:cs="Arial"/>
              </w:rPr>
              <w:t>-</w:t>
            </w:r>
            <w:r w:rsidRPr="00653748">
              <w:rPr>
                <w:rFonts w:ascii="Arial" w:hAnsi="Arial" w:cs="Arial"/>
              </w:rPr>
              <w:t>ness</w:t>
            </w:r>
          </w:p>
        </w:tc>
      </w:tr>
      <w:tr w:rsidR="00571CA3" w:rsidRPr="00653748" w14:paraId="6D4886FD" w14:textId="77777777" w:rsidTr="00B4483B">
        <w:tc>
          <w:tcPr>
            <w:tcW w:w="1129" w:type="dxa"/>
          </w:tcPr>
          <w:p w14:paraId="04BF9805" w14:textId="77777777" w:rsidR="00571CA3" w:rsidRPr="00653748" w:rsidRDefault="00571CA3" w:rsidP="00B4483B">
            <w:pPr>
              <w:rPr>
                <w:rFonts w:ascii="Arial" w:hAnsi="Arial" w:cs="Arial"/>
              </w:rPr>
            </w:pPr>
            <w:r w:rsidRPr="00653748">
              <w:rPr>
                <w:rFonts w:ascii="Arial" w:hAnsi="Arial" w:cs="Arial"/>
              </w:rPr>
              <w:t>Barriers to Urban Green Space Compliance</w:t>
            </w:r>
          </w:p>
        </w:tc>
        <w:tc>
          <w:tcPr>
            <w:tcW w:w="1186" w:type="dxa"/>
          </w:tcPr>
          <w:p w14:paraId="4537B196" w14:textId="77777777" w:rsidR="00571CA3" w:rsidRPr="00653748" w:rsidRDefault="00571CA3" w:rsidP="00B4483B">
            <w:pPr>
              <w:rPr>
                <w:rFonts w:ascii="Arial" w:hAnsi="Arial" w:cs="Arial"/>
              </w:rPr>
            </w:pPr>
            <w:r w:rsidRPr="00653748">
              <w:rPr>
                <w:rFonts w:ascii="Arial" w:hAnsi="Arial" w:cs="Arial"/>
              </w:rPr>
              <w:t>Scott, W. R.</w:t>
            </w:r>
          </w:p>
        </w:tc>
        <w:tc>
          <w:tcPr>
            <w:tcW w:w="799" w:type="dxa"/>
          </w:tcPr>
          <w:p w14:paraId="04A4A30F" w14:textId="77777777" w:rsidR="00571CA3" w:rsidRPr="00653748" w:rsidRDefault="00571CA3" w:rsidP="00B4483B">
            <w:pPr>
              <w:rPr>
                <w:rFonts w:ascii="Arial" w:hAnsi="Arial" w:cs="Arial"/>
              </w:rPr>
            </w:pPr>
            <w:r w:rsidRPr="00653748">
              <w:rPr>
                <w:rFonts w:ascii="Arial" w:hAnsi="Arial" w:cs="Arial"/>
              </w:rPr>
              <w:t>2004</w:t>
            </w:r>
          </w:p>
        </w:tc>
        <w:tc>
          <w:tcPr>
            <w:tcW w:w="1027" w:type="dxa"/>
          </w:tcPr>
          <w:p w14:paraId="3B102894" w14:textId="77777777" w:rsidR="00571CA3" w:rsidRPr="00653748" w:rsidRDefault="00571CA3" w:rsidP="00B4483B">
            <w:pPr>
              <w:rPr>
                <w:rFonts w:ascii="Arial" w:hAnsi="Arial" w:cs="Arial"/>
              </w:rPr>
            </w:pPr>
            <w:r w:rsidRPr="00653748">
              <w:rPr>
                <w:rFonts w:ascii="Arial" w:hAnsi="Arial" w:cs="Arial"/>
              </w:rPr>
              <w:t>Theoretical</w:t>
            </w:r>
          </w:p>
        </w:tc>
        <w:tc>
          <w:tcPr>
            <w:tcW w:w="957" w:type="dxa"/>
          </w:tcPr>
          <w:p w14:paraId="75F17D18" w14:textId="77777777" w:rsidR="00571CA3" w:rsidRPr="00653748" w:rsidRDefault="00571CA3" w:rsidP="00B4483B">
            <w:pPr>
              <w:rPr>
                <w:rFonts w:ascii="Arial" w:hAnsi="Arial" w:cs="Arial"/>
              </w:rPr>
            </w:pPr>
            <w:r w:rsidRPr="00653748">
              <w:rPr>
                <w:rFonts w:ascii="Arial" w:hAnsi="Arial" w:cs="Arial"/>
              </w:rPr>
              <w:t>N/A</w:t>
            </w:r>
          </w:p>
        </w:tc>
        <w:tc>
          <w:tcPr>
            <w:tcW w:w="1418" w:type="dxa"/>
          </w:tcPr>
          <w:p w14:paraId="4C58FEEC" w14:textId="77777777" w:rsidR="00571CA3" w:rsidRPr="00653748" w:rsidRDefault="00571CA3" w:rsidP="00B4483B">
            <w:pPr>
              <w:rPr>
                <w:rFonts w:ascii="Arial" w:hAnsi="Arial" w:cs="Arial"/>
              </w:rPr>
            </w:pPr>
            <w:r w:rsidRPr="00653748">
              <w:rPr>
                <w:rFonts w:ascii="Arial" w:hAnsi="Arial" w:cs="Arial"/>
              </w:rPr>
              <w:t>Institutional challenges</w:t>
            </w:r>
          </w:p>
        </w:tc>
        <w:tc>
          <w:tcPr>
            <w:tcW w:w="1542" w:type="dxa"/>
          </w:tcPr>
          <w:p w14:paraId="0D3891A8" w14:textId="77777777" w:rsidR="00571CA3" w:rsidRPr="00653748" w:rsidRDefault="00571CA3" w:rsidP="00B4483B">
            <w:pPr>
              <w:rPr>
                <w:rFonts w:ascii="Arial" w:hAnsi="Arial" w:cs="Arial"/>
              </w:rPr>
            </w:pPr>
            <w:r w:rsidRPr="00653748">
              <w:rPr>
                <w:rFonts w:ascii="Arial" w:hAnsi="Arial" w:cs="Arial"/>
              </w:rPr>
              <w:t>Identified institutional inefficiencies as barriers to effective enforcement of ordinances.</w:t>
            </w:r>
          </w:p>
        </w:tc>
        <w:tc>
          <w:tcPr>
            <w:tcW w:w="1292" w:type="dxa"/>
          </w:tcPr>
          <w:p w14:paraId="4E389F6A" w14:textId="77777777" w:rsidR="00571CA3" w:rsidRPr="00653748" w:rsidRDefault="00571CA3" w:rsidP="00B4483B">
            <w:pPr>
              <w:rPr>
                <w:rFonts w:ascii="Arial" w:hAnsi="Arial" w:cs="Arial"/>
              </w:rPr>
            </w:pPr>
            <w:r w:rsidRPr="00653748">
              <w:rPr>
                <w:rFonts w:ascii="Arial" w:hAnsi="Arial" w:cs="Arial"/>
              </w:rPr>
              <w:t xml:space="preserve">Weak </w:t>
            </w:r>
            <w:proofErr w:type="spellStart"/>
            <w:r w:rsidRPr="00653748">
              <w:rPr>
                <w:rFonts w:ascii="Arial" w:hAnsi="Arial" w:cs="Arial"/>
              </w:rPr>
              <w:t>Institutio</w:t>
            </w:r>
            <w:r>
              <w:rPr>
                <w:rFonts w:ascii="Arial" w:hAnsi="Arial" w:cs="Arial"/>
              </w:rPr>
              <w:t>-</w:t>
            </w:r>
            <w:r w:rsidRPr="00653748">
              <w:rPr>
                <w:rFonts w:ascii="Arial" w:hAnsi="Arial" w:cs="Arial"/>
              </w:rPr>
              <w:t>nal</w:t>
            </w:r>
            <w:proofErr w:type="spellEnd"/>
            <w:r w:rsidRPr="00653748">
              <w:rPr>
                <w:rFonts w:ascii="Arial" w:hAnsi="Arial" w:cs="Arial"/>
              </w:rPr>
              <w:t xml:space="preserve"> Capacity</w:t>
            </w:r>
          </w:p>
        </w:tc>
      </w:tr>
      <w:tr w:rsidR="00571CA3" w:rsidRPr="00653748" w14:paraId="2C47D3A0" w14:textId="77777777" w:rsidTr="00B4483B">
        <w:tc>
          <w:tcPr>
            <w:tcW w:w="1129" w:type="dxa"/>
          </w:tcPr>
          <w:p w14:paraId="126F7DD1" w14:textId="77777777" w:rsidR="00571CA3" w:rsidRPr="00653748" w:rsidRDefault="00571CA3" w:rsidP="00B4483B">
            <w:pPr>
              <w:rPr>
                <w:rFonts w:ascii="Arial" w:hAnsi="Arial" w:cs="Arial"/>
              </w:rPr>
            </w:pPr>
            <w:proofErr w:type="spellStart"/>
            <w:r w:rsidRPr="00653748">
              <w:rPr>
                <w:rFonts w:ascii="Arial" w:hAnsi="Arial" w:cs="Arial"/>
              </w:rPr>
              <w:lastRenderedPageBreak/>
              <w:t>Evalua</w:t>
            </w:r>
            <w:proofErr w:type="spellEnd"/>
            <w:r>
              <w:rPr>
                <w:rFonts w:ascii="Arial" w:hAnsi="Arial" w:cs="Arial"/>
              </w:rPr>
              <w:t>-</w:t>
            </w:r>
            <w:r w:rsidRPr="00653748">
              <w:rPr>
                <w:rFonts w:ascii="Arial" w:hAnsi="Arial" w:cs="Arial"/>
              </w:rPr>
              <w:t>ting Urban Heat Island Effects</w:t>
            </w:r>
          </w:p>
        </w:tc>
        <w:tc>
          <w:tcPr>
            <w:tcW w:w="1186" w:type="dxa"/>
          </w:tcPr>
          <w:p w14:paraId="5A3A6F99" w14:textId="77777777" w:rsidR="00571CA3" w:rsidRPr="00653748" w:rsidRDefault="00571CA3" w:rsidP="00B4483B">
            <w:pPr>
              <w:rPr>
                <w:rFonts w:ascii="Arial" w:hAnsi="Arial" w:cs="Arial"/>
              </w:rPr>
            </w:pPr>
            <w:r w:rsidRPr="00653748">
              <w:rPr>
                <w:rFonts w:ascii="Arial" w:hAnsi="Arial" w:cs="Arial"/>
              </w:rPr>
              <w:t>Kabisch, N. &amp; Haase, D.</w:t>
            </w:r>
          </w:p>
        </w:tc>
        <w:tc>
          <w:tcPr>
            <w:tcW w:w="799" w:type="dxa"/>
          </w:tcPr>
          <w:p w14:paraId="0ED83506" w14:textId="77777777" w:rsidR="00571CA3" w:rsidRPr="00653748" w:rsidRDefault="00571CA3" w:rsidP="00B4483B">
            <w:pPr>
              <w:rPr>
                <w:rFonts w:ascii="Arial" w:hAnsi="Arial" w:cs="Arial"/>
              </w:rPr>
            </w:pPr>
            <w:r w:rsidRPr="00653748">
              <w:rPr>
                <w:rFonts w:ascii="Arial" w:hAnsi="Arial" w:cs="Arial"/>
              </w:rPr>
              <w:t>2019</w:t>
            </w:r>
          </w:p>
        </w:tc>
        <w:tc>
          <w:tcPr>
            <w:tcW w:w="1027" w:type="dxa"/>
          </w:tcPr>
          <w:p w14:paraId="1776E500" w14:textId="77777777" w:rsidR="00571CA3" w:rsidRPr="00653748" w:rsidRDefault="00571CA3" w:rsidP="00B4483B">
            <w:pPr>
              <w:rPr>
                <w:rFonts w:ascii="Arial" w:hAnsi="Arial" w:cs="Arial"/>
              </w:rPr>
            </w:pPr>
            <w:r w:rsidRPr="00653748">
              <w:rPr>
                <w:rFonts w:ascii="Arial" w:hAnsi="Arial" w:cs="Arial"/>
              </w:rPr>
              <w:t>Case Study</w:t>
            </w:r>
          </w:p>
        </w:tc>
        <w:tc>
          <w:tcPr>
            <w:tcW w:w="957" w:type="dxa"/>
          </w:tcPr>
          <w:p w14:paraId="473BDEDB" w14:textId="77777777" w:rsidR="00571CA3" w:rsidRPr="00653748" w:rsidRDefault="00571CA3" w:rsidP="00B4483B">
            <w:pPr>
              <w:rPr>
                <w:rFonts w:ascii="Arial" w:hAnsi="Arial" w:cs="Arial"/>
              </w:rPr>
            </w:pPr>
            <w:r w:rsidRPr="00653748">
              <w:rPr>
                <w:rFonts w:ascii="Arial" w:hAnsi="Arial" w:cs="Arial"/>
              </w:rPr>
              <w:t>Urban residents</w:t>
            </w:r>
          </w:p>
        </w:tc>
        <w:tc>
          <w:tcPr>
            <w:tcW w:w="1418" w:type="dxa"/>
          </w:tcPr>
          <w:p w14:paraId="5EE157B1" w14:textId="77777777" w:rsidR="00571CA3" w:rsidRPr="00653748" w:rsidRDefault="00571CA3" w:rsidP="00B4483B">
            <w:pPr>
              <w:rPr>
                <w:rFonts w:ascii="Arial" w:hAnsi="Arial" w:cs="Arial"/>
              </w:rPr>
            </w:pPr>
            <w:r w:rsidRPr="00653748">
              <w:rPr>
                <w:rFonts w:ascii="Arial" w:hAnsi="Arial" w:cs="Arial"/>
              </w:rPr>
              <w:t>Tempera</w:t>
            </w:r>
            <w:r>
              <w:rPr>
                <w:rFonts w:ascii="Arial" w:hAnsi="Arial" w:cs="Arial"/>
              </w:rPr>
              <w:t>-</w:t>
            </w:r>
            <w:proofErr w:type="spellStart"/>
            <w:r w:rsidRPr="00653748">
              <w:rPr>
                <w:rFonts w:ascii="Arial" w:hAnsi="Arial" w:cs="Arial"/>
              </w:rPr>
              <w:t>ture</w:t>
            </w:r>
            <w:proofErr w:type="spellEnd"/>
            <w:r w:rsidRPr="00653748">
              <w:rPr>
                <w:rFonts w:ascii="Arial" w:hAnsi="Arial" w:cs="Arial"/>
              </w:rPr>
              <w:t xml:space="preserve"> regulation</w:t>
            </w:r>
          </w:p>
        </w:tc>
        <w:tc>
          <w:tcPr>
            <w:tcW w:w="1542" w:type="dxa"/>
          </w:tcPr>
          <w:p w14:paraId="05EDFCDE" w14:textId="77777777" w:rsidR="00571CA3" w:rsidRPr="00653748" w:rsidRDefault="00571CA3" w:rsidP="00B4483B">
            <w:pPr>
              <w:rPr>
                <w:rFonts w:ascii="Arial" w:hAnsi="Arial" w:cs="Arial"/>
              </w:rPr>
            </w:pPr>
            <w:r w:rsidRPr="00653748">
              <w:rPr>
                <w:rFonts w:ascii="Arial" w:hAnsi="Arial" w:cs="Arial"/>
              </w:rPr>
              <w:t>Found that green spaces mitigate urban heat island effects significantly.</w:t>
            </w:r>
          </w:p>
        </w:tc>
        <w:tc>
          <w:tcPr>
            <w:tcW w:w="1292" w:type="dxa"/>
          </w:tcPr>
          <w:p w14:paraId="160A82C7" w14:textId="77777777" w:rsidR="00571CA3" w:rsidRPr="00653748" w:rsidRDefault="00571CA3" w:rsidP="00B4483B">
            <w:pPr>
              <w:rPr>
                <w:rFonts w:ascii="Arial" w:hAnsi="Arial" w:cs="Arial"/>
              </w:rPr>
            </w:pPr>
            <w:r w:rsidRPr="00653748">
              <w:rPr>
                <w:rFonts w:ascii="Arial" w:hAnsi="Arial" w:cs="Arial"/>
              </w:rPr>
              <w:t>N/A</w:t>
            </w:r>
          </w:p>
        </w:tc>
      </w:tr>
      <w:tr w:rsidR="00571CA3" w:rsidRPr="00653748" w14:paraId="73C199D9" w14:textId="77777777" w:rsidTr="00B4483B">
        <w:tc>
          <w:tcPr>
            <w:tcW w:w="1129" w:type="dxa"/>
          </w:tcPr>
          <w:p w14:paraId="5A8E77F7" w14:textId="77777777" w:rsidR="00571CA3" w:rsidRPr="00653748" w:rsidRDefault="00571CA3" w:rsidP="00B4483B">
            <w:pPr>
              <w:rPr>
                <w:rFonts w:ascii="Arial" w:hAnsi="Arial" w:cs="Arial"/>
              </w:rPr>
            </w:pPr>
            <w:r w:rsidRPr="00653748">
              <w:rPr>
                <w:rFonts w:ascii="Arial" w:hAnsi="Arial" w:cs="Arial"/>
              </w:rPr>
              <w:t>Green Space Planning in High-Density Cities</w:t>
            </w:r>
          </w:p>
        </w:tc>
        <w:tc>
          <w:tcPr>
            <w:tcW w:w="1186" w:type="dxa"/>
          </w:tcPr>
          <w:p w14:paraId="269D2C94" w14:textId="77777777" w:rsidR="00571CA3" w:rsidRPr="00653748" w:rsidRDefault="00571CA3" w:rsidP="00B4483B">
            <w:pPr>
              <w:rPr>
                <w:rFonts w:ascii="Arial" w:hAnsi="Arial" w:cs="Arial"/>
              </w:rPr>
            </w:pPr>
            <w:r w:rsidRPr="00653748">
              <w:rPr>
                <w:rFonts w:ascii="Arial" w:hAnsi="Arial" w:cs="Arial"/>
              </w:rPr>
              <w:t>Chen, F. &amp; Wang, X.</w:t>
            </w:r>
          </w:p>
        </w:tc>
        <w:tc>
          <w:tcPr>
            <w:tcW w:w="799" w:type="dxa"/>
          </w:tcPr>
          <w:p w14:paraId="76C3E82E" w14:textId="77777777" w:rsidR="00571CA3" w:rsidRPr="00653748" w:rsidRDefault="00571CA3" w:rsidP="00B4483B">
            <w:pPr>
              <w:rPr>
                <w:rFonts w:ascii="Arial" w:hAnsi="Arial" w:cs="Arial"/>
              </w:rPr>
            </w:pPr>
            <w:r w:rsidRPr="00653748">
              <w:rPr>
                <w:rFonts w:ascii="Arial" w:hAnsi="Arial" w:cs="Arial"/>
              </w:rPr>
              <w:t>2018</w:t>
            </w:r>
          </w:p>
        </w:tc>
        <w:tc>
          <w:tcPr>
            <w:tcW w:w="1027" w:type="dxa"/>
          </w:tcPr>
          <w:p w14:paraId="54AF1250" w14:textId="77777777" w:rsidR="00571CA3" w:rsidRPr="00653748" w:rsidRDefault="00571CA3" w:rsidP="00B4483B">
            <w:pPr>
              <w:rPr>
                <w:rFonts w:ascii="Arial" w:hAnsi="Arial" w:cs="Arial"/>
              </w:rPr>
            </w:pPr>
            <w:r w:rsidRPr="00653748">
              <w:rPr>
                <w:rFonts w:ascii="Arial" w:hAnsi="Arial" w:cs="Arial"/>
              </w:rPr>
              <w:t>Qualitative</w:t>
            </w:r>
          </w:p>
        </w:tc>
        <w:tc>
          <w:tcPr>
            <w:tcW w:w="957" w:type="dxa"/>
          </w:tcPr>
          <w:p w14:paraId="5B5E6C97" w14:textId="77777777" w:rsidR="00571CA3" w:rsidRPr="00653748" w:rsidRDefault="00571CA3" w:rsidP="00B4483B">
            <w:pPr>
              <w:rPr>
                <w:rFonts w:ascii="Arial" w:hAnsi="Arial" w:cs="Arial"/>
              </w:rPr>
            </w:pPr>
            <w:r w:rsidRPr="00653748">
              <w:rPr>
                <w:rFonts w:ascii="Arial" w:hAnsi="Arial" w:cs="Arial"/>
              </w:rPr>
              <w:t>Urban planners</w:t>
            </w:r>
          </w:p>
        </w:tc>
        <w:tc>
          <w:tcPr>
            <w:tcW w:w="1418" w:type="dxa"/>
          </w:tcPr>
          <w:p w14:paraId="5078BB6A" w14:textId="77777777" w:rsidR="00571CA3" w:rsidRPr="00653748" w:rsidRDefault="00571CA3" w:rsidP="00B4483B">
            <w:pPr>
              <w:rPr>
                <w:rFonts w:ascii="Arial" w:hAnsi="Arial" w:cs="Arial"/>
              </w:rPr>
            </w:pPr>
            <w:r w:rsidRPr="00653748">
              <w:rPr>
                <w:rFonts w:ascii="Arial" w:hAnsi="Arial" w:cs="Arial"/>
              </w:rPr>
              <w:t>Planning strategies</w:t>
            </w:r>
          </w:p>
        </w:tc>
        <w:tc>
          <w:tcPr>
            <w:tcW w:w="1542" w:type="dxa"/>
          </w:tcPr>
          <w:p w14:paraId="42BAB430" w14:textId="77777777" w:rsidR="00571CA3" w:rsidRPr="00653748" w:rsidRDefault="00571CA3" w:rsidP="00B4483B">
            <w:pPr>
              <w:rPr>
                <w:rFonts w:ascii="Arial" w:hAnsi="Arial" w:cs="Arial"/>
              </w:rPr>
            </w:pPr>
            <w:r w:rsidRPr="00653748">
              <w:rPr>
                <w:rFonts w:ascii="Arial" w:hAnsi="Arial" w:cs="Arial"/>
              </w:rPr>
              <w:t>Identified innovative planning strategies that enhance green space development in dense areas.</w:t>
            </w:r>
          </w:p>
        </w:tc>
        <w:tc>
          <w:tcPr>
            <w:tcW w:w="1292" w:type="dxa"/>
          </w:tcPr>
          <w:p w14:paraId="0F9F77BF" w14:textId="77777777" w:rsidR="00571CA3" w:rsidRPr="00653748" w:rsidRDefault="00571CA3" w:rsidP="00B4483B">
            <w:pPr>
              <w:rPr>
                <w:rFonts w:ascii="Arial" w:hAnsi="Arial" w:cs="Arial"/>
              </w:rPr>
            </w:pPr>
            <w:r w:rsidRPr="00653748">
              <w:rPr>
                <w:rFonts w:ascii="Arial" w:hAnsi="Arial" w:cs="Arial"/>
              </w:rPr>
              <w:t>N/A</w:t>
            </w:r>
          </w:p>
        </w:tc>
      </w:tr>
    </w:tbl>
    <w:p w14:paraId="7B04FE42" w14:textId="77777777" w:rsidR="00571CA3" w:rsidRDefault="00571CA3" w:rsidP="00571CA3">
      <w:pPr>
        <w:rPr>
          <w:rFonts w:ascii="Arial" w:hAnsi="Arial" w:cs="Arial"/>
        </w:rPr>
      </w:pPr>
    </w:p>
    <w:p w14:paraId="27B38DFE" w14:textId="377AC588" w:rsidR="00571CA3" w:rsidRDefault="00571CA3" w:rsidP="00571CA3">
      <w:pPr>
        <w:spacing w:after="0" w:line="240" w:lineRule="auto"/>
        <w:rPr>
          <w:rFonts w:ascii="Arial" w:hAnsi="Arial" w:cs="Arial"/>
          <w:b/>
          <w:bCs/>
        </w:rPr>
      </w:pPr>
      <w:r w:rsidRPr="00571CA3">
        <w:rPr>
          <w:rFonts w:ascii="Arial" w:hAnsi="Arial" w:cs="Arial"/>
          <w:b/>
          <w:bCs/>
        </w:rPr>
        <w:t>Findings</w:t>
      </w:r>
    </w:p>
    <w:p w14:paraId="10D7B48C" w14:textId="77777777" w:rsidR="005D24DF" w:rsidRDefault="005D24DF" w:rsidP="00571CA3">
      <w:pPr>
        <w:spacing w:after="0" w:line="240" w:lineRule="auto"/>
        <w:rPr>
          <w:rFonts w:ascii="Arial" w:hAnsi="Arial" w:cs="Arial"/>
          <w:b/>
          <w:bCs/>
        </w:rPr>
      </w:pPr>
    </w:p>
    <w:p w14:paraId="4BE54E90" w14:textId="0DC5AF39" w:rsidR="00757A3B" w:rsidRDefault="00C52FEB" w:rsidP="00757A3B">
      <w:pPr>
        <w:spacing w:after="0" w:line="240" w:lineRule="auto"/>
        <w:jc w:val="both"/>
        <w:rPr>
          <w:rFonts w:ascii="Arial" w:hAnsi="Arial" w:cs="Arial"/>
        </w:rPr>
      </w:pPr>
      <w:r>
        <w:rPr>
          <w:rFonts w:ascii="Arial" w:hAnsi="Arial" w:cs="Arial"/>
        </w:rPr>
        <w:t xml:space="preserve">Several </w:t>
      </w:r>
      <w:r w:rsidR="008C67EE">
        <w:rPr>
          <w:rFonts w:ascii="Arial" w:hAnsi="Arial" w:cs="Arial"/>
        </w:rPr>
        <w:t>key</w:t>
      </w:r>
      <w:r>
        <w:rPr>
          <w:rFonts w:ascii="Arial" w:hAnsi="Arial" w:cs="Arial"/>
        </w:rPr>
        <w:t xml:space="preserve"> findings emerged regarding green space requirements in Davao City:</w:t>
      </w:r>
    </w:p>
    <w:p w14:paraId="3CDA2E5C" w14:textId="77777777" w:rsidR="005D24DF" w:rsidRDefault="005D24DF" w:rsidP="00757A3B">
      <w:pPr>
        <w:spacing w:after="0" w:line="240" w:lineRule="auto"/>
        <w:jc w:val="both"/>
        <w:rPr>
          <w:rFonts w:ascii="Arial" w:hAnsi="Arial" w:cs="Arial"/>
        </w:rPr>
      </w:pPr>
    </w:p>
    <w:p w14:paraId="389561A6" w14:textId="1CDEC5A0" w:rsidR="00C52FEB" w:rsidRDefault="00C52FEB" w:rsidP="00757A3B">
      <w:pPr>
        <w:spacing w:after="0" w:line="240" w:lineRule="auto"/>
        <w:jc w:val="both"/>
        <w:rPr>
          <w:rFonts w:ascii="Arial" w:hAnsi="Arial" w:cs="Arial"/>
          <w:b/>
          <w:bCs/>
        </w:rPr>
      </w:pPr>
      <w:r w:rsidRPr="00C52FEB">
        <w:rPr>
          <w:rFonts w:ascii="Arial" w:hAnsi="Arial" w:cs="Arial"/>
          <w:b/>
          <w:bCs/>
        </w:rPr>
        <w:t>Environmental, Social, and Economic Benefits</w:t>
      </w:r>
    </w:p>
    <w:p w14:paraId="05F191F5" w14:textId="77777777" w:rsidR="005D24DF" w:rsidRDefault="005D24DF" w:rsidP="00757A3B">
      <w:pPr>
        <w:spacing w:after="0" w:line="240" w:lineRule="auto"/>
        <w:jc w:val="both"/>
        <w:rPr>
          <w:rFonts w:ascii="Arial" w:hAnsi="Arial" w:cs="Arial"/>
        </w:rPr>
      </w:pPr>
    </w:p>
    <w:p w14:paraId="5F7B5276" w14:textId="72E40ABB" w:rsidR="006C4639" w:rsidRDefault="006614F6" w:rsidP="005D24DF">
      <w:pPr>
        <w:spacing w:after="0" w:line="240" w:lineRule="auto"/>
        <w:jc w:val="both"/>
        <w:rPr>
          <w:rFonts w:ascii="Arial" w:eastAsia="Times New Roman" w:hAnsi="Arial" w:cs="Arial"/>
          <w:kern w:val="0"/>
          <w:lang w:eastAsia="en-PH"/>
          <w14:ligatures w14:val="none"/>
        </w:rPr>
      </w:pPr>
      <w:bookmarkStart w:id="0" w:name="_Hlk186268072"/>
      <w:r w:rsidRPr="005D24DF">
        <w:rPr>
          <w:rFonts w:ascii="Arial" w:hAnsi="Arial" w:cs="Arial"/>
          <w:b/>
          <w:bCs/>
        </w:rPr>
        <w:t>Environmental Benefits</w:t>
      </w:r>
      <w:r w:rsidR="00C52FEB" w:rsidRPr="005D24DF">
        <w:rPr>
          <w:rFonts w:ascii="Arial" w:hAnsi="Arial" w:cs="Arial"/>
          <w:b/>
          <w:bCs/>
        </w:rPr>
        <w:t>:</w:t>
      </w:r>
      <w:bookmarkEnd w:id="0"/>
      <w:r w:rsidR="00C52FEB" w:rsidRPr="005D24DF">
        <w:rPr>
          <w:rFonts w:ascii="Arial" w:hAnsi="Arial" w:cs="Arial"/>
          <w:b/>
          <w:bCs/>
        </w:rPr>
        <w:t xml:space="preserve"> </w:t>
      </w:r>
      <w:r w:rsidR="006C4639" w:rsidRPr="005D24DF">
        <w:rPr>
          <w:rFonts w:ascii="Arial" w:eastAsia="Times New Roman" w:hAnsi="Arial" w:cs="Arial"/>
          <w:kern w:val="0"/>
          <w:lang w:eastAsia="en-PH"/>
          <w14:ligatures w14:val="none"/>
        </w:rPr>
        <w:t xml:space="preserve">In addition to providing a breath of fresh air, green areas are vital to the well-being of metropolitan surroundings. In addition to improving our urban areas, they serve as essential sanctuaries that promote biodiversity by offering homes for </w:t>
      </w:r>
      <w:r w:rsidR="00C10380" w:rsidRPr="005D24DF">
        <w:rPr>
          <w:rFonts w:ascii="Arial" w:eastAsia="Times New Roman" w:hAnsi="Arial" w:cs="Arial"/>
          <w:kern w:val="0"/>
          <w:lang w:eastAsia="en-PH"/>
          <w14:ligatures w14:val="none"/>
        </w:rPr>
        <w:t>various</w:t>
      </w:r>
      <w:r w:rsidR="006C4639" w:rsidRPr="005D24DF">
        <w:rPr>
          <w:rFonts w:ascii="Arial" w:eastAsia="Times New Roman" w:hAnsi="Arial" w:cs="Arial"/>
          <w:kern w:val="0"/>
          <w:lang w:eastAsia="en-PH"/>
          <w14:ligatures w14:val="none"/>
        </w:rPr>
        <w:t xml:space="preserve"> plants and animals. These green spaces are crucial for enhancing air quality and reducing the urban heat island effect, which occurs when concrete and asphalt cause cities </w:t>
      </w:r>
      <w:r w:rsidR="00571CA3" w:rsidRPr="005D24DF">
        <w:rPr>
          <w:rFonts w:ascii="Arial" w:eastAsia="Times New Roman" w:hAnsi="Arial" w:cs="Arial"/>
          <w:kern w:val="0"/>
          <w:lang w:eastAsia="en-PH"/>
          <w14:ligatures w14:val="none"/>
        </w:rPr>
        <w:t xml:space="preserve">to feel </w:t>
      </w:r>
      <w:r w:rsidR="006C4639" w:rsidRPr="005D24DF">
        <w:rPr>
          <w:rFonts w:ascii="Arial" w:eastAsia="Times New Roman" w:hAnsi="Arial" w:cs="Arial"/>
          <w:kern w:val="0"/>
          <w:lang w:eastAsia="en-PH"/>
          <w14:ligatures w14:val="none"/>
        </w:rPr>
        <w:t xml:space="preserve">uncomfortable and warmer. </w:t>
      </w:r>
    </w:p>
    <w:p w14:paraId="66D92465" w14:textId="77777777" w:rsidR="005D24DF" w:rsidRDefault="005D24DF" w:rsidP="005D24DF">
      <w:pPr>
        <w:spacing w:after="0" w:line="240" w:lineRule="auto"/>
        <w:jc w:val="both"/>
        <w:rPr>
          <w:rFonts w:ascii="Arial" w:eastAsia="Times New Roman" w:hAnsi="Arial" w:cs="Arial"/>
          <w:kern w:val="0"/>
          <w:lang w:eastAsia="en-PH"/>
          <w14:ligatures w14:val="none"/>
        </w:rPr>
      </w:pPr>
    </w:p>
    <w:p w14:paraId="340067EC" w14:textId="773928A4" w:rsidR="006C4639" w:rsidRDefault="006C4639" w:rsidP="005D24DF">
      <w:pPr>
        <w:spacing w:after="0" w:line="240" w:lineRule="auto"/>
        <w:jc w:val="both"/>
        <w:rPr>
          <w:rFonts w:ascii="Arial" w:eastAsia="Times New Roman" w:hAnsi="Arial" w:cs="Arial"/>
          <w:kern w:val="0"/>
          <w:lang w:eastAsia="en-PH"/>
          <w14:ligatures w14:val="none"/>
        </w:rPr>
      </w:pPr>
      <w:r w:rsidRPr="006C4639">
        <w:rPr>
          <w:rFonts w:ascii="Arial" w:eastAsia="Times New Roman" w:hAnsi="Arial" w:cs="Arial"/>
          <w:kern w:val="0"/>
          <w:lang w:eastAsia="en-PH"/>
          <w14:ligatures w14:val="none"/>
        </w:rPr>
        <w:t xml:space="preserve">Urban green areas have been shown </w:t>
      </w:r>
      <w:r w:rsidRPr="00653748">
        <w:rPr>
          <w:rFonts w:ascii="Arial" w:eastAsia="Times New Roman" w:hAnsi="Arial" w:cs="Arial"/>
          <w:kern w:val="0"/>
          <w:lang w:eastAsia="en-PH"/>
          <w14:ligatures w14:val="none"/>
        </w:rPr>
        <w:t>to reduce ambient temperatures dramatically</w:t>
      </w:r>
      <w:r w:rsidRPr="006C4639">
        <w:rPr>
          <w:rFonts w:ascii="Arial" w:eastAsia="Times New Roman" w:hAnsi="Arial" w:cs="Arial"/>
          <w:kern w:val="0"/>
          <w:lang w:eastAsia="en-PH"/>
          <w14:ligatures w14:val="none"/>
        </w:rPr>
        <w:t xml:space="preserve">. As a result, households rely less </w:t>
      </w:r>
      <w:proofErr w:type="gramStart"/>
      <w:r w:rsidRPr="006C4639">
        <w:rPr>
          <w:rFonts w:ascii="Arial" w:eastAsia="Times New Roman" w:hAnsi="Arial" w:cs="Arial"/>
          <w:kern w:val="0"/>
          <w:lang w:eastAsia="en-PH"/>
          <w14:ligatures w14:val="none"/>
        </w:rPr>
        <w:t>on air</w:t>
      </w:r>
      <w:proofErr w:type="gramEnd"/>
      <w:r w:rsidRPr="006C4639">
        <w:rPr>
          <w:rFonts w:ascii="Arial" w:eastAsia="Times New Roman" w:hAnsi="Arial" w:cs="Arial"/>
          <w:kern w:val="0"/>
          <w:lang w:eastAsia="en-PH"/>
          <w14:ligatures w14:val="none"/>
        </w:rPr>
        <w:t xml:space="preserve"> conditioning, which lowers their energy expenses (Kabisch &amp; Haase, 2019). In addition to cooling our streets, plants</w:t>
      </w:r>
      <w:r w:rsidR="00571CA3">
        <w:rPr>
          <w:rFonts w:ascii="Arial" w:eastAsia="Times New Roman" w:hAnsi="Arial" w:cs="Arial"/>
          <w:kern w:val="0"/>
          <w:lang w:eastAsia="en-PH"/>
          <w14:ligatures w14:val="none"/>
        </w:rPr>
        <w:t>,</w:t>
      </w:r>
      <w:r w:rsidRPr="006C4639">
        <w:rPr>
          <w:rFonts w:ascii="Arial" w:eastAsia="Times New Roman" w:hAnsi="Arial" w:cs="Arial"/>
          <w:kern w:val="0"/>
          <w:lang w:eastAsia="en-PH"/>
          <w14:ligatures w14:val="none"/>
        </w:rPr>
        <w:t xml:space="preserve"> and trees serve as nature's cleansers by releasing oxygen and absorbing dangerous pollutants, </w:t>
      </w:r>
      <w:r w:rsidR="00571CA3">
        <w:rPr>
          <w:rFonts w:ascii="Arial" w:eastAsia="Times New Roman" w:hAnsi="Arial" w:cs="Arial"/>
          <w:kern w:val="0"/>
          <w:lang w:eastAsia="en-PH"/>
          <w14:ligatures w14:val="none"/>
        </w:rPr>
        <w:t>improving the air</w:t>
      </w:r>
      <w:r w:rsidRPr="006C4639">
        <w:rPr>
          <w:rFonts w:ascii="Arial" w:eastAsia="Times New Roman" w:hAnsi="Arial" w:cs="Arial"/>
          <w:kern w:val="0"/>
          <w:lang w:eastAsia="en-PH"/>
          <w14:ligatures w14:val="none"/>
        </w:rPr>
        <w:t xml:space="preserve"> for everyone (</w:t>
      </w:r>
      <w:proofErr w:type="spellStart"/>
      <w:r w:rsidRPr="006C4639">
        <w:rPr>
          <w:rFonts w:ascii="Arial" w:eastAsia="Times New Roman" w:hAnsi="Arial" w:cs="Arial"/>
          <w:kern w:val="0"/>
          <w:lang w:eastAsia="en-PH"/>
          <w14:ligatures w14:val="none"/>
        </w:rPr>
        <w:t>Wolch</w:t>
      </w:r>
      <w:proofErr w:type="spellEnd"/>
      <w:r w:rsidRPr="006C4639">
        <w:rPr>
          <w:rFonts w:ascii="Arial" w:eastAsia="Times New Roman" w:hAnsi="Arial" w:cs="Arial"/>
          <w:kern w:val="0"/>
          <w:lang w:eastAsia="en-PH"/>
          <w14:ligatures w14:val="none"/>
        </w:rPr>
        <w:t>, Byrne, &amp; Newell, 2020).</w:t>
      </w:r>
    </w:p>
    <w:p w14:paraId="69697EA1" w14:textId="77777777" w:rsidR="005D24DF" w:rsidRPr="00653748" w:rsidRDefault="005D24DF" w:rsidP="005D24DF">
      <w:pPr>
        <w:spacing w:after="0" w:line="240" w:lineRule="auto"/>
        <w:jc w:val="both"/>
        <w:rPr>
          <w:rFonts w:ascii="Arial" w:hAnsi="Arial" w:cs="Arial"/>
          <w:b/>
          <w:bCs/>
        </w:rPr>
      </w:pPr>
    </w:p>
    <w:p w14:paraId="336C365F" w14:textId="55019D39" w:rsidR="00406DC6" w:rsidRDefault="008F1F4B" w:rsidP="005D24DF">
      <w:pPr>
        <w:spacing w:after="0" w:line="240" w:lineRule="auto"/>
        <w:jc w:val="both"/>
        <w:rPr>
          <w:rFonts w:ascii="Arial" w:hAnsi="Arial" w:cs="Arial"/>
        </w:rPr>
      </w:pPr>
      <w:r w:rsidRPr="005D24DF">
        <w:rPr>
          <w:rFonts w:ascii="Arial" w:hAnsi="Arial" w:cs="Arial"/>
          <w:b/>
          <w:bCs/>
        </w:rPr>
        <w:t>Social Benefits</w:t>
      </w:r>
      <w:r w:rsidR="00C52FEB" w:rsidRPr="005D24DF">
        <w:rPr>
          <w:rFonts w:ascii="Arial" w:hAnsi="Arial" w:cs="Arial"/>
          <w:b/>
          <w:bCs/>
        </w:rPr>
        <w:t xml:space="preserve">: </w:t>
      </w:r>
      <w:r w:rsidR="00406DC6" w:rsidRPr="005D24DF">
        <w:rPr>
          <w:rFonts w:ascii="Arial" w:hAnsi="Arial" w:cs="Arial"/>
        </w:rPr>
        <w:t xml:space="preserve">Access to green spaces, such as parks and gardens, greatly enhances our well-being. Studies have shown that individuals near these natural areas often </w:t>
      </w:r>
      <w:r w:rsidR="00571CA3" w:rsidRPr="005D24DF">
        <w:rPr>
          <w:rFonts w:ascii="Arial" w:hAnsi="Arial" w:cs="Arial"/>
        </w:rPr>
        <w:t>feel</w:t>
      </w:r>
      <w:r w:rsidR="00406DC6" w:rsidRPr="005D24DF">
        <w:rPr>
          <w:rFonts w:ascii="Arial" w:hAnsi="Arial" w:cs="Arial"/>
        </w:rPr>
        <w:t xml:space="preserve"> happier and less stressed (Kabisch &amp; Haase, 2019). These green environments do more than boost physical health; they provide vital opportunities for social interaction and community building. Spending time in nature allows us to relax, connect with others, and foster a sense of belonging in our neighborhoods. As highlighted by </w:t>
      </w:r>
      <w:proofErr w:type="spellStart"/>
      <w:r w:rsidR="00406DC6" w:rsidRPr="005D24DF">
        <w:rPr>
          <w:rFonts w:ascii="Arial" w:hAnsi="Arial" w:cs="Arial"/>
        </w:rPr>
        <w:t>Chiesura</w:t>
      </w:r>
      <w:proofErr w:type="spellEnd"/>
      <w:r w:rsidR="00406DC6" w:rsidRPr="005D24DF">
        <w:rPr>
          <w:rFonts w:ascii="Arial" w:hAnsi="Arial" w:cs="Arial"/>
        </w:rPr>
        <w:t xml:space="preserve"> (2021), urban parks play a crucial role in enhancing community cohesion, creating spaces where people can come together, share experiences, and strengthen social ties. Ultimately, integrating green areas into urban planning is essential for nurturing vibrant, connected communities.</w:t>
      </w:r>
    </w:p>
    <w:p w14:paraId="16A5EF95" w14:textId="77777777" w:rsidR="005D24DF" w:rsidRPr="005D24DF" w:rsidRDefault="005D24DF" w:rsidP="005D24DF">
      <w:pPr>
        <w:spacing w:after="0" w:line="240" w:lineRule="auto"/>
        <w:jc w:val="both"/>
        <w:rPr>
          <w:rFonts w:ascii="Arial" w:hAnsi="Arial" w:cs="Arial"/>
        </w:rPr>
      </w:pPr>
    </w:p>
    <w:p w14:paraId="1C2CC277" w14:textId="525FBD58" w:rsidR="00470361" w:rsidRDefault="008F1F4B" w:rsidP="005D24DF">
      <w:pPr>
        <w:spacing w:after="0" w:line="240" w:lineRule="auto"/>
        <w:jc w:val="both"/>
        <w:rPr>
          <w:rFonts w:ascii="Arial" w:hAnsi="Arial" w:cs="Arial"/>
        </w:rPr>
      </w:pPr>
      <w:r w:rsidRPr="005D24DF">
        <w:rPr>
          <w:rFonts w:ascii="Arial" w:hAnsi="Arial" w:cs="Arial"/>
          <w:b/>
          <w:bCs/>
        </w:rPr>
        <w:t>Economic Benefits</w:t>
      </w:r>
      <w:r w:rsidR="00C52FEB" w:rsidRPr="005D24DF">
        <w:rPr>
          <w:rFonts w:ascii="Arial" w:hAnsi="Arial" w:cs="Arial"/>
          <w:b/>
          <w:bCs/>
        </w:rPr>
        <w:t xml:space="preserve">: </w:t>
      </w:r>
      <w:r w:rsidR="00470361" w:rsidRPr="005D24DF">
        <w:rPr>
          <w:rFonts w:ascii="Arial" w:hAnsi="Arial" w:cs="Arial"/>
        </w:rPr>
        <w:t xml:space="preserve">Imagine living in a neighborhood filled with lush parks and vibrant gardens. Research indicates that homes in these green surroundings often have higher property values, as the appeal of nature significantly enhances real estate desirability (Chen &amp; Wang, 2018). These inviting green spaces not only elevate the value of local homes but also attract tourists eager to enjoy outdoor experiences. This influx of visitors can invigorate local economies, benefiting </w:t>
      </w:r>
      <w:r w:rsidR="00470361" w:rsidRPr="005D24DF">
        <w:rPr>
          <w:rFonts w:ascii="Arial" w:hAnsi="Arial" w:cs="Arial"/>
        </w:rPr>
        <w:lastRenderedPageBreak/>
        <w:t>businesses and fostering a lively atmosphere that enhances the overall vibrancy of metropolitan areas (</w:t>
      </w:r>
      <w:proofErr w:type="spellStart"/>
      <w:r w:rsidR="00470361" w:rsidRPr="005D24DF">
        <w:rPr>
          <w:rFonts w:ascii="Arial" w:hAnsi="Arial" w:cs="Arial"/>
        </w:rPr>
        <w:t>Wolch</w:t>
      </w:r>
      <w:proofErr w:type="spellEnd"/>
      <w:r w:rsidR="00470361" w:rsidRPr="005D24DF">
        <w:rPr>
          <w:rFonts w:ascii="Arial" w:hAnsi="Arial" w:cs="Arial"/>
        </w:rPr>
        <w:t>, Byrne, &amp; Newell, 2020). By investing in green infrastructure, cities can create environments that not only promote well-being but also drive economic growth, making them more appealing places to live and visit.</w:t>
      </w:r>
    </w:p>
    <w:p w14:paraId="7E9F522C" w14:textId="77777777" w:rsidR="005D24DF" w:rsidRPr="005D24DF" w:rsidRDefault="005D24DF" w:rsidP="005D24DF">
      <w:pPr>
        <w:spacing w:after="0" w:line="240" w:lineRule="auto"/>
        <w:jc w:val="both"/>
        <w:rPr>
          <w:rFonts w:ascii="Arial" w:hAnsi="Arial" w:cs="Arial"/>
        </w:rPr>
      </w:pPr>
    </w:p>
    <w:p w14:paraId="37590790" w14:textId="46E38E88" w:rsidR="000C2C82" w:rsidRPr="00596067" w:rsidRDefault="00C52FEB" w:rsidP="005D24DF">
      <w:pPr>
        <w:spacing w:after="0" w:line="240" w:lineRule="auto"/>
        <w:jc w:val="both"/>
        <w:rPr>
          <w:rFonts w:ascii="Arial" w:hAnsi="Arial" w:cs="Arial"/>
        </w:rPr>
      </w:pPr>
      <w:r>
        <w:rPr>
          <w:rFonts w:ascii="Arial" w:hAnsi="Arial" w:cs="Arial"/>
          <w:b/>
          <w:bCs/>
        </w:rPr>
        <w:t>Compliance Challenges</w:t>
      </w:r>
      <w:r w:rsidR="008C67EE">
        <w:rPr>
          <w:rFonts w:ascii="Arial" w:hAnsi="Arial" w:cs="Arial"/>
          <w:b/>
          <w:bCs/>
        </w:rPr>
        <w:t xml:space="preserve">: </w:t>
      </w:r>
      <w:r w:rsidR="00596067" w:rsidRPr="00596067">
        <w:rPr>
          <w:rFonts w:ascii="Arial" w:hAnsi="Arial" w:cs="Arial"/>
        </w:rPr>
        <w:t>Compliance with zoning ordinances for green spaces faces significant challenges. Insufficient enforcement mechanisms allow developers to prioritize profit over regulations, while limited resources lead to infrequent inspections (Smith, 2021). The complexity of zoning laws can confuse developers, creating loopholes (Johnson, 2020). Economic pressures often favor housing or commercial development over green spaces, particularly in struggling areas, and property owners may resist compliance due to maintenance costs (Lee &amp; Chen, 2022). Additionally, community resistance, fueled by fears of higher taxes and misinformation, complicates support for these essential areas (Martinez, 2019).</w:t>
      </w:r>
    </w:p>
    <w:p w14:paraId="7BCED544" w14:textId="77777777" w:rsidR="000C2C82" w:rsidRDefault="000C2C82" w:rsidP="005D24DF">
      <w:pPr>
        <w:spacing w:after="0" w:line="240" w:lineRule="auto"/>
        <w:jc w:val="both"/>
        <w:rPr>
          <w:rFonts w:ascii="Arial" w:hAnsi="Arial" w:cs="Arial"/>
          <w:b/>
          <w:bCs/>
        </w:rPr>
      </w:pPr>
    </w:p>
    <w:p w14:paraId="756FE5E9" w14:textId="6D83FEB2" w:rsidR="00757A3B" w:rsidRPr="005D24DF" w:rsidRDefault="00C52FEB" w:rsidP="005D24DF">
      <w:pPr>
        <w:spacing w:after="0" w:line="240" w:lineRule="auto"/>
        <w:jc w:val="both"/>
        <w:rPr>
          <w:rFonts w:ascii="Arial" w:hAnsi="Arial" w:cs="Arial"/>
        </w:rPr>
      </w:pPr>
      <w:r>
        <w:rPr>
          <w:rFonts w:ascii="Arial" w:hAnsi="Arial" w:cs="Arial"/>
          <w:b/>
          <w:bCs/>
        </w:rPr>
        <w:t>Common Themes</w:t>
      </w:r>
      <w:r w:rsidR="008C67EE">
        <w:rPr>
          <w:rFonts w:ascii="Arial" w:hAnsi="Arial" w:cs="Arial"/>
          <w:b/>
          <w:bCs/>
        </w:rPr>
        <w:t xml:space="preserve">: </w:t>
      </w:r>
      <w:r w:rsidR="00757A3B" w:rsidRPr="005D24DF">
        <w:rPr>
          <w:rFonts w:ascii="Arial" w:hAnsi="Arial" w:cs="Arial"/>
        </w:rPr>
        <w:t>Common themes include the necessity for stronger enforcement mechanisms and the importance of public awareness initiatives to garner support for green spaces.</w:t>
      </w:r>
    </w:p>
    <w:p w14:paraId="63B23D46" w14:textId="77777777" w:rsidR="00757A3B" w:rsidRPr="00757A3B" w:rsidRDefault="00757A3B" w:rsidP="0000531E">
      <w:pPr>
        <w:spacing w:after="0" w:line="240" w:lineRule="auto"/>
        <w:jc w:val="both"/>
        <w:rPr>
          <w:rFonts w:ascii="Arial" w:hAnsi="Arial" w:cs="Arial"/>
        </w:rPr>
      </w:pPr>
    </w:p>
    <w:p w14:paraId="4E38439A" w14:textId="256F359B" w:rsidR="0000531E" w:rsidRPr="00653748" w:rsidRDefault="000441A9" w:rsidP="0000531E">
      <w:pPr>
        <w:spacing w:after="0" w:line="240" w:lineRule="auto"/>
        <w:jc w:val="both"/>
        <w:rPr>
          <w:rFonts w:ascii="Arial" w:hAnsi="Arial" w:cs="Arial"/>
          <w:b/>
          <w:bCs/>
        </w:rPr>
      </w:pPr>
      <w:r>
        <w:rPr>
          <w:rFonts w:ascii="Arial" w:hAnsi="Arial" w:cs="Arial"/>
          <w:b/>
          <w:bCs/>
        </w:rPr>
        <w:t xml:space="preserve">Identified </w:t>
      </w:r>
      <w:r w:rsidR="0000531E" w:rsidRPr="00653748">
        <w:rPr>
          <w:rFonts w:ascii="Arial" w:hAnsi="Arial" w:cs="Arial"/>
          <w:b/>
          <w:bCs/>
        </w:rPr>
        <w:t>Challenges in Implementation</w:t>
      </w:r>
      <w:r w:rsidR="008C67EE">
        <w:rPr>
          <w:rFonts w:ascii="Arial" w:hAnsi="Arial" w:cs="Arial"/>
          <w:b/>
          <w:bCs/>
        </w:rPr>
        <w:t>:</w:t>
      </w:r>
    </w:p>
    <w:p w14:paraId="24B31E13" w14:textId="77777777" w:rsidR="00C52FEB" w:rsidRDefault="00C52FEB" w:rsidP="008C2AAC">
      <w:pPr>
        <w:spacing w:after="0" w:line="240" w:lineRule="auto"/>
        <w:jc w:val="both"/>
        <w:rPr>
          <w:rFonts w:ascii="Arial" w:hAnsi="Arial" w:cs="Arial"/>
          <w:b/>
          <w:bCs/>
        </w:rPr>
      </w:pPr>
    </w:p>
    <w:p w14:paraId="72C0FF3A" w14:textId="0F141357" w:rsidR="008C2AAC" w:rsidRDefault="00CC498E" w:rsidP="008C2AAC">
      <w:pPr>
        <w:spacing w:after="0" w:line="240" w:lineRule="auto"/>
        <w:jc w:val="both"/>
        <w:rPr>
          <w:rFonts w:ascii="Arial" w:hAnsi="Arial" w:cs="Arial"/>
        </w:rPr>
      </w:pPr>
      <w:r w:rsidRPr="00D741A0">
        <w:rPr>
          <w:rFonts w:ascii="Arial" w:hAnsi="Arial" w:cs="Arial"/>
          <w:b/>
          <w:bCs/>
        </w:rPr>
        <w:t>Weak Institutional Capacity</w:t>
      </w:r>
      <w:r w:rsidR="008C67EE">
        <w:rPr>
          <w:rFonts w:ascii="Arial" w:hAnsi="Arial" w:cs="Arial"/>
          <w:b/>
          <w:bCs/>
        </w:rPr>
        <w:t xml:space="preserve">: </w:t>
      </w:r>
      <w:r w:rsidR="00D741A0" w:rsidRPr="00D741A0">
        <w:rPr>
          <w:rFonts w:ascii="Arial" w:hAnsi="Arial" w:cs="Arial"/>
        </w:rPr>
        <w:t xml:space="preserve">Studies by PIDS (2018) and Scott (2004) indicate that local governments often lack the resources, personnel, and expertise to effectively enforce zoning ordinances, including those related to green space requirements. This leads to poor compliance and enforcement, hindering </w:t>
      </w:r>
      <w:r w:rsidR="000F3C38">
        <w:rPr>
          <w:rFonts w:ascii="Arial" w:hAnsi="Arial" w:cs="Arial"/>
        </w:rPr>
        <w:t>realizing</w:t>
      </w:r>
      <w:r w:rsidR="00D741A0" w:rsidRPr="00D741A0">
        <w:rPr>
          <w:rFonts w:ascii="Arial" w:hAnsi="Arial" w:cs="Arial"/>
        </w:rPr>
        <w:t xml:space="preserve"> the intended benefits of green spaces in urban development projects.</w:t>
      </w:r>
    </w:p>
    <w:p w14:paraId="7F22755B" w14:textId="77777777" w:rsidR="005D24DF" w:rsidRPr="00D741A0" w:rsidRDefault="005D24DF" w:rsidP="008C2AAC">
      <w:pPr>
        <w:spacing w:after="0" w:line="240" w:lineRule="auto"/>
        <w:jc w:val="both"/>
        <w:rPr>
          <w:rFonts w:ascii="Arial" w:hAnsi="Arial" w:cs="Arial"/>
        </w:rPr>
      </w:pPr>
    </w:p>
    <w:p w14:paraId="7D0F9793" w14:textId="64BD3742" w:rsidR="00D741A0" w:rsidRDefault="00D741A0" w:rsidP="008C2AAC">
      <w:pPr>
        <w:spacing w:after="0" w:line="240" w:lineRule="auto"/>
        <w:jc w:val="both"/>
        <w:rPr>
          <w:rFonts w:ascii="Arial" w:hAnsi="Arial" w:cs="Arial"/>
        </w:rPr>
      </w:pPr>
      <w:r w:rsidRPr="00D741A0">
        <w:rPr>
          <w:rFonts w:ascii="Arial" w:hAnsi="Arial" w:cs="Arial"/>
          <w:b/>
          <w:bCs/>
        </w:rPr>
        <w:t>Insufficient Coordination Among Stakeholders</w:t>
      </w:r>
      <w:r w:rsidR="008C67EE">
        <w:rPr>
          <w:rFonts w:ascii="Arial" w:hAnsi="Arial" w:cs="Arial"/>
          <w:b/>
          <w:bCs/>
        </w:rPr>
        <w:t xml:space="preserve">: </w:t>
      </w:r>
      <w:r>
        <w:rPr>
          <w:rFonts w:ascii="Arial" w:hAnsi="Arial" w:cs="Arial"/>
        </w:rPr>
        <w:t xml:space="preserve">Research </w:t>
      </w:r>
      <w:r w:rsidRPr="00D741A0">
        <w:rPr>
          <w:rFonts w:ascii="Arial" w:hAnsi="Arial" w:cs="Arial"/>
        </w:rPr>
        <w:t xml:space="preserve">by </w:t>
      </w:r>
      <w:proofErr w:type="spellStart"/>
      <w:r w:rsidRPr="00D741A0">
        <w:rPr>
          <w:rFonts w:ascii="Arial" w:hAnsi="Arial" w:cs="Arial"/>
        </w:rPr>
        <w:t>Chiesura</w:t>
      </w:r>
      <w:proofErr w:type="spellEnd"/>
      <w:r w:rsidRPr="00D741A0">
        <w:rPr>
          <w:rFonts w:ascii="Arial" w:hAnsi="Arial" w:cs="Arial"/>
        </w:rPr>
        <w:t xml:space="preserve"> (2021) and Bulkeley &amp; Betsill (2015) emphasizes the critical need for collaboration among various stakeholders, including government agencies, developers, and community groups. The absence of effective coordination can result in conflicting interests and fragmented efforts, hindering the planning and implementation of green spaces. A lack of unified action may lead to missed opportunities for integrating green areas into urban designs.</w:t>
      </w:r>
    </w:p>
    <w:p w14:paraId="5851C4C3" w14:textId="77777777" w:rsidR="005D24DF" w:rsidRDefault="005D24DF" w:rsidP="008C2AAC">
      <w:pPr>
        <w:spacing w:after="0" w:line="240" w:lineRule="auto"/>
        <w:jc w:val="both"/>
        <w:rPr>
          <w:rFonts w:ascii="Arial" w:hAnsi="Arial" w:cs="Arial"/>
          <w:b/>
          <w:bCs/>
        </w:rPr>
      </w:pPr>
    </w:p>
    <w:p w14:paraId="08C26C82" w14:textId="1F5C7735" w:rsidR="00D741A0" w:rsidRDefault="00D741A0" w:rsidP="008C2AAC">
      <w:pPr>
        <w:spacing w:after="0" w:line="240" w:lineRule="auto"/>
        <w:jc w:val="both"/>
        <w:rPr>
          <w:rFonts w:ascii="Arial" w:hAnsi="Arial" w:cs="Arial"/>
        </w:rPr>
      </w:pPr>
      <w:r w:rsidRPr="00D741A0">
        <w:rPr>
          <w:rFonts w:ascii="Arial" w:hAnsi="Arial" w:cs="Arial"/>
          <w:b/>
          <w:bCs/>
        </w:rPr>
        <w:t>Limited Public Awareness</w:t>
      </w:r>
      <w:r w:rsidR="008C67EE">
        <w:rPr>
          <w:rFonts w:ascii="Arial" w:hAnsi="Arial" w:cs="Arial"/>
          <w:b/>
          <w:bCs/>
        </w:rPr>
        <w:t xml:space="preserve">: </w:t>
      </w:r>
      <w:r w:rsidR="00A67482" w:rsidRPr="00A67482">
        <w:rPr>
          <w:rFonts w:ascii="Arial" w:hAnsi="Arial" w:cs="Arial"/>
        </w:rPr>
        <w:t xml:space="preserve">Research by </w:t>
      </w:r>
      <w:proofErr w:type="spellStart"/>
      <w:r w:rsidR="00A67482" w:rsidRPr="00A67482">
        <w:rPr>
          <w:rFonts w:ascii="Arial" w:hAnsi="Arial" w:cs="Arial"/>
        </w:rPr>
        <w:t>Wolch</w:t>
      </w:r>
      <w:proofErr w:type="spellEnd"/>
      <w:r w:rsidR="00A67482" w:rsidRPr="00A67482">
        <w:rPr>
          <w:rFonts w:ascii="Arial" w:hAnsi="Arial" w:cs="Arial"/>
        </w:rPr>
        <w:t xml:space="preserve"> et al. (2020) and Lemos &amp; Agrawal (2006) shows that a lack of knowledge about the advantages of green areas frequently results in low public support for these projects. It is more difficult to give green spaces top priority in urban planning when locals are unaware of the benefits they provide to health and community well-being. As a result, they might not support local efforts or push for their inclusion.</w:t>
      </w:r>
    </w:p>
    <w:p w14:paraId="2B416487" w14:textId="77777777" w:rsidR="005D24DF" w:rsidRDefault="005D24DF" w:rsidP="008C2AAC">
      <w:pPr>
        <w:spacing w:after="0" w:line="240" w:lineRule="auto"/>
        <w:jc w:val="both"/>
        <w:rPr>
          <w:rFonts w:ascii="Arial" w:hAnsi="Arial" w:cs="Arial"/>
        </w:rPr>
      </w:pPr>
    </w:p>
    <w:p w14:paraId="6951FBC6" w14:textId="6B43EDDE" w:rsidR="005D24DF" w:rsidRDefault="00A67482" w:rsidP="008C2AAC">
      <w:pPr>
        <w:spacing w:after="0" w:line="240" w:lineRule="auto"/>
        <w:jc w:val="both"/>
        <w:rPr>
          <w:rFonts w:ascii="Arial" w:hAnsi="Arial" w:cs="Arial"/>
        </w:rPr>
      </w:pPr>
      <w:r w:rsidRPr="00A67482">
        <w:rPr>
          <w:rFonts w:ascii="Arial" w:hAnsi="Arial" w:cs="Arial"/>
          <w:b/>
          <w:bCs/>
        </w:rPr>
        <w:t>Urban Sprawl</w:t>
      </w:r>
      <w:r w:rsidR="008C67EE">
        <w:rPr>
          <w:rFonts w:ascii="Arial" w:hAnsi="Arial" w:cs="Arial"/>
          <w:b/>
          <w:bCs/>
        </w:rPr>
        <w:t xml:space="preserve">: </w:t>
      </w:r>
      <w:r w:rsidRPr="00A67482">
        <w:rPr>
          <w:rFonts w:ascii="Arial" w:hAnsi="Arial" w:cs="Arial"/>
        </w:rPr>
        <w:t xml:space="preserve">Cities are expanding rapidly, </w:t>
      </w:r>
      <w:r w:rsidR="008C67EE">
        <w:rPr>
          <w:rFonts w:ascii="Arial" w:hAnsi="Arial" w:cs="Arial"/>
        </w:rPr>
        <w:t>often putting</w:t>
      </w:r>
      <w:r w:rsidRPr="00A67482">
        <w:rPr>
          <w:rFonts w:ascii="Arial" w:hAnsi="Arial" w:cs="Arial"/>
        </w:rPr>
        <w:t xml:space="preserve"> pressure on our parks and green spaces. Jim and Chen (2022) explain that as cities get bigger, there's a constant battle for land. Developers often prioritize building homes and businesses, making it harder to keep our parks and green areas safe. This can mean fewer places for people to enjoy nature and relax, which isn't good for our well-being</w:t>
      </w:r>
      <w:r>
        <w:rPr>
          <w:rFonts w:ascii="Arial" w:hAnsi="Arial" w:cs="Arial"/>
        </w:rPr>
        <w:t>.</w:t>
      </w:r>
    </w:p>
    <w:p w14:paraId="4A37EB00" w14:textId="77777777" w:rsidR="005D24DF" w:rsidRDefault="005D24DF" w:rsidP="008C2AAC">
      <w:pPr>
        <w:spacing w:after="0" w:line="240" w:lineRule="auto"/>
        <w:jc w:val="both"/>
        <w:rPr>
          <w:rFonts w:ascii="Arial" w:hAnsi="Arial" w:cs="Arial"/>
        </w:rPr>
      </w:pPr>
    </w:p>
    <w:p w14:paraId="54B4B5E8" w14:textId="2EA7C77D" w:rsidR="00A67482" w:rsidRDefault="00A67482" w:rsidP="008C2AAC">
      <w:pPr>
        <w:spacing w:after="0" w:line="240" w:lineRule="auto"/>
        <w:jc w:val="both"/>
        <w:rPr>
          <w:rFonts w:ascii="Arial" w:hAnsi="Arial" w:cs="Arial"/>
        </w:rPr>
      </w:pPr>
      <w:r w:rsidRPr="00A67482">
        <w:rPr>
          <w:rFonts w:ascii="Arial" w:hAnsi="Arial" w:cs="Arial"/>
          <w:b/>
          <w:bCs/>
        </w:rPr>
        <w:t>Inadequate Enforcement Mechanisms</w:t>
      </w:r>
      <w:r w:rsidR="008C67EE">
        <w:rPr>
          <w:rFonts w:ascii="Arial" w:hAnsi="Arial" w:cs="Arial"/>
          <w:b/>
          <w:bCs/>
        </w:rPr>
        <w:t xml:space="preserve">: </w:t>
      </w:r>
      <w:r w:rsidRPr="00A67482">
        <w:rPr>
          <w:rFonts w:ascii="Arial" w:hAnsi="Arial" w:cs="Arial"/>
        </w:rPr>
        <w:t>Talen (2019) points out that developers usually think twice about breaking zoning laws because they know there are consequences. But if the rules aren't strictly enforced, some developers might be tempted to ignore regulations meant to protect green spaces. This could hurt efforts to create a more sustainable and livable city.</w:t>
      </w:r>
    </w:p>
    <w:p w14:paraId="1BDE453F" w14:textId="77777777" w:rsidR="008C67EE" w:rsidRDefault="008C67EE" w:rsidP="008C2AAC">
      <w:pPr>
        <w:spacing w:after="0" w:line="240" w:lineRule="auto"/>
        <w:jc w:val="both"/>
        <w:rPr>
          <w:rFonts w:ascii="Arial" w:hAnsi="Arial" w:cs="Arial"/>
        </w:rPr>
      </w:pPr>
    </w:p>
    <w:p w14:paraId="33E9E051" w14:textId="77777777" w:rsidR="008C67EE" w:rsidRDefault="008C67EE" w:rsidP="008C2AAC">
      <w:pPr>
        <w:spacing w:after="0" w:line="240" w:lineRule="auto"/>
        <w:jc w:val="both"/>
        <w:rPr>
          <w:rFonts w:ascii="Arial" w:hAnsi="Arial" w:cs="Arial"/>
        </w:rPr>
      </w:pPr>
    </w:p>
    <w:p w14:paraId="3397A3F3" w14:textId="77777777" w:rsidR="008C67EE" w:rsidRDefault="008C67EE" w:rsidP="008C2AAC">
      <w:pPr>
        <w:spacing w:after="0" w:line="240" w:lineRule="auto"/>
        <w:jc w:val="both"/>
        <w:rPr>
          <w:rFonts w:ascii="Arial" w:hAnsi="Arial" w:cs="Arial"/>
        </w:rPr>
      </w:pPr>
    </w:p>
    <w:p w14:paraId="39FE8715" w14:textId="77777777" w:rsidR="005D24DF" w:rsidRPr="00A67482" w:rsidRDefault="005D24DF" w:rsidP="008C2AAC">
      <w:pPr>
        <w:spacing w:after="0" w:line="240" w:lineRule="auto"/>
        <w:jc w:val="both"/>
        <w:rPr>
          <w:rFonts w:ascii="Arial" w:hAnsi="Arial" w:cs="Arial"/>
          <w:b/>
          <w:bCs/>
        </w:rPr>
      </w:pPr>
    </w:p>
    <w:p w14:paraId="5182A458" w14:textId="71A594BB" w:rsidR="000441A9" w:rsidRPr="000441A9" w:rsidRDefault="000441A9" w:rsidP="008C67EE">
      <w:pPr>
        <w:spacing w:after="0" w:line="240" w:lineRule="auto"/>
        <w:jc w:val="both"/>
        <w:rPr>
          <w:rFonts w:ascii="Arial" w:hAnsi="Arial" w:cs="Arial"/>
        </w:rPr>
      </w:pPr>
      <w:r w:rsidRPr="000441A9">
        <w:rPr>
          <w:rFonts w:ascii="Arial" w:hAnsi="Arial" w:cs="Arial"/>
          <w:b/>
          <w:bCs/>
        </w:rPr>
        <w:t>Interpretation of Findings</w:t>
      </w:r>
      <w:r w:rsidR="008C67EE">
        <w:rPr>
          <w:rFonts w:ascii="Arial" w:hAnsi="Arial" w:cs="Arial"/>
          <w:b/>
          <w:bCs/>
        </w:rPr>
        <w:t xml:space="preserve">: </w:t>
      </w:r>
      <w:r w:rsidR="00E232BB" w:rsidRPr="00E232BB">
        <w:rPr>
          <w:rFonts w:ascii="Arial" w:hAnsi="Arial" w:cs="Arial"/>
        </w:rPr>
        <w:t>T</w:t>
      </w:r>
      <w:r w:rsidRPr="00E232BB">
        <w:rPr>
          <w:rFonts w:ascii="Arial" w:hAnsi="Arial" w:cs="Arial"/>
        </w:rPr>
        <w:t>h</w:t>
      </w:r>
      <w:r w:rsidRPr="000441A9">
        <w:rPr>
          <w:rFonts w:ascii="Arial" w:hAnsi="Arial" w:cs="Arial"/>
        </w:rPr>
        <w:t>e findings underscore the critical role of green spaces in urban sustainability and public health. The challenges identified relate closely to broader themes of urban planning and environmental governance, highlighting the need for integrated approaches to enhance green space compliance.</w:t>
      </w:r>
    </w:p>
    <w:p w14:paraId="390A60AC" w14:textId="77777777" w:rsidR="005D24DF" w:rsidRDefault="005D24DF" w:rsidP="00370777">
      <w:pPr>
        <w:spacing w:after="0" w:line="240" w:lineRule="auto"/>
        <w:jc w:val="both"/>
        <w:rPr>
          <w:rFonts w:ascii="Arial" w:hAnsi="Arial" w:cs="Arial"/>
          <w:b/>
          <w:bCs/>
        </w:rPr>
      </w:pPr>
    </w:p>
    <w:p w14:paraId="15B0A807" w14:textId="38A60A1C" w:rsidR="000441A9" w:rsidRPr="000441A9" w:rsidRDefault="000441A9" w:rsidP="002A6F41">
      <w:pPr>
        <w:spacing w:after="0" w:line="240" w:lineRule="auto"/>
        <w:jc w:val="both"/>
        <w:rPr>
          <w:rFonts w:ascii="Arial" w:hAnsi="Arial" w:cs="Arial"/>
        </w:rPr>
      </w:pPr>
      <w:r w:rsidRPr="002A6F41">
        <w:rPr>
          <w:rFonts w:ascii="Arial" w:hAnsi="Arial" w:cs="Arial"/>
          <w:b/>
          <w:bCs/>
        </w:rPr>
        <w:t>Comparison with Other Studies</w:t>
      </w:r>
      <w:r w:rsidR="008C67EE">
        <w:rPr>
          <w:rFonts w:ascii="Arial" w:hAnsi="Arial" w:cs="Arial"/>
          <w:b/>
          <w:bCs/>
        </w:rPr>
        <w:t xml:space="preserve">: </w:t>
      </w:r>
      <w:r w:rsidRPr="000441A9">
        <w:rPr>
          <w:rFonts w:ascii="Arial" w:hAnsi="Arial" w:cs="Arial"/>
        </w:rPr>
        <w:t>The challenges faced in Davao City are similar to those reported in other urban contexts, particularly in developing nations. However, the effectiveness of stakeholder collaboration varies, with some cities achieving better integration of green spaces through participatory planning.</w:t>
      </w:r>
    </w:p>
    <w:p w14:paraId="5861294C" w14:textId="77777777" w:rsidR="005D24DF" w:rsidRDefault="005D24DF" w:rsidP="002A6F41">
      <w:pPr>
        <w:spacing w:after="0" w:line="240" w:lineRule="auto"/>
        <w:jc w:val="both"/>
        <w:rPr>
          <w:rFonts w:ascii="Arial" w:hAnsi="Arial" w:cs="Arial"/>
          <w:b/>
          <w:bCs/>
        </w:rPr>
      </w:pPr>
    </w:p>
    <w:p w14:paraId="7F3F78E3" w14:textId="713A460F" w:rsidR="005D24DF" w:rsidRDefault="000441A9" w:rsidP="004277D6">
      <w:pPr>
        <w:spacing w:after="0" w:line="240" w:lineRule="auto"/>
        <w:jc w:val="both"/>
        <w:rPr>
          <w:rFonts w:ascii="Arial" w:hAnsi="Arial" w:cs="Arial"/>
        </w:rPr>
      </w:pPr>
      <w:r w:rsidRPr="002A6F41">
        <w:rPr>
          <w:rFonts w:ascii="Arial" w:hAnsi="Arial" w:cs="Arial"/>
          <w:b/>
          <w:bCs/>
        </w:rPr>
        <w:t>Future Research Directions</w:t>
      </w:r>
      <w:r w:rsidR="008C67EE">
        <w:rPr>
          <w:rFonts w:ascii="Arial" w:hAnsi="Arial" w:cs="Arial"/>
          <w:b/>
          <w:bCs/>
        </w:rPr>
        <w:t xml:space="preserve">: </w:t>
      </w:r>
      <w:r w:rsidR="004277D6" w:rsidRPr="004277D6">
        <w:rPr>
          <w:rFonts w:ascii="Arial" w:hAnsi="Arial" w:cs="Arial"/>
        </w:rPr>
        <w:t>Future research on green spaces should focus on several key areas. First, investigating innovative urban planning strategies can help evaluate new approaches to green space development (Johnson, 2020). Second, longitudinal studies are needed to understand the long-term impacts of green spaces on community health and well-being (Lee &amp; Chen, 2022). Lastly, assessing stakeholder collaboration will reveal how different partnership models influence green space initiatives and enhance community engagement (Smith, 2021). These directions will support the creation of healthier urban environments.</w:t>
      </w:r>
    </w:p>
    <w:p w14:paraId="16B09EC8" w14:textId="77777777" w:rsidR="004277D6" w:rsidRPr="004277D6" w:rsidRDefault="004277D6" w:rsidP="004277D6">
      <w:pPr>
        <w:spacing w:after="0" w:line="240" w:lineRule="auto"/>
        <w:jc w:val="both"/>
        <w:rPr>
          <w:rFonts w:ascii="Arial" w:hAnsi="Arial" w:cs="Arial"/>
        </w:rPr>
      </w:pPr>
    </w:p>
    <w:p w14:paraId="6F683FDD" w14:textId="6ED3A778" w:rsidR="000441A9" w:rsidRDefault="000441A9" w:rsidP="002A6F41">
      <w:pPr>
        <w:spacing w:after="0" w:line="240" w:lineRule="auto"/>
        <w:jc w:val="both"/>
        <w:rPr>
          <w:rFonts w:ascii="Arial" w:hAnsi="Arial" w:cs="Arial"/>
        </w:rPr>
      </w:pPr>
      <w:r w:rsidRPr="002A6F41">
        <w:rPr>
          <w:rFonts w:ascii="Arial" w:hAnsi="Arial" w:cs="Arial"/>
          <w:b/>
          <w:bCs/>
        </w:rPr>
        <w:t>Limitations</w:t>
      </w:r>
      <w:r w:rsidR="008C67EE">
        <w:rPr>
          <w:rFonts w:ascii="Arial" w:hAnsi="Arial" w:cs="Arial"/>
          <w:b/>
          <w:bCs/>
        </w:rPr>
        <w:t xml:space="preserve">: </w:t>
      </w:r>
      <w:r w:rsidRPr="000441A9">
        <w:rPr>
          <w:rFonts w:ascii="Arial" w:hAnsi="Arial" w:cs="Arial"/>
        </w:rPr>
        <w:t>The systematic review acknowledges limitations, including potential biases in study selection and the generalizability of findings across different urban contexts. Further studies are needed to explore the nuances of green space requirements in diverse settings.</w:t>
      </w:r>
    </w:p>
    <w:p w14:paraId="449F9EC7" w14:textId="77777777" w:rsidR="00370777" w:rsidRDefault="00370777" w:rsidP="002A6F41">
      <w:pPr>
        <w:spacing w:after="0" w:line="240" w:lineRule="auto"/>
        <w:jc w:val="both"/>
        <w:rPr>
          <w:rFonts w:ascii="Arial" w:hAnsi="Arial" w:cs="Arial"/>
        </w:rPr>
      </w:pPr>
    </w:p>
    <w:p w14:paraId="5F28A143" w14:textId="4CB89C6F" w:rsidR="00E232BB" w:rsidRDefault="00821C9C" w:rsidP="002A6F41">
      <w:pPr>
        <w:spacing w:after="0" w:line="240" w:lineRule="auto"/>
        <w:jc w:val="both"/>
        <w:rPr>
          <w:rFonts w:ascii="Arial" w:hAnsi="Arial" w:cs="Arial"/>
          <w:b/>
          <w:bCs/>
        </w:rPr>
      </w:pPr>
      <w:r>
        <w:rPr>
          <w:rFonts w:ascii="Arial" w:hAnsi="Arial" w:cs="Arial"/>
        </w:rPr>
        <w:t xml:space="preserve">4. </w:t>
      </w:r>
      <w:r w:rsidR="00370777">
        <w:rPr>
          <w:rFonts w:ascii="Arial" w:hAnsi="Arial" w:cs="Arial"/>
          <w:b/>
          <w:bCs/>
        </w:rPr>
        <w:t>CONCLUSION</w:t>
      </w:r>
    </w:p>
    <w:p w14:paraId="63694248" w14:textId="77777777" w:rsidR="005D24DF" w:rsidRDefault="005D24DF" w:rsidP="002A6F41">
      <w:pPr>
        <w:spacing w:after="0" w:line="240" w:lineRule="auto"/>
        <w:jc w:val="both"/>
        <w:rPr>
          <w:rFonts w:ascii="Arial" w:hAnsi="Arial" w:cs="Arial"/>
          <w:b/>
          <w:bCs/>
        </w:rPr>
      </w:pPr>
    </w:p>
    <w:p w14:paraId="2EFF9C5D" w14:textId="0FA399B5" w:rsidR="00E232BB" w:rsidRDefault="00E232BB" w:rsidP="002A6F41">
      <w:pPr>
        <w:spacing w:after="0" w:line="240" w:lineRule="auto"/>
        <w:jc w:val="both"/>
        <w:rPr>
          <w:rFonts w:ascii="Arial" w:hAnsi="Arial" w:cs="Arial"/>
        </w:rPr>
      </w:pPr>
      <w:r w:rsidRPr="00E232BB">
        <w:rPr>
          <w:rFonts w:ascii="Arial" w:hAnsi="Arial" w:cs="Arial"/>
        </w:rPr>
        <w:t xml:space="preserve">Research on green spaces in Davao City demonstrates their critical role in urban planning. Green spaces not only enhance ecological sustainability but also significantly contribute to social well-being and economic vitality. Studies by </w:t>
      </w:r>
      <w:proofErr w:type="spellStart"/>
      <w:r w:rsidRPr="00E232BB">
        <w:rPr>
          <w:rFonts w:ascii="Arial" w:hAnsi="Arial" w:cs="Arial"/>
        </w:rPr>
        <w:t>Chiesura</w:t>
      </w:r>
      <w:proofErr w:type="spellEnd"/>
      <w:r w:rsidRPr="00E232BB">
        <w:rPr>
          <w:rFonts w:ascii="Arial" w:hAnsi="Arial" w:cs="Arial"/>
        </w:rPr>
        <w:t xml:space="preserve"> (2021) and Lemos &amp; Agrawal (2006) reveal key benefits, including improved air quality, enhanced public health, and increased property values. As urbanization accelerates, the necessity for effective green space implementation becomes increasingly crucial. However, challenges such as weak institutional capacity, insufficient coordination among stakeholders, limited public awareness, urban sprawl, and inadequate enforcement mechanisms hinder the enforcement of green space requirements (PIDS, 2018; Bulkeley &amp; Betsill, 2015; Jim &amp; Chen, 2022). These obstacles not only impede compliance with zoning ordinances but also diminish the potential positive impacts of green spaces on community well-being. </w:t>
      </w:r>
      <w:r w:rsidR="004277D6">
        <w:rPr>
          <w:rFonts w:ascii="Arial" w:hAnsi="Arial" w:cs="Arial"/>
        </w:rPr>
        <w:t>A multifaceted approach is essential to overcome these challenges and foster a greener Davao City</w:t>
      </w:r>
      <w:r w:rsidRPr="00E232BB">
        <w:rPr>
          <w:rFonts w:ascii="Arial" w:hAnsi="Arial" w:cs="Arial"/>
        </w:rPr>
        <w:t>. By addressing these challenges through targeted strategies, stakeholders can work collaboratively to create a more sustainable and livable urban environment.</w:t>
      </w:r>
    </w:p>
    <w:p w14:paraId="16AD1BEF" w14:textId="77777777" w:rsidR="00596067" w:rsidRPr="00E232BB" w:rsidRDefault="00596067" w:rsidP="002A6F41">
      <w:pPr>
        <w:spacing w:after="0" w:line="240" w:lineRule="auto"/>
        <w:jc w:val="both"/>
        <w:rPr>
          <w:rFonts w:ascii="Arial" w:hAnsi="Arial" w:cs="Arial"/>
          <w:b/>
          <w:bCs/>
        </w:rPr>
      </w:pPr>
    </w:p>
    <w:p w14:paraId="5E9A3C0F" w14:textId="7814BD64" w:rsidR="00E232BB" w:rsidRDefault="005D24DF" w:rsidP="002A6F41">
      <w:pPr>
        <w:spacing w:after="0" w:line="240" w:lineRule="auto"/>
        <w:jc w:val="both"/>
        <w:rPr>
          <w:rFonts w:ascii="Arial" w:hAnsi="Arial" w:cs="Arial"/>
          <w:b/>
          <w:bCs/>
        </w:rPr>
      </w:pPr>
      <w:r>
        <w:rPr>
          <w:rFonts w:ascii="Arial" w:hAnsi="Arial" w:cs="Arial"/>
          <w:b/>
          <w:bCs/>
        </w:rPr>
        <w:t>5</w:t>
      </w:r>
      <w:r w:rsidR="00E232BB">
        <w:rPr>
          <w:rFonts w:ascii="Arial" w:hAnsi="Arial" w:cs="Arial"/>
          <w:b/>
          <w:bCs/>
        </w:rPr>
        <w:t>. R</w:t>
      </w:r>
      <w:r w:rsidR="00370777">
        <w:rPr>
          <w:rFonts w:ascii="Arial" w:hAnsi="Arial" w:cs="Arial"/>
          <w:b/>
          <w:bCs/>
        </w:rPr>
        <w:t>ECOMMENDATIONS</w:t>
      </w:r>
    </w:p>
    <w:p w14:paraId="3354C8E2" w14:textId="77777777" w:rsidR="005D24DF" w:rsidRPr="00E232BB" w:rsidRDefault="005D24DF" w:rsidP="002A6F41">
      <w:pPr>
        <w:spacing w:after="0" w:line="240" w:lineRule="auto"/>
        <w:jc w:val="both"/>
        <w:rPr>
          <w:rFonts w:ascii="Arial" w:hAnsi="Arial" w:cs="Arial"/>
          <w:b/>
          <w:bCs/>
        </w:rPr>
      </w:pPr>
    </w:p>
    <w:p w14:paraId="19249D3C" w14:textId="10C82C23" w:rsidR="00E232BB" w:rsidRDefault="00E232BB" w:rsidP="002A6F41">
      <w:pPr>
        <w:spacing w:after="0" w:line="240" w:lineRule="auto"/>
        <w:jc w:val="both"/>
        <w:rPr>
          <w:rFonts w:ascii="Arial" w:hAnsi="Arial" w:cs="Arial"/>
        </w:rPr>
      </w:pPr>
      <w:r w:rsidRPr="00E232BB">
        <w:rPr>
          <w:rFonts w:ascii="Arial" w:hAnsi="Arial" w:cs="Arial"/>
        </w:rPr>
        <w:t xml:space="preserve">The establishment and maintenance of green spaces in Davao City require concerted efforts from all stakeholders.  By embracing </w:t>
      </w:r>
      <w:r w:rsidR="004277D6">
        <w:rPr>
          <w:rFonts w:ascii="Arial" w:hAnsi="Arial" w:cs="Arial"/>
        </w:rPr>
        <w:t xml:space="preserve">a </w:t>
      </w:r>
      <w:r w:rsidRPr="00E232BB">
        <w:rPr>
          <w:rFonts w:ascii="Arial" w:hAnsi="Arial" w:cs="Arial"/>
        </w:rPr>
        <w:t>collaborative and informed approach, the city can enhance its green infrastructure, leading to a healthier, more sustainable, and vibrant urban environment for all residents.</w:t>
      </w:r>
      <w:r>
        <w:rPr>
          <w:rFonts w:ascii="Arial" w:hAnsi="Arial" w:cs="Arial"/>
        </w:rPr>
        <w:t xml:space="preserve">  Below are the recommendations:</w:t>
      </w:r>
    </w:p>
    <w:p w14:paraId="05B22791" w14:textId="77777777" w:rsidR="005D24DF" w:rsidRPr="00E232BB" w:rsidRDefault="005D24DF" w:rsidP="002A6F41">
      <w:pPr>
        <w:spacing w:after="0" w:line="240" w:lineRule="auto"/>
        <w:jc w:val="both"/>
        <w:rPr>
          <w:rFonts w:ascii="Arial" w:hAnsi="Arial" w:cs="Arial"/>
        </w:rPr>
      </w:pPr>
    </w:p>
    <w:p w14:paraId="56376392" w14:textId="77777777" w:rsidR="00AA18D0" w:rsidRDefault="00E232BB" w:rsidP="00AA18D0">
      <w:pPr>
        <w:spacing w:after="0" w:line="240" w:lineRule="auto"/>
        <w:jc w:val="both"/>
        <w:rPr>
          <w:rFonts w:ascii="Arial" w:eastAsia="Times New Roman" w:hAnsi="Arial" w:cs="Arial"/>
          <w:kern w:val="0"/>
          <w:lang w:eastAsia="en-PH"/>
          <w14:ligatures w14:val="none"/>
        </w:rPr>
      </w:pPr>
      <w:r>
        <w:rPr>
          <w:rFonts w:ascii="Arial" w:hAnsi="Arial" w:cs="Arial"/>
          <w:b/>
          <w:bCs/>
        </w:rPr>
        <w:t>Enhance Institutional Capacity:</w:t>
      </w:r>
      <w:r w:rsidR="00AA18D0">
        <w:rPr>
          <w:rFonts w:ascii="Arial" w:hAnsi="Arial" w:cs="Arial"/>
          <w:b/>
          <w:bCs/>
        </w:rPr>
        <w:t xml:space="preserve"> </w:t>
      </w:r>
      <w:r w:rsidR="00AA18D0" w:rsidRPr="00AA18D0">
        <w:rPr>
          <w:rFonts w:ascii="Arial" w:eastAsia="Times New Roman" w:hAnsi="Arial" w:cs="Arial"/>
          <w:kern w:val="0"/>
          <w:lang w:eastAsia="en-PH"/>
          <w14:ligatures w14:val="none"/>
        </w:rPr>
        <w:t>To improve the abilities and expertise of those working in urban planning and enforcement, local governments have to make training and resource investments. Workshops on sustainable urban development and green space management best practices may fall under this category (Scott, 2004).</w:t>
      </w:r>
    </w:p>
    <w:p w14:paraId="29EDB1DA" w14:textId="77777777" w:rsidR="005D24DF" w:rsidRDefault="005D24DF" w:rsidP="00AA18D0">
      <w:pPr>
        <w:spacing w:after="0" w:line="240" w:lineRule="auto"/>
        <w:jc w:val="both"/>
        <w:rPr>
          <w:rFonts w:ascii="Arial" w:eastAsia="Times New Roman" w:hAnsi="Arial" w:cs="Arial"/>
          <w:kern w:val="0"/>
          <w:lang w:eastAsia="en-PH"/>
          <w14:ligatures w14:val="none"/>
        </w:rPr>
      </w:pPr>
    </w:p>
    <w:p w14:paraId="49A1AD60" w14:textId="3DDD4637" w:rsidR="00AA18D0" w:rsidRDefault="00AA18D0" w:rsidP="00AA18D0">
      <w:pPr>
        <w:spacing w:after="0" w:line="240" w:lineRule="auto"/>
        <w:jc w:val="both"/>
        <w:rPr>
          <w:rFonts w:ascii="Arial" w:eastAsia="Times New Roman" w:hAnsi="Arial" w:cs="Arial"/>
          <w:kern w:val="0"/>
          <w:lang w:eastAsia="en-PH"/>
          <w14:ligatures w14:val="none"/>
        </w:rPr>
      </w:pPr>
      <w:r w:rsidRPr="00AA18D0">
        <w:rPr>
          <w:rFonts w:ascii="Arial" w:eastAsia="Times New Roman" w:hAnsi="Arial" w:cs="Arial"/>
          <w:b/>
          <w:bCs/>
          <w:kern w:val="0"/>
          <w:lang w:eastAsia="en-PH"/>
          <w14:ligatures w14:val="none"/>
        </w:rPr>
        <w:t xml:space="preserve">Improve Public Awareness </w:t>
      </w:r>
      <w:proofErr w:type="spellStart"/>
      <w:r w:rsidRPr="00AA18D0">
        <w:rPr>
          <w:rFonts w:ascii="Arial" w:eastAsia="Times New Roman" w:hAnsi="Arial" w:cs="Arial"/>
          <w:b/>
          <w:bCs/>
          <w:kern w:val="0"/>
          <w:lang w:eastAsia="en-PH"/>
          <w14:ligatures w14:val="none"/>
        </w:rPr>
        <w:t>Awareness</w:t>
      </w:r>
      <w:proofErr w:type="spellEnd"/>
      <w:r w:rsidRPr="00AA18D0">
        <w:rPr>
          <w:rFonts w:ascii="Arial" w:eastAsia="Times New Roman" w:hAnsi="Arial" w:cs="Arial"/>
          <w:kern w:val="0"/>
          <w:lang w:eastAsia="en-PH"/>
          <w14:ligatures w14:val="none"/>
        </w:rPr>
        <w:t>: Start educational initiatives to spread the word about the advantages of green places. A culture of environmental stewardship and public support for green projects may be fostered by involving the community through workshops, social media, and public forums (</w:t>
      </w:r>
      <w:proofErr w:type="spellStart"/>
      <w:r w:rsidRPr="00AA18D0">
        <w:rPr>
          <w:rFonts w:ascii="Arial" w:eastAsia="Times New Roman" w:hAnsi="Arial" w:cs="Arial"/>
          <w:kern w:val="0"/>
          <w:lang w:eastAsia="en-PH"/>
          <w14:ligatures w14:val="none"/>
        </w:rPr>
        <w:t>Wolch</w:t>
      </w:r>
      <w:proofErr w:type="spellEnd"/>
      <w:r w:rsidRPr="00AA18D0">
        <w:rPr>
          <w:rFonts w:ascii="Arial" w:eastAsia="Times New Roman" w:hAnsi="Arial" w:cs="Arial"/>
          <w:kern w:val="0"/>
          <w:lang w:eastAsia="en-PH"/>
          <w14:ligatures w14:val="none"/>
        </w:rPr>
        <w:t xml:space="preserve"> et al., 2020).</w:t>
      </w:r>
    </w:p>
    <w:p w14:paraId="315DA38E" w14:textId="77777777" w:rsidR="005D24DF" w:rsidRDefault="005D24DF" w:rsidP="00AA18D0">
      <w:pPr>
        <w:spacing w:after="0" w:line="240" w:lineRule="auto"/>
        <w:jc w:val="both"/>
        <w:rPr>
          <w:rFonts w:ascii="Arial" w:eastAsia="Times New Roman" w:hAnsi="Arial" w:cs="Arial"/>
          <w:kern w:val="0"/>
          <w:lang w:eastAsia="en-PH"/>
          <w14:ligatures w14:val="none"/>
        </w:rPr>
      </w:pPr>
    </w:p>
    <w:p w14:paraId="5DB0FBF3" w14:textId="77777777" w:rsidR="00AA18D0" w:rsidRDefault="00AA18D0" w:rsidP="00AA18D0">
      <w:pPr>
        <w:spacing w:after="0" w:line="240" w:lineRule="auto"/>
        <w:jc w:val="both"/>
        <w:rPr>
          <w:rFonts w:ascii="Arial" w:eastAsia="Times New Roman" w:hAnsi="Arial" w:cs="Arial"/>
          <w:kern w:val="0"/>
          <w:lang w:eastAsia="en-PH"/>
          <w14:ligatures w14:val="none"/>
        </w:rPr>
      </w:pPr>
      <w:r w:rsidRPr="00AA18D0">
        <w:rPr>
          <w:rFonts w:ascii="Arial" w:eastAsia="Times New Roman" w:hAnsi="Arial" w:cs="Arial"/>
          <w:b/>
          <w:bCs/>
          <w:kern w:val="0"/>
          <w:lang w:eastAsia="en-PH"/>
          <w14:ligatures w14:val="none"/>
        </w:rPr>
        <w:t>Foster Stakeholder Collaboration:</w:t>
      </w:r>
      <w:r>
        <w:rPr>
          <w:rFonts w:ascii="Arial" w:eastAsia="Times New Roman" w:hAnsi="Arial" w:cs="Arial"/>
          <w:b/>
          <w:bCs/>
          <w:kern w:val="0"/>
          <w:lang w:eastAsia="en-PH"/>
          <w14:ligatures w14:val="none"/>
        </w:rPr>
        <w:t xml:space="preserve"> </w:t>
      </w:r>
      <w:r w:rsidRPr="00AA18D0">
        <w:rPr>
          <w:rFonts w:ascii="Arial" w:eastAsia="Times New Roman" w:hAnsi="Arial" w:cs="Arial"/>
          <w:kern w:val="0"/>
          <w:lang w:eastAsia="en-PH"/>
          <w14:ligatures w14:val="none"/>
        </w:rPr>
        <w:t>Provide a structure for cooperation between people, community organizations, developers, and government authorities. In the planning and development of green spaces, regular stakeholder meetings may promote cooperation, align interests, and ease communication (Bulkeley &amp; Betsill, 2015).</w:t>
      </w:r>
    </w:p>
    <w:p w14:paraId="08FFF6DE" w14:textId="77777777" w:rsidR="005D24DF" w:rsidRDefault="005D24DF" w:rsidP="00AA18D0">
      <w:pPr>
        <w:spacing w:after="0" w:line="240" w:lineRule="auto"/>
        <w:jc w:val="both"/>
        <w:rPr>
          <w:rFonts w:ascii="Arial" w:eastAsia="Times New Roman" w:hAnsi="Arial" w:cs="Arial"/>
          <w:kern w:val="0"/>
          <w:lang w:eastAsia="en-PH"/>
          <w14:ligatures w14:val="none"/>
        </w:rPr>
      </w:pPr>
    </w:p>
    <w:p w14:paraId="1F0F85C3" w14:textId="77777777" w:rsidR="00AA18D0" w:rsidRDefault="00AA18D0" w:rsidP="00CE657D">
      <w:pPr>
        <w:spacing w:after="0" w:line="240" w:lineRule="auto"/>
        <w:jc w:val="both"/>
        <w:rPr>
          <w:rFonts w:ascii="Arial" w:eastAsia="Times New Roman" w:hAnsi="Arial" w:cs="Arial"/>
          <w:kern w:val="0"/>
          <w:lang w:eastAsia="en-PH"/>
          <w14:ligatures w14:val="none"/>
        </w:rPr>
      </w:pPr>
      <w:r w:rsidRPr="00AA18D0">
        <w:rPr>
          <w:rFonts w:ascii="Arial" w:eastAsia="Times New Roman" w:hAnsi="Arial" w:cs="Arial"/>
          <w:b/>
          <w:bCs/>
          <w:kern w:val="0"/>
          <w:lang w:eastAsia="en-PH"/>
          <w14:ligatures w14:val="none"/>
        </w:rPr>
        <w:t>Integrate Green Spaces into Urban Plans:</w:t>
      </w:r>
      <w:r>
        <w:rPr>
          <w:rFonts w:ascii="Arial" w:eastAsia="Times New Roman" w:hAnsi="Arial" w:cs="Arial"/>
          <w:b/>
          <w:bCs/>
          <w:kern w:val="0"/>
          <w:lang w:eastAsia="en-PH"/>
          <w14:ligatures w14:val="none"/>
        </w:rPr>
        <w:t xml:space="preserve"> </w:t>
      </w:r>
      <w:r w:rsidRPr="00AA18D0">
        <w:rPr>
          <w:rFonts w:ascii="Arial" w:eastAsia="Times New Roman" w:hAnsi="Arial" w:cs="Arial"/>
          <w:kern w:val="0"/>
          <w:lang w:eastAsia="en-PH"/>
          <w14:ligatures w14:val="none"/>
        </w:rPr>
        <w:t>Green infrastructure should be given top priority in development projects by urban planners, who should make sure that accessible green spaces are incorporated into new residential and commercial construction. Residents' quality of life may be improved, and communities may become healthier as a result (Chen &amp; Wang, 2018).</w:t>
      </w:r>
    </w:p>
    <w:p w14:paraId="61365AC7" w14:textId="77777777" w:rsidR="005D24DF" w:rsidRDefault="005D24DF" w:rsidP="00CE657D">
      <w:pPr>
        <w:spacing w:after="0" w:line="240" w:lineRule="auto"/>
        <w:jc w:val="both"/>
        <w:rPr>
          <w:rFonts w:ascii="Arial" w:eastAsia="Times New Roman" w:hAnsi="Arial" w:cs="Arial"/>
          <w:kern w:val="0"/>
          <w:lang w:eastAsia="en-PH"/>
          <w14:ligatures w14:val="none"/>
        </w:rPr>
      </w:pPr>
    </w:p>
    <w:p w14:paraId="0BB5BFE9" w14:textId="77777777" w:rsidR="00CE657D" w:rsidRDefault="00CE657D" w:rsidP="00CE657D">
      <w:pPr>
        <w:spacing w:after="0" w:line="240" w:lineRule="auto"/>
        <w:jc w:val="both"/>
        <w:rPr>
          <w:rFonts w:ascii="Arial" w:eastAsia="Times New Roman" w:hAnsi="Arial" w:cs="Arial"/>
          <w:kern w:val="0"/>
          <w:lang w:eastAsia="en-PH"/>
          <w14:ligatures w14:val="none"/>
        </w:rPr>
      </w:pPr>
      <w:r w:rsidRPr="00CE657D">
        <w:rPr>
          <w:rFonts w:ascii="Arial" w:eastAsia="Times New Roman" w:hAnsi="Arial" w:cs="Arial"/>
          <w:b/>
          <w:bCs/>
          <w:kern w:val="0"/>
          <w:lang w:eastAsia="en-PH"/>
          <w14:ligatures w14:val="none"/>
        </w:rPr>
        <w:t>Strengthen Enforcement Mechanisms</w:t>
      </w:r>
      <w:r w:rsidRPr="00CE657D">
        <w:rPr>
          <w:rFonts w:ascii="Arial" w:eastAsia="Times New Roman" w:hAnsi="Arial" w:cs="Arial"/>
          <w:kern w:val="0"/>
          <w:lang w:eastAsia="en-PH"/>
          <w14:ligatures w14:val="none"/>
        </w:rPr>
        <w:t>:</w:t>
      </w:r>
      <w:r>
        <w:rPr>
          <w:rFonts w:ascii="Arial" w:eastAsia="Times New Roman" w:hAnsi="Arial" w:cs="Arial"/>
          <w:kern w:val="0"/>
          <w:lang w:eastAsia="en-PH"/>
          <w14:ligatures w14:val="none"/>
        </w:rPr>
        <w:t xml:space="preserve"> </w:t>
      </w:r>
      <w:r w:rsidRPr="00CE657D">
        <w:rPr>
          <w:rFonts w:ascii="Arial" w:eastAsia="Times New Roman" w:hAnsi="Arial" w:cs="Arial"/>
          <w:kern w:val="0"/>
          <w:lang w:eastAsia="en-PH"/>
          <w14:ligatures w14:val="none"/>
        </w:rPr>
        <w:t>Enforce zoning laws pertaining to green spaces more strictly. To guarantee that developers follow the rules for green space, this entails strengthening monitoring efforts and defining unambiguous penalties for non-compliance (Talen, 2019).</w:t>
      </w:r>
    </w:p>
    <w:p w14:paraId="6C6F2B09" w14:textId="77777777" w:rsidR="005D24DF" w:rsidRDefault="005D24DF" w:rsidP="00CE657D">
      <w:pPr>
        <w:spacing w:after="0" w:line="240" w:lineRule="auto"/>
        <w:jc w:val="both"/>
        <w:rPr>
          <w:rFonts w:ascii="Arial" w:eastAsia="Times New Roman" w:hAnsi="Arial" w:cs="Arial"/>
          <w:kern w:val="0"/>
          <w:lang w:eastAsia="en-PH"/>
          <w14:ligatures w14:val="none"/>
        </w:rPr>
      </w:pPr>
    </w:p>
    <w:p w14:paraId="40CA5C34" w14:textId="1D22C1CC" w:rsidR="00CE657D" w:rsidRDefault="00CE657D" w:rsidP="00CE657D">
      <w:pPr>
        <w:spacing w:after="0" w:line="240" w:lineRule="auto"/>
        <w:jc w:val="both"/>
        <w:rPr>
          <w:rFonts w:ascii="Arial" w:eastAsia="Times New Roman" w:hAnsi="Arial" w:cs="Arial"/>
          <w:kern w:val="0"/>
          <w:lang w:eastAsia="en-PH"/>
          <w14:ligatures w14:val="none"/>
        </w:rPr>
      </w:pPr>
      <w:r w:rsidRPr="00CE657D">
        <w:rPr>
          <w:rFonts w:ascii="Arial" w:eastAsia="Times New Roman" w:hAnsi="Arial" w:cs="Arial"/>
          <w:b/>
          <w:bCs/>
          <w:kern w:val="0"/>
          <w:lang w:eastAsia="en-PH"/>
          <w14:ligatures w14:val="none"/>
        </w:rPr>
        <w:t xml:space="preserve">Address Urban Sprawl: </w:t>
      </w:r>
      <w:r w:rsidRPr="00CE657D">
        <w:rPr>
          <w:rFonts w:ascii="Arial" w:eastAsia="Times New Roman" w:hAnsi="Arial" w:cs="Arial"/>
          <w:kern w:val="0"/>
          <w:lang w:eastAsia="en-PH"/>
          <w14:ligatures w14:val="none"/>
        </w:rPr>
        <w:t xml:space="preserve">Create regulations that encourage dense, mixed-use construction with a focus on green areas in order to control urban expansion. This strategy can shield current green spaces from encroachment and lessen </w:t>
      </w:r>
      <w:r w:rsidR="00B83437">
        <w:rPr>
          <w:rFonts w:ascii="Arial" w:eastAsia="Times New Roman" w:hAnsi="Arial" w:cs="Arial"/>
          <w:kern w:val="0"/>
          <w:lang w:eastAsia="en-PH"/>
          <w14:ligatures w14:val="none"/>
        </w:rPr>
        <w:t>their strain</w:t>
      </w:r>
      <w:r w:rsidRPr="00CE657D">
        <w:rPr>
          <w:rFonts w:ascii="Arial" w:eastAsia="Times New Roman" w:hAnsi="Arial" w:cs="Arial"/>
          <w:kern w:val="0"/>
          <w:lang w:eastAsia="en-PH"/>
          <w14:ligatures w14:val="none"/>
        </w:rPr>
        <w:t xml:space="preserve"> (Jim &amp; Chen, 2022).</w:t>
      </w:r>
    </w:p>
    <w:p w14:paraId="575A3C54" w14:textId="77777777" w:rsidR="005D24DF" w:rsidRDefault="005D24DF" w:rsidP="00CE657D">
      <w:pPr>
        <w:spacing w:after="0" w:line="240" w:lineRule="auto"/>
        <w:jc w:val="both"/>
        <w:rPr>
          <w:rFonts w:ascii="Arial" w:eastAsia="Times New Roman" w:hAnsi="Arial" w:cs="Arial"/>
          <w:kern w:val="0"/>
          <w:lang w:eastAsia="en-PH"/>
          <w14:ligatures w14:val="none"/>
        </w:rPr>
      </w:pPr>
    </w:p>
    <w:p w14:paraId="75021D91" w14:textId="28451D3B" w:rsidR="00CE657D" w:rsidRPr="00CE657D" w:rsidRDefault="00CE657D" w:rsidP="00CE657D">
      <w:pPr>
        <w:jc w:val="both"/>
        <w:rPr>
          <w:rFonts w:ascii="Arial" w:eastAsia="Times New Roman" w:hAnsi="Arial" w:cs="Arial"/>
          <w:kern w:val="0"/>
          <w:lang w:eastAsia="en-PH"/>
          <w14:ligatures w14:val="none"/>
        </w:rPr>
      </w:pPr>
      <w:r w:rsidRPr="00CE657D">
        <w:rPr>
          <w:rFonts w:ascii="Arial" w:eastAsia="Times New Roman" w:hAnsi="Arial" w:cs="Arial"/>
          <w:b/>
          <w:bCs/>
          <w:kern w:val="0"/>
          <w:lang w:eastAsia="en-PH"/>
          <w14:ligatures w14:val="none"/>
        </w:rPr>
        <w:t>Encourage Research and Innovation:</w:t>
      </w:r>
      <w:r>
        <w:rPr>
          <w:rFonts w:ascii="Arial" w:eastAsia="Times New Roman" w:hAnsi="Arial" w:cs="Arial"/>
          <w:b/>
          <w:bCs/>
          <w:kern w:val="0"/>
          <w:lang w:eastAsia="en-PH"/>
          <w14:ligatures w14:val="none"/>
        </w:rPr>
        <w:t xml:space="preserve"> </w:t>
      </w:r>
      <w:r w:rsidRPr="00CE657D">
        <w:rPr>
          <w:rFonts w:ascii="Arial" w:eastAsia="Times New Roman" w:hAnsi="Arial" w:cs="Arial"/>
          <w:kern w:val="0"/>
          <w:lang w:eastAsia="en-PH"/>
          <w14:ligatures w14:val="none"/>
        </w:rPr>
        <w:t>The long-term effects of green spaces on community health and creative urban design techniques should be the main topics of future studies. Davao City can implement best practices tailored to its particular situation by looking at successful examples from other cities (Kabisch &amp; Haase, 2019).</w:t>
      </w:r>
    </w:p>
    <w:p w14:paraId="74C42D2E" w14:textId="606BE39E" w:rsidR="00CB6201" w:rsidRDefault="00CB6201" w:rsidP="00CE657D">
      <w:pPr>
        <w:spacing w:after="0" w:line="240" w:lineRule="auto"/>
        <w:jc w:val="both"/>
        <w:rPr>
          <w:rFonts w:ascii="Arial" w:hAnsi="Arial" w:cs="Arial"/>
          <w:b/>
          <w:bCs/>
        </w:rPr>
      </w:pPr>
      <w:r w:rsidRPr="002A6F41">
        <w:rPr>
          <w:rFonts w:ascii="Arial" w:hAnsi="Arial" w:cs="Arial"/>
          <w:b/>
          <w:bCs/>
        </w:rPr>
        <w:t>R</w:t>
      </w:r>
      <w:r w:rsidR="00CC755C">
        <w:rPr>
          <w:rFonts w:ascii="Arial" w:hAnsi="Arial" w:cs="Arial"/>
          <w:b/>
          <w:bCs/>
        </w:rPr>
        <w:t>EFERENCES</w:t>
      </w:r>
    </w:p>
    <w:p w14:paraId="4661DD07" w14:textId="77777777" w:rsidR="004A6007" w:rsidRPr="002A6F41" w:rsidRDefault="004A6007" w:rsidP="00CE657D">
      <w:pPr>
        <w:spacing w:after="0" w:line="240" w:lineRule="auto"/>
        <w:jc w:val="both"/>
        <w:rPr>
          <w:rFonts w:ascii="Arial" w:hAnsi="Arial" w:cs="Arial"/>
          <w:b/>
          <w:bCs/>
        </w:rPr>
      </w:pPr>
    </w:p>
    <w:p w14:paraId="0363DF99" w14:textId="14D2C862"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Asian Development Bank.</w:t>
      </w:r>
      <w:r w:rsidRPr="00081CF4">
        <w:rPr>
          <w:rFonts w:ascii="Arial" w:eastAsia="Times New Roman" w:hAnsi="Arial" w:cs="Arial"/>
          <w:kern w:val="0"/>
          <w:lang w:eastAsia="en-PH"/>
          <w14:ligatures w14:val="none"/>
        </w:rPr>
        <w:t xml:space="preserve"> (2023). </w:t>
      </w:r>
      <w:r w:rsidRPr="00081CF4">
        <w:rPr>
          <w:rFonts w:ascii="Arial" w:eastAsia="Times New Roman" w:hAnsi="Arial" w:cs="Arial"/>
          <w:i/>
          <w:iCs/>
          <w:kern w:val="0"/>
          <w:lang w:eastAsia="en-PH"/>
          <w14:ligatures w14:val="none"/>
        </w:rPr>
        <w:t>Comparative Analysis of Urban Green Policies.</w:t>
      </w:r>
      <w:r w:rsidRPr="00081CF4">
        <w:rPr>
          <w:rFonts w:ascii="Arial" w:eastAsia="Times New Roman" w:hAnsi="Arial" w:cs="Arial"/>
          <w:kern w:val="0"/>
          <w:lang w:eastAsia="en-PH"/>
          <w14:ligatures w14:val="none"/>
        </w:rPr>
        <w:t xml:space="preserve"> ADB Policy Papers. </w:t>
      </w:r>
    </w:p>
    <w:p w14:paraId="2985AD5A" w14:textId="5211837C"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Bulkeley, H., &amp; Betsill, M.</w:t>
      </w:r>
      <w:r w:rsidRPr="00081CF4">
        <w:rPr>
          <w:rFonts w:ascii="Arial" w:eastAsia="Times New Roman" w:hAnsi="Arial" w:cs="Arial"/>
          <w:kern w:val="0"/>
          <w:lang w:eastAsia="en-PH"/>
          <w14:ligatures w14:val="none"/>
        </w:rPr>
        <w:t xml:space="preserve"> (2015). Rethinking sustainable cities: Multilevel governance and the ‘urban’ politics of climate change. </w:t>
      </w:r>
      <w:r w:rsidRPr="00081CF4">
        <w:rPr>
          <w:rFonts w:ascii="Arial" w:eastAsia="Times New Roman" w:hAnsi="Arial" w:cs="Arial"/>
          <w:i/>
          <w:iCs/>
          <w:kern w:val="0"/>
          <w:lang w:eastAsia="en-PH"/>
          <w14:ligatures w14:val="none"/>
        </w:rPr>
        <w:t>Environmental Politics</w:t>
      </w:r>
      <w:r w:rsidRPr="00081CF4">
        <w:rPr>
          <w:rFonts w:ascii="Arial" w:eastAsia="Times New Roman" w:hAnsi="Arial" w:cs="Arial"/>
          <w:kern w:val="0"/>
          <w:lang w:eastAsia="en-PH"/>
          <w14:ligatures w14:val="none"/>
        </w:rPr>
        <w:t xml:space="preserve">, 14(1), 42-63. </w:t>
      </w:r>
    </w:p>
    <w:p w14:paraId="08581517" w14:textId="5F83608B"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Chen, F., &amp; Wang, X.</w:t>
      </w:r>
      <w:r w:rsidRPr="00081CF4">
        <w:rPr>
          <w:rFonts w:ascii="Arial" w:eastAsia="Times New Roman" w:hAnsi="Arial" w:cs="Arial"/>
          <w:kern w:val="0"/>
          <w:lang w:eastAsia="en-PH"/>
          <w14:ligatures w14:val="none"/>
        </w:rPr>
        <w:t xml:space="preserve"> (2018). Performance-based zoning and green infrastructure: A case study from New York City. </w:t>
      </w:r>
      <w:r w:rsidRPr="00081CF4">
        <w:rPr>
          <w:rFonts w:ascii="Arial" w:eastAsia="Times New Roman" w:hAnsi="Arial" w:cs="Arial"/>
          <w:i/>
          <w:iCs/>
          <w:kern w:val="0"/>
          <w:lang w:eastAsia="en-PH"/>
          <w14:ligatures w14:val="none"/>
        </w:rPr>
        <w:t>Journal of Urban Planning and Development</w:t>
      </w:r>
      <w:r w:rsidRPr="00081CF4">
        <w:rPr>
          <w:rFonts w:ascii="Arial" w:eastAsia="Times New Roman" w:hAnsi="Arial" w:cs="Arial"/>
          <w:kern w:val="0"/>
          <w:lang w:eastAsia="en-PH"/>
          <w14:ligatures w14:val="none"/>
        </w:rPr>
        <w:t xml:space="preserve">, 144(2), 1-10. </w:t>
      </w:r>
    </w:p>
    <w:p w14:paraId="362DBA18" w14:textId="07BFDA74" w:rsid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proofErr w:type="spellStart"/>
      <w:r w:rsidRPr="00081CF4">
        <w:rPr>
          <w:rFonts w:ascii="Arial" w:eastAsia="Times New Roman" w:hAnsi="Arial" w:cs="Arial"/>
          <w:b/>
          <w:bCs/>
          <w:kern w:val="0"/>
          <w:lang w:eastAsia="en-PH"/>
          <w14:ligatures w14:val="none"/>
        </w:rPr>
        <w:t>Chiesura</w:t>
      </w:r>
      <w:proofErr w:type="spellEnd"/>
      <w:r w:rsidRPr="00081CF4">
        <w:rPr>
          <w:rFonts w:ascii="Arial" w:eastAsia="Times New Roman" w:hAnsi="Arial" w:cs="Arial"/>
          <w:b/>
          <w:bCs/>
          <w:kern w:val="0"/>
          <w:lang w:eastAsia="en-PH"/>
          <w14:ligatures w14:val="none"/>
        </w:rPr>
        <w:t>, A.</w:t>
      </w:r>
      <w:r w:rsidRPr="00081CF4">
        <w:rPr>
          <w:rFonts w:ascii="Arial" w:eastAsia="Times New Roman" w:hAnsi="Arial" w:cs="Arial"/>
          <w:kern w:val="0"/>
          <w:lang w:eastAsia="en-PH"/>
          <w14:ligatures w14:val="none"/>
        </w:rPr>
        <w:t xml:space="preserve"> (2021). The role of urban parks for the sustainable city. </w:t>
      </w:r>
      <w:r w:rsidRPr="00081CF4">
        <w:rPr>
          <w:rFonts w:ascii="Arial" w:eastAsia="Times New Roman" w:hAnsi="Arial" w:cs="Arial"/>
          <w:i/>
          <w:iCs/>
          <w:kern w:val="0"/>
          <w:lang w:eastAsia="en-PH"/>
          <w14:ligatures w14:val="none"/>
        </w:rPr>
        <w:t>Landscape and Urban Planning</w:t>
      </w:r>
      <w:r w:rsidRPr="00081CF4">
        <w:rPr>
          <w:rFonts w:ascii="Arial" w:eastAsia="Times New Roman" w:hAnsi="Arial" w:cs="Arial"/>
          <w:kern w:val="0"/>
          <w:lang w:eastAsia="en-PH"/>
          <w14:ligatures w14:val="none"/>
        </w:rPr>
        <w:t xml:space="preserve">, 68(1), 129-138. </w:t>
      </w:r>
    </w:p>
    <w:p w14:paraId="60AB2752" w14:textId="4C35D932" w:rsidR="00883A27" w:rsidRPr="00081CF4" w:rsidRDefault="00883A27"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Pr>
          <w:rFonts w:ascii="Arial" w:eastAsia="Times New Roman" w:hAnsi="Arial" w:cs="Arial"/>
          <w:b/>
          <w:bCs/>
          <w:kern w:val="0"/>
          <w:lang w:eastAsia="en-PH"/>
          <w14:ligatures w14:val="none"/>
        </w:rPr>
        <w:t xml:space="preserve">City Government of Davao. </w:t>
      </w:r>
      <w:r w:rsidRPr="00883A27">
        <w:rPr>
          <w:rFonts w:ascii="Arial" w:eastAsia="Times New Roman" w:hAnsi="Arial" w:cs="Arial"/>
          <w:kern w:val="0"/>
          <w:lang w:eastAsia="en-PH"/>
          <w14:ligatures w14:val="none"/>
        </w:rPr>
        <w:t>(2023).</w:t>
      </w:r>
      <w:r>
        <w:rPr>
          <w:rFonts w:ascii="Arial" w:eastAsia="Times New Roman" w:hAnsi="Arial" w:cs="Arial"/>
          <w:b/>
          <w:bCs/>
          <w:kern w:val="0"/>
          <w:lang w:eastAsia="en-PH"/>
          <w14:ligatures w14:val="none"/>
        </w:rPr>
        <w:t xml:space="preserve"> </w:t>
      </w:r>
      <w:r w:rsidRPr="000F3C38">
        <w:rPr>
          <w:rFonts w:ascii="Arial" w:eastAsia="Times New Roman" w:hAnsi="Arial" w:cs="Arial"/>
          <w:i/>
          <w:iCs/>
          <w:kern w:val="0"/>
          <w:lang w:eastAsia="en-PH"/>
          <w14:ligatures w14:val="none"/>
        </w:rPr>
        <w:t>Comprehensive Land Use Plan (2019-2028):</w:t>
      </w:r>
      <w:r>
        <w:rPr>
          <w:rFonts w:ascii="Arial" w:eastAsia="Times New Roman" w:hAnsi="Arial" w:cs="Arial"/>
          <w:b/>
          <w:bCs/>
          <w:kern w:val="0"/>
          <w:lang w:eastAsia="en-PH"/>
          <w14:ligatures w14:val="none"/>
        </w:rPr>
        <w:t xml:space="preserve"> </w:t>
      </w:r>
      <w:r w:rsidRPr="00883A27">
        <w:rPr>
          <w:rFonts w:ascii="Arial" w:eastAsia="Times New Roman" w:hAnsi="Arial" w:cs="Arial"/>
          <w:i/>
          <w:iCs/>
          <w:kern w:val="0"/>
          <w:lang w:eastAsia="en-PH"/>
          <w14:ligatures w14:val="none"/>
        </w:rPr>
        <w:t xml:space="preserve">Volume </w:t>
      </w:r>
      <w:r w:rsidR="000F3C38">
        <w:rPr>
          <w:rFonts w:ascii="Arial" w:eastAsia="Times New Roman" w:hAnsi="Arial" w:cs="Arial"/>
          <w:i/>
          <w:iCs/>
          <w:kern w:val="0"/>
          <w:lang w:eastAsia="en-PH"/>
          <w14:ligatures w14:val="none"/>
        </w:rPr>
        <w:t>2-The</w:t>
      </w:r>
      <w:r w:rsidRPr="00883A27">
        <w:rPr>
          <w:rFonts w:ascii="Arial" w:eastAsia="Times New Roman" w:hAnsi="Arial" w:cs="Arial"/>
          <w:i/>
          <w:iCs/>
          <w:kern w:val="0"/>
          <w:lang w:eastAsia="en-PH"/>
          <w14:ligatures w14:val="none"/>
        </w:rPr>
        <w:t xml:space="preserve"> Zoning Ordinance</w:t>
      </w:r>
    </w:p>
    <w:p w14:paraId="1349010A" w14:textId="3B934474"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Garcia, D.</w:t>
      </w:r>
      <w:r w:rsidRPr="00081CF4">
        <w:rPr>
          <w:rFonts w:ascii="Arial" w:eastAsia="Times New Roman" w:hAnsi="Arial" w:cs="Arial"/>
          <w:kern w:val="0"/>
          <w:lang w:eastAsia="en-PH"/>
          <w14:ligatures w14:val="none"/>
        </w:rPr>
        <w:t xml:space="preserve"> (2023). Challenges in Urban Green Planning. </w:t>
      </w:r>
      <w:r w:rsidRPr="00081CF4">
        <w:rPr>
          <w:rFonts w:ascii="Arial" w:eastAsia="Times New Roman" w:hAnsi="Arial" w:cs="Arial"/>
          <w:i/>
          <w:iCs/>
          <w:kern w:val="0"/>
          <w:lang w:eastAsia="en-PH"/>
          <w14:ligatures w14:val="none"/>
        </w:rPr>
        <w:t>Davao City Planning Journal.</w:t>
      </w:r>
      <w:r w:rsidRPr="00081CF4">
        <w:rPr>
          <w:rFonts w:ascii="Arial" w:eastAsia="Times New Roman" w:hAnsi="Arial" w:cs="Arial"/>
          <w:kern w:val="0"/>
          <w:lang w:eastAsia="en-PH"/>
          <w14:ligatures w14:val="none"/>
        </w:rPr>
        <w:t xml:space="preserve"> </w:t>
      </w:r>
    </w:p>
    <w:p w14:paraId="72B999B2" w14:textId="5E1A59A5"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Heynen, N.</w:t>
      </w:r>
      <w:r w:rsidRPr="00081CF4">
        <w:rPr>
          <w:rFonts w:ascii="Arial" w:eastAsia="Times New Roman" w:hAnsi="Arial" w:cs="Arial"/>
          <w:kern w:val="0"/>
          <w:lang w:eastAsia="en-PH"/>
          <w14:ligatures w14:val="none"/>
        </w:rPr>
        <w:t xml:space="preserve"> (2014). Urban political ecology I: The urban century. </w:t>
      </w:r>
      <w:r w:rsidRPr="00081CF4">
        <w:rPr>
          <w:rFonts w:ascii="Arial" w:eastAsia="Times New Roman" w:hAnsi="Arial" w:cs="Arial"/>
          <w:i/>
          <w:iCs/>
          <w:kern w:val="0"/>
          <w:lang w:eastAsia="en-PH"/>
          <w14:ligatures w14:val="none"/>
        </w:rPr>
        <w:t>Progress in Human Geography</w:t>
      </w:r>
      <w:r w:rsidRPr="00081CF4">
        <w:rPr>
          <w:rFonts w:ascii="Arial" w:eastAsia="Times New Roman" w:hAnsi="Arial" w:cs="Arial"/>
          <w:kern w:val="0"/>
          <w:lang w:eastAsia="en-PH"/>
          <w14:ligatures w14:val="none"/>
        </w:rPr>
        <w:t xml:space="preserve">, 38(4), 598-604.   </w:t>
      </w:r>
    </w:p>
    <w:p w14:paraId="554A434A" w14:textId="65C4E32D"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Jim, C., &amp; Chen, W.</w:t>
      </w:r>
      <w:r w:rsidRPr="00081CF4">
        <w:rPr>
          <w:rFonts w:ascii="Arial" w:eastAsia="Times New Roman" w:hAnsi="Arial" w:cs="Arial"/>
          <w:kern w:val="0"/>
          <w:lang w:eastAsia="en-PH"/>
          <w14:ligatures w14:val="none"/>
        </w:rPr>
        <w:t xml:space="preserve"> (2022). Green spaces in high-density cities: Hong Kong's urban ecosystem. </w:t>
      </w:r>
      <w:r w:rsidRPr="00081CF4">
        <w:rPr>
          <w:rFonts w:ascii="Arial" w:eastAsia="Times New Roman" w:hAnsi="Arial" w:cs="Arial"/>
          <w:i/>
          <w:iCs/>
          <w:kern w:val="0"/>
          <w:lang w:eastAsia="en-PH"/>
          <w14:ligatures w14:val="none"/>
        </w:rPr>
        <w:t>Urban Forestry &amp; Urban Greening</w:t>
      </w:r>
      <w:r w:rsidRPr="00081CF4">
        <w:rPr>
          <w:rFonts w:ascii="Arial" w:eastAsia="Times New Roman" w:hAnsi="Arial" w:cs="Arial"/>
          <w:kern w:val="0"/>
          <w:lang w:eastAsia="en-PH"/>
          <w14:ligatures w14:val="none"/>
        </w:rPr>
        <w:t xml:space="preserve">, 11(3), 295-306. </w:t>
      </w:r>
    </w:p>
    <w:p w14:paraId="1D045104" w14:textId="3BDDAC87" w:rsid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Johnson, B.</w:t>
      </w:r>
      <w:r w:rsidRPr="00081CF4">
        <w:rPr>
          <w:rFonts w:ascii="Arial" w:eastAsia="Times New Roman" w:hAnsi="Arial" w:cs="Arial"/>
          <w:kern w:val="0"/>
          <w:lang w:eastAsia="en-PH"/>
          <w14:ligatures w14:val="none"/>
        </w:rPr>
        <w:t xml:space="preserve"> (2023). Social Interactions in Parks. </w:t>
      </w:r>
      <w:r w:rsidRPr="00081CF4">
        <w:rPr>
          <w:rFonts w:ascii="Arial" w:eastAsia="Times New Roman" w:hAnsi="Arial" w:cs="Arial"/>
          <w:i/>
          <w:iCs/>
          <w:kern w:val="0"/>
          <w:lang w:eastAsia="en-PH"/>
          <w14:ligatures w14:val="none"/>
        </w:rPr>
        <w:t>Community Development Journal.</w:t>
      </w:r>
      <w:r w:rsidRPr="00081CF4">
        <w:rPr>
          <w:rFonts w:ascii="Arial" w:eastAsia="Times New Roman" w:hAnsi="Arial" w:cs="Arial"/>
          <w:kern w:val="0"/>
          <w:lang w:eastAsia="en-PH"/>
          <w14:ligatures w14:val="none"/>
        </w:rPr>
        <w:t xml:space="preserve"> </w:t>
      </w:r>
    </w:p>
    <w:p w14:paraId="613FEF83" w14:textId="2A1ACE6B" w:rsidR="004A6007" w:rsidRPr="00081CF4" w:rsidRDefault="004A6007"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4A6007">
        <w:rPr>
          <w:rFonts w:ascii="Arial" w:eastAsia="Times New Roman" w:hAnsi="Arial" w:cs="Arial"/>
          <w:b/>
          <w:bCs/>
          <w:kern w:val="0"/>
          <w:lang w:eastAsia="en-PH"/>
          <w14:ligatures w14:val="none"/>
        </w:rPr>
        <w:t>Johnson, R.</w:t>
      </w:r>
      <w:r w:rsidRPr="004A6007">
        <w:rPr>
          <w:rFonts w:ascii="Arial" w:eastAsia="Times New Roman" w:hAnsi="Arial" w:cs="Arial"/>
          <w:kern w:val="0"/>
          <w:lang w:eastAsia="en-PH"/>
          <w14:ligatures w14:val="none"/>
        </w:rPr>
        <w:t xml:space="preserve"> (2020). </w:t>
      </w:r>
      <w:r w:rsidRPr="00596067">
        <w:rPr>
          <w:rFonts w:ascii="Arial" w:eastAsia="Times New Roman" w:hAnsi="Arial" w:cs="Arial"/>
          <w:i/>
          <w:iCs/>
          <w:kern w:val="0"/>
          <w:lang w:eastAsia="en-PH"/>
          <w14:ligatures w14:val="none"/>
        </w:rPr>
        <w:t>Navigating Zoning Laws: A Guide for Developers</w:t>
      </w:r>
      <w:r w:rsidRPr="004A6007">
        <w:rPr>
          <w:rFonts w:ascii="Arial" w:eastAsia="Times New Roman" w:hAnsi="Arial" w:cs="Arial"/>
          <w:kern w:val="0"/>
          <w:lang w:eastAsia="en-PH"/>
          <w14:ligatures w14:val="none"/>
        </w:rPr>
        <w:t>. Urban Planning Press.</w:t>
      </w:r>
    </w:p>
    <w:p w14:paraId="49A4C5D8" w14:textId="6D0A396D"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lastRenderedPageBreak/>
        <w:t>Kabisch, N., &amp; Haase, D.</w:t>
      </w:r>
      <w:r w:rsidRPr="00081CF4">
        <w:rPr>
          <w:rFonts w:ascii="Arial" w:eastAsia="Times New Roman" w:hAnsi="Arial" w:cs="Arial"/>
          <w:kern w:val="0"/>
          <w:lang w:eastAsia="en-PH"/>
          <w14:ligatures w14:val="none"/>
        </w:rPr>
        <w:t xml:space="preserve"> (2019). Urban green spaces and biodiversity: Developing new strategies for sustainable urban planning. </w:t>
      </w:r>
      <w:r w:rsidRPr="00081CF4">
        <w:rPr>
          <w:rFonts w:ascii="Arial" w:eastAsia="Times New Roman" w:hAnsi="Arial" w:cs="Arial"/>
          <w:i/>
          <w:iCs/>
          <w:kern w:val="0"/>
          <w:lang w:eastAsia="en-PH"/>
          <w14:ligatures w14:val="none"/>
        </w:rPr>
        <w:t>Urban Forestry &amp; Urban Greening</w:t>
      </w:r>
      <w:r w:rsidRPr="00081CF4">
        <w:rPr>
          <w:rFonts w:ascii="Arial" w:eastAsia="Times New Roman" w:hAnsi="Arial" w:cs="Arial"/>
          <w:kern w:val="0"/>
          <w:lang w:eastAsia="en-PH"/>
          <w14:ligatures w14:val="none"/>
        </w:rPr>
        <w:t xml:space="preserve">, 15(3), 96-110.   </w:t>
      </w:r>
    </w:p>
    <w:p w14:paraId="5146BC92" w14:textId="1CCBF0DF"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proofErr w:type="spellStart"/>
      <w:r w:rsidRPr="00081CF4">
        <w:rPr>
          <w:rFonts w:ascii="Arial" w:eastAsia="Times New Roman" w:hAnsi="Arial" w:cs="Arial"/>
          <w:b/>
          <w:bCs/>
          <w:kern w:val="0"/>
          <w:lang w:eastAsia="en-PH"/>
          <w14:ligatures w14:val="none"/>
        </w:rPr>
        <w:t>Kowarik</w:t>
      </w:r>
      <w:proofErr w:type="spellEnd"/>
      <w:r w:rsidRPr="00081CF4">
        <w:rPr>
          <w:rFonts w:ascii="Arial" w:eastAsia="Times New Roman" w:hAnsi="Arial" w:cs="Arial"/>
          <w:b/>
          <w:bCs/>
          <w:kern w:val="0"/>
          <w:lang w:eastAsia="en-PH"/>
          <w14:ligatures w14:val="none"/>
        </w:rPr>
        <w:t>, I.</w:t>
      </w:r>
      <w:r w:rsidRPr="00081CF4">
        <w:rPr>
          <w:rFonts w:ascii="Arial" w:eastAsia="Times New Roman" w:hAnsi="Arial" w:cs="Arial"/>
          <w:kern w:val="0"/>
          <w:lang w:eastAsia="en-PH"/>
          <w14:ligatures w14:val="none"/>
        </w:rPr>
        <w:t xml:space="preserve"> (2011). Novel urban ecosystems, biodiversity, and conservation. </w:t>
      </w:r>
      <w:r w:rsidRPr="00081CF4">
        <w:rPr>
          <w:rFonts w:ascii="Arial" w:eastAsia="Times New Roman" w:hAnsi="Arial" w:cs="Arial"/>
          <w:i/>
          <w:iCs/>
          <w:kern w:val="0"/>
          <w:lang w:eastAsia="en-PH"/>
          <w14:ligatures w14:val="none"/>
        </w:rPr>
        <w:t>Environmental Conservation</w:t>
      </w:r>
      <w:r w:rsidRPr="00081CF4">
        <w:rPr>
          <w:rFonts w:ascii="Arial" w:eastAsia="Times New Roman" w:hAnsi="Arial" w:cs="Arial"/>
          <w:kern w:val="0"/>
          <w:lang w:eastAsia="en-PH"/>
          <w14:ligatures w14:val="none"/>
        </w:rPr>
        <w:t xml:space="preserve">, 38(4), 343-351. </w:t>
      </w:r>
    </w:p>
    <w:p w14:paraId="21BD035C" w14:textId="595F4C74"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Lemos, M. C., &amp; Agrawal, A.</w:t>
      </w:r>
      <w:r w:rsidRPr="00081CF4">
        <w:rPr>
          <w:rFonts w:ascii="Arial" w:eastAsia="Times New Roman" w:hAnsi="Arial" w:cs="Arial"/>
          <w:kern w:val="0"/>
          <w:lang w:eastAsia="en-PH"/>
          <w14:ligatures w14:val="none"/>
        </w:rPr>
        <w:t xml:space="preserve"> (2006). Environmental governance. </w:t>
      </w:r>
      <w:r w:rsidRPr="00081CF4">
        <w:rPr>
          <w:rFonts w:ascii="Arial" w:eastAsia="Times New Roman" w:hAnsi="Arial" w:cs="Arial"/>
          <w:i/>
          <w:iCs/>
          <w:kern w:val="0"/>
          <w:lang w:eastAsia="en-PH"/>
          <w14:ligatures w14:val="none"/>
        </w:rPr>
        <w:t>Annual Review of Environment and Resources</w:t>
      </w:r>
      <w:r w:rsidRPr="00081CF4">
        <w:rPr>
          <w:rFonts w:ascii="Arial" w:eastAsia="Times New Roman" w:hAnsi="Arial" w:cs="Arial"/>
          <w:kern w:val="0"/>
          <w:lang w:eastAsia="en-PH"/>
          <w14:ligatures w14:val="none"/>
        </w:rPr>
        <w:t xml:space="preserve">, 31(1), 297-325.   </w:t>
      </w:r>
    </w:p>
    <w:p w14:paraId="552357EC" w14:textId="23AC0A2B" w:rsidR="004A6007" w:rsidRPr="00E66A6D"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Lopez, E.</w:t>
      </w:r>
      <w:r w:rsidRPr="00081CF4">
        <w:rPr>
          <w:rFonts w:ascii="Arial" w:eastAsia="Times New Roman" w:hAnsi="Arial" w:cs="Arial"/>
          <w:kern w:val="0"/>
          <w:lang w:eastAsia="en-PH"/>
          <w14:ligatures w14:val="none"/>
        </w:rPr>
        <w:t xml:space="preserve"> (2022). Funding Urban Green Projects. </w:t>
      </w:r>
      <w:r w:rsidRPr="00081CF4">
        <w:rPr>
          <w:rFonts w:ascii="Arial" w:eastAsia="Times New Roman" w:hAnsi="Arial" w:cs="Arial"/>
          <w:i/>
          <w:iCs/>
          <w:kern w:val="0"/>
          <w:lang w:eastAsia="en-PH"/>
          <w14:ligatures w14:val="none"/>
        </w:rPr>
        <w:t>Philippine Journal of Public Administration.</w:t>
      </w:r>
      <w:r w:rsidRPr="00081CF4">
        <w:rPr>
          <w:rFonts w:ascii="Arial" w:eastAsia="Times New Roman" w:hAnsi="Arial" w:cs="Arial"/>
          <w:kern w:val="0"/>
          <w:lang w:eastAsia="en-PH"/>
          <w14:ligatures w14:val="none"/>
        </w:rPr>
        <w:t xml:space="preserve"> </w:t>
      </w:r>
    </w:p>
    <w:p w14:paraId="7123B51D" w14:textId="246A8CA8" w:rsidR="004A6007" w:rsidRPr="004A6007" w:rsidRDefault="004A6007"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4A6007">
        <w:rPr>
          <w:rFonts w:ascii="Arial" w:eastAsia="Times New Roman" w:hAnsi="Arial" w:cs="Arial"/>
          <w:b/>
          <w:bCs/>
          <w:kern w:val="0"/>
          <w:lang w:eastAsia="en-PH"/>
          <w14:ligatures w14:val="none"/>
        </w:rPr>
        <w:t>Lee, S., &amp; Chen, T</w:t>
      </w:r>
      <w:r w:rsidRPr="004A6007">
        <w:rPr>
          <w:rFonts w:ascii="Arial" w:eastAsia="Times New Roman" w:hAnsi="Arial" w:cs="Arial"/>
          <w:kern w:val="0"/>
          <w:lang w:eastAsia="en-PH"/>
          <w14:ligatures w14:val="none"/>
        </w:rPr>
        <w:t xml:space="preserve">. (2022). Economic incentives and urban development. </w:t>
      </w:r>
      <w:r w:rsidRPr="004A6007">
        <w:rPr>
          <w:rFonts w:ascii="Arial" w:eastAsia="Times New Roman" w:hAnsi="Arial" w:cs="Arial"/>
          <w:i/>
          <w:iCs/>
          <w:kern w:val="0"/>
          <w:lang w:eastAsia="en-PH"/>
          <w14:ligatures w14:val="none"/>
        </w:rPr>
        <w:t>Journal of Urban Affairs</w:t>
      </w:r>
      <w:r w:rsidRPr="004A6007">
        <w:rPr>
          <w:rFonts w:ascii="Arial" w:eastAsia="Times New Roman" w:hAnsi="Arial" w:cs="Arial"/>
          <w:kern w:val="0"/>
          <w:lang w:eastAsia="en-PH"/>
          <w14:ligatures w14:val="none"/>
        </w:rPr>
        <w:t>, 44(3), 345-360. https://doi.org/10.1080/07352166.2021.1965432</w:t>
      </w:r>
    </w:p>
    <w:p w14:paraId="08F55AFD" w14:textId="2A886ABD" w:rsidR="000C2C82" w:rsidRPr="00081CF4" w:rsidRDefault="004A6007"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4A6007">
        <w:rPr>
          <w:rFonts w:ascii="Arial" w:eastAsia="Times New Roman" w:hAnsi="Arial" w:cs="Arial"/>
          <w:b/>
          <w:bCs/>
          <w:kern w:val="0"/>
          <w:lang w:eastAsia="en-PH"/>
          <w14:ligatures w14:val="none"/>
        </w:rPr>
        <w:t>Martinez, A.</w:t>
      </w:r>
      <w:r w:rsidRPr="004A6007">
        <w:rPr>
          <w:rFonts w:ascii="Arial" w:eastAsia="Times New Roman" w:hAnsi="Arial" w:cs="Arial"/>
          <w:kern w:val="0"/>
          <w:lang w:eastAsia="en-PH"/>
          <w14:ligatures w14:val="none"/>
        </w:rPr>
        <w:t xml:space="preserve"> (2019). Community perspectives on green spaces. </w:t>
      </w:r>
      <w:r w:rsidRPr="004A6007">
        <w:rPr>
          <w:rFonts w:ascii="Arial" w:eastAsia="Times New Roman" w:hAnsi="Arial" w:cs="Arial"/>
          <w:i/>
          <w:iCs/>
          <w:kern w:val="0"/>
          <w:lang w:eastAsia="en-PH"/>
          <w14:ligatures w14:val="none"/>
        </w:rPr>
        <w:t>Environmental Sociology Review</w:t>
      </w:r>
      <w:r w:rsidRPr="004A6007">
        <w:rPr>
          <w:rFonts w:ascii="Arial" w:eastAsia="Times New Roman" w:hAnsi="Arial" w:cs="Arial"/>
          <w:kern w:val="0"/>
          <w:lang w:eastAsia="en-PH"/>
          <w14:ligatures w14:val="none"/>
        </w:rPr>
        <w:t>, 5(2), 150-165. https://doi.org/10.1080/23251042.2018.1542697</w:t>
      </w:r>
    </w:p>
    <w:p w14:paraId="29449FAD" w14:textId="504077EC" w:rsidR="00081CF4" w:rsidRPr="004A6007" w:rsidRDefault="00081CF4" w:rsidP="004A6007">
      <w:pPr>
        <w:pStyle w:val="ListParagraph"/>
        <w:numPr>
          <w:ilvl w:val="0"/>
          <w:numId w:val="3"/>
        </w:numPr>
        <w:spacing w:after="0" w:line="240" w:lineRule="auto"/>
        <w:ind w:left="851" w:hanging="425"/>
        <w:jc w:val="both"/>
        <w:rPr>
          <w:rFonts w:ascii="Arial" w:eastAsia="Times New Roman" w:hAnsi="Arial" w:cs="Arial"/>
          <w:kern w:val="0"/>
          <w:lang w:eastAsia="en-PH"/>
          <w14:ligatures w14:val="none"/>
        </w:rPr>
      </w:pPr>
      <w:proofErr w:type="spellStart"/>
      <w:r w:rsidRPr="004A6007">
        <w:rPr>
          <w:rFonts w:ascii="Arial" w:eastAsia="Times New Roman" w:hAnsi="Arial" w:cs="Arial"/>
          <w:b/>
          <w:bCs/>
          <w:kern w:val="0"/>
          <w:lang w:eastAsia="en-PH"/>
          <w14:ligatures w14:val="none"/>
        </w:rPr>
        <w:t>Pantujan</w:t>
      </w:r>
      <w:proofErr w:type="spellEnd"/>
      <w:r w:rsidRPr="004A6007">
        <w:rPr>
          <w:rFonts w:ascii="Arial" w:eastAsia="Times New Roman" w:hAnsi="Arial" w:cs="Arial"/>
          <w:b/>
          <w:bCs/>
          <w:kern w:val="0"/>
          <w:lang w:eastAsia="en-PH"/>
          <w14:ligatures w14:val="none"/>
        </w:rPr>
        <w:t>, M. T.</w:t>
      </w:r>
      <w:r w:rsidRPr="004A6007">
        <w:rPr>
          <w:rFonts w:ascii="Arial" w:eastAsia="Times New Roman" w:hAnsi="Arial" w:cs="Arial"/>
          <w:kern w:val="0"/>
          <w:lang w:eastAsia="en-PH"/>
          <w14:ligatures w14:val="none"/>
        </w:rPr>
        <w:t xml:space="preserve"> (2023). Urban green space compliance in Davao City (Unpublished master’s thesis). Davao City. </w:t>
      </w:r>
    </w:p>
    <w:p w14:paraId="48AE6C9D" w14:textId="4E85AF20"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Philippine Institute for Development Studies (PIDS).</w:t>
      </w:r>
      <w:r w:rsidRPr="00081CF4">
        <w:rPr>
          <w:rFonts w:ascii="Arial" w:eastAsia="Times New Roman" w:hAnsi="Arial" w:cs="Arial"/>
          <w:kern w:val="0"/>
          <w:lang w:eastAsia="en-PH"/>
          <w14:ligatures w14:val="none"/>
        </w:rPr>
        <w:t xml:space="preserve"> (2018). Zoning ordinance enforcement in Philippine cities: Challenges and recommendations. </w:t>
      </w:r>
      <w:r w:rsidRPr="00081CF4">
        <w:rPr>
          <w:rFonts w:ascii="Arial" w:eastAsia="Times New Roman" w:hAnsi="Arial" w:cs="Arial"/>
          <w:i/>
          <w:iCs/>
          <w:kern w:val="0"/>
          <w:lang w:eastAsia="en-PH"/>
          <w14:ligatures w14:val="none"/>
        </w:rPr>
        <w:t>PIDS Research Report.</w:t>
      </w:r>
      <w:r w:rsidRPr="00081CF4">
        <w:rPr>
          <w:rFonts w:ascii="Arial" w:eastAsia="Times New Roman" w:hAnsi="Arial" w:cs="Arial"/>
          <w:kern w:val="0"/>
          <w:lang w:eastAsia="en-PH"/>
          <w14:ligatures w14:val="none"/>
        </w:rPr>
        <w:t xml:space="preserve"> </w:t>
      </w:r>
    </w:p>
    <w:p w14:paraId="6689A8C9" w14:textId="22BF825B"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Reyes, C.</w:t>
      </w:r>
      <w:r w:rsidRPr="00081CF4">
        <w:rPr>
          <w:rFonts w:ascii="Arial" w:eastAsia="Times New Roman" w:hAnsi="Arial" w:cs="Arial"/>
          <w:kern w:val="0"/>
          <w:lang w:eastAsia="en-PH"/>
          <w14:ligatures w14:val="none"/>
        </w:rPr>
        <w:t xml:space="preserve"> (2024). Economic Impact of Green Areas. </w:t>
      </w:r>
      <w:r w:rsidRPr="00081CF4">
        <w:rPr>
          <w:rFonts w:ascii="Arial" w:eastAsia="Times New Roman" w:hAnsi="Arial" w:cs="Arial"/>
          <w:i/>
          <w:iCs/>
          <w:kern w:val="0"/>
          <w:lang w:eastAsia="en-PH"/>
          <w14:ligatures w14:val="none"/>
        </w:rPr>
        <w:t>Urban Economics Review.</w:t>
      </w:r>
      <w:r w:rsidRPr="00081CF4">
        <w:rPr>
          <w:rFonts w:ascii="Arial" w:eastAsia="Times New Roman" w:hAnsi="Arial" w:cs="Arial"/>
          <w:kern w:val="0"/>
          <w:lang w:eastAsia="en-PH"/>
          <w14:ligatures w14:val="none"/>
        </w:rPr>
        <w:t xml:space="preserve"> </w:t>
      </w:r>
    </w:p>
    <w:p w14:paraId="4A1D1A7C" w14:textId="4EC2E8F4"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Scott, W. R.</w:t>
      </w:r>
      <w:r w:rsidRPr="00081CF4">
        <w:rPr>
          <w:rFonts w:ascii="Arial" w:eastAsia="Times New Roman" w:hAnsi="Arial" w:cs="Arial"/>
          <w:kern w:val="0"/>
          <w:lang w:eastAsia="en-PH"/>
          <w14:ligatures w14:val="none"/>
        </w:rPr>
        <w:t xml:space="preserve"> (2004). Institutional theory: Contributing to a theoretical research program. In Great minds in management: The process of theory development (pp. 460-484). </w:t>
      </w:r>
    </w:p>
    <w:p w14:paraId="598DDD5D" w14:textId="311AA09A" w:rsid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Smith, A., et al.</w:t>
      </w:r>
      <w:r w:rsidRPr="00081CF4">
        <w:rPr>
          <w:rFonts w:ascii="Arial" w:eastAsia="Times New Roman" w:hAnsi="Arial" w:cs="Arial"/>
          <w:kern w:val="0"/>
          <w:lang w:eastAsia="en-PH"/>
          <w14:ligatures w14:val="none"/>
        </w:rPr>
        <w:t xml:space="preserve"> (2022). Benefits of Urban Green Spaces. </w:t>
      </w:r>
      <w:r w:rsidRPr="00081CF4">
        <w:rPr>
          <w:rFonts w:ascii="Arial" w:eastAsia="Times New Roman" w:hAnsi="Arial" w:cs="Arial"/>
          <w:i/>
          <w:iCs/>
          <w:kern w:val="0"/>
          <w:lang w:eastAsia="en-PH"/>
          <w14:ligatures w14:val="none"/>
        </w:rPr>
        <w:t>Journal of Urban Ecology.</w:t>
      </w:r>
      <w:r w:rsidRPr="00081CF4">
        <w:rPr>
          <w:rFonts w:ascii="Arial" w:eastAsia="Times New Roman" w:hAnsi="Arial" w:cs="Arial"/>
          <w:kern w:val="0"/>
          <w:lang w:eastAsia="en-PH"/>
          <w14:ligatures w14:val="none"/>
        </w:rPr>
        <w:t xml:space="preserve"> </w:t>
      </w:r>
    </w:p>
    <w:p w14:paraId="70A26290" w14:textId="307A3EF0" w:rsidR="004A6007" w:rsidRPr="00081CF4" w:rsidRDefault="004A6007"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4A6007">
        <w:rPr>
          <w:rFonts w:ascii="Arial" w:eastAsia="Times New Roman" w:hAnsi="Arial" w:cs="Arial"/>
          <w:b/>
          <w:bCs/>
          <w:kern w:val="0"/>
          <w:lang w:eastAsia="en-PH"/>
          <w14:ligatures w14:val="none"/>
        </w:rPr>
        <w:t>Smith, J.</w:t>
      </w:r>
      <w:r w:rsidRPr="004A6007">
        <w:rPr>
          <w:rFonts w:ascii="Arial" w:eastAsia="Times New Roman" w:hAnsi="Arial" w:cs="Arial"/>
          <w:kern w:val="0"/>
          <w:lang w:eastAsia="en-PH"/>
          <w14:ligatures w14:val="none"/>
        </w:rPr>
        <w:t xml:space="preserve"> (2021). Enforcement and compliance in urban zoning. </w:t>
      </w:r>
      <w:r w:rsidRPr="004A6007">
        <w:rPr>
          <w:rFonts w:ascii="Arial" w:eastAsia="Times New Roman" w:hAnsi="Arial" w:cs="Arial"/>
          <w:i/>
          <w:iCs/>
          <w:kern w:val="0"/>
          <w:lang w:eastAsia="en-PH"/>
          <w14:ligatures w14:val="none"/>
        </w:rPr>
        <w:t>City Planning Journal</w:t>
      </w:r>
      <w:r w:rsidRPr="004A6007">
        <w:rPr>
          <w:rFonts w:ascii="Arial" w:eastAsia="Times New Roman" w:hAnsi="Arial" w:cs="Arial"/>
          <w:kern w:val="0"/>
          <w:lang w:eastAsia="en-PH"/>
          <w14:ligatures w14:val="none"/>
        </w:rPr>
        <w:t xml:space="preserve">, </w:t>
      </w:r>
      <w:r w:rsidRPr="004A6007">
        <w:rPr>
          <w:rFonts w:ascii="Arial" w:eastAsia="Times New Roman" w:hAnsi="Arial" w:cs="Arial"/>
          <w:i/>
          <w:iCs/>
          <w:kern w:val="0"/>
          <w:lang w:eastAsia="en-PH"/>
          <w14:ligatures w14:val="none"/>
        </w:rPr>
        <w:t>12(1),</w:t>
      </w:r>
      <w:r w:rsidRPr="004A6007">
        <w:rPr>
          <w:rFonts w:ascii="Arial" w:eastAsia="Times New Roman" w:hAnsi="Arial" w:cs="Arial"/>
          <w:kern w:val="0"/>
          <w:lang w:eastAsia="en-PH"/>
          <w14:ligatures w14:val="none"/>
        </w:rPr>
        <w:t xml:space="preserve"> 78-89. https://doi.org/10.1016/j.cp.2020.06.004</w:t>
      </w:r>
    </w:p>
    <w:p w14:paraId="32721C37" w14:textId="52943D94" w:rsidR="00081CF4" w:rsidRPr="00081CF4" w:rsidRDefault="00081CF4" w:rsidP="004A6007">
      <w:pPr>
        <w:pStyle w:val="ListParagraph"/>
        <w:numPr>
          <w:ilvl w:val="0"/>
          <w:numId w:val="3"/>
        </w:numPr>
        <w:spacing w:after="0" w:line="240" w:lineRule="auto"/>
        <w:jc w:val="both"/>
        <w:rPr>
          <w:rFonts w:ascii="Arial" w:eastAsia="Times New Roman" w:hAnsi="Arial" w:cs="Arial"/>
          <w:kern w:val="0"/>
          <w:lang w:eastAsia="en-PH"/>
          <w14:ligatures w14:val="none"/>
        </w:rPr>
      </w:pPr>
      <w:r w:rsidRPr="00081CF4">
        <w:rPr>
          <w:rFonts w:ascii="Arial" w:eastAsia="Times New Roman" w:hAnsi="Arial" w:cs="Arial"/>
          <w:b/>
          <w:bCs/>
          <w:kern w:val="0"/>
          <w:lang w:eastAsia="en-PH"/>
          <w14:ligatures w14:val="none"/>
        </w:rPr>
        <w:t>Talen, E.</w:t>
      </w:r>
      <w:r w:rsidRPr="00081CF4">
        <w:rPr>
          <w:rFonts w:ascii="Arial" w:eastAsia="Times New Roman" w:hAnsi="Arial" w:cs="Arial"/>
          <w:kern w:val="0"/>
          <w:lang w:eastAsia="en-PH"/>
          <w14:ligatures w14:val="none"/>
        </w:rPr>
        <w:t xml:space="preserve"> (2019). Zoning for green spaces: Challenges and opportunities in urban planning. </w:t>
      </w:r>
      <w:r w:rsidRPr="00081CF4">
        <w:rPr>
          <w:rFonts w:ascii="Arial" w:eastAsia="Times New Roman" w:hAnsi="Arial" w:cs="Arial"/>
          <w:i/>
          <w:iCs/>
          <w:kern w:val="0"/>
          <w:lang w:eastAsia="en-PH"/>
          <w14:ligatures w14:val="none"/>
        </w:rPr>
        <w:t>Journal of Planning Education and Research</w:t>
      </w:r>
      <w:r w:rsidRPr="00081CF4">
        <w:rPr>
          <w:rFonts w:ascii="Arial" w:eastAsia="Times New Roman" w:hAnsi="Arial" w:cs="Arial"/>
          <w:kern w:val="0"/>
          <w:lang w:eastAsia="en-PH"/>
          <w14:ligatures w14:val="none"/>
        </w:rPr>
        <w:t xml:space="preserve">, 38(2), 122-135. </w:t>
      </w:r>
    </w:p>
    <w:p w14:paraId="4487829A" w14:textId="1DEA62F6" w:rsidR="00081CF4" w:rsidRPr="00081CF4" w:rsidRDefault="00081CF4" w:rsidP="004A6007">
      <w:pPr>
        <w:pStyle w:val="ListParagraph"/>
        <w:numPr>
          <w:ilvl w:val="0"/>
          <w:numId w:val="3"/>
        </w:numPr>
        <w:jc w:val="both"/>
        <w:rPr>
          <w:rFonts w:ascii="Arial" w:hAnsi="Arial" w:cs="Arial"/>
        </w:rPr>
      </w:pPr>
      <w:proofErr w:type="spellStart"/>
      <w:r w:rsidRPr="00081CF4">
        <w:rPr>
          <w:rFonts w:ascii="Arial" w:eastAsia="Times New Roman" w:hAnsi="Arial" w:cs="Arial"/>
          <w:b/>
          <w:bCs/>
          <w:kern w:val="0"/>
          <w:lang w:eastAsia="en-PH"/>
          <w14:ligatures w14:val="none"/>
        </w:rPr>
        <w:t>Wolch</w:t>
      </w:r>
      <w:proofErr w:type="spellEnd"/>
      <w:r w:rsidRPr="00081CF4">
        <w:rPr>
          <w:rFonts w:ascii="Arial" w:eastAsia="Times New Roman" w:hAnsi="Arial" w:cs="Arial"/>
          <w:b/>
          <w:bCs/>
          <w:kern w:val="0"/>
          <w:lang w:eastAsia="en-PH"/>
          <w14:ligatures w14:val="none"/>
        </w:rPr>
        <w:t>, J., Byrne, J., &amp; Newell, J.</w:t>
      </w:r>
      <w:r w:rsidRPr="00081CF4">
        <w:rPr>
          <w:rFonts w:ascii="Arial" w:eastAsia="Times New Roman" w:hAnsi="Arial" w:cs="Arial"/>
          <w:kern w:val="0"/>
          <w:lang w:eastAsia="en-PH"/>
          <w14:ligatures w14:val="none"/>
        </w:rPr>
        <w:t xml:space="preserve"> (2020). Urban green space, public health, and environmental justice: The challenge of making cities ‘just green enough’. </w:t>
      </w:r>
      <w:r w:rsidRPr="00081CF4">
        <w:rPr>
          <w:rFonts w:ascii="Arial" w:eastAsia="Times New Roman" w:hAnsi="Arial" w:cs="Arial"/>
          <w:i/>
          <w:iCs/>
          <w:kern w:val="0"/>
          <w:lang w:eastAsia="en-PH"/>
          <w14:ligatures w14:val="none"/>
        </w:rPr>
        <w:t>Landscape and Urban Planning</w:t>
      </w:r>
      <w:r w:rsidRPr="00081CF4">
        <w:rPr>
          <w:rFonts w:ascii="Arial" w:eastAsia="Times New Roman" w:hAnsi="Arial" w:cs="Arial"/>
          <w:kern w:val="0"/>
          <w:lang w:eastAsia="en-PH"/>
          <w14:ligatures w14:val="none"/>
        </w:rPr>
        <w:t>, 125, 234-244.</w:t>
      </w:r>
    </w:p>
    <w:sectPr w:rsidR="00081CF4" w:rsidRPr="00081CF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F40DAB"/>
    <w:multiLevelType w:val="hybridMultilevel"/>
    <w:tmpl w:val="F4982C8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 w15:restartNumberingAfterBreak="0">
    <w:nsid w:val="129C281B"/>
    <w:multiLevelType w:val="hybridMultilevel"/>
    <w:tmpl w:val="9CFAD3F8"/>
    <w:lvl w:ilvl="0" w:tplc="34090001">
      <w:start w:val="1"/>
      <w:numFmt w:val="bullet"/>
      <w:lvlText w:val=""/>
      <w:lvlJc w:val="left"/>
      <w:pPr>
        <w:ind w:left="840" w:hanging="360"/>
      </w:pPr>
      <w:rPr>
        <w:rFonts w:ascii="Symbol" w:hAnsi="Symbol" w:hint="default"/>
      </w:rPr>
    </w:lvl>
    <w:lvl w:ilvl="1" w:tplc="34090003" w:tentative="1">
      <w:start w:val="1"/>
      <w:numFmt w:val="bullet"/>
      <w:lvlText w:val="o"/>
      <w:lvlJc w:val="left"/>
      <w:pPr>
        <w:ind w:left="1560" w:hanging="360"/>
      </w:pPr>
      <w:rPr>
        <w:rFonts w:ascii="Courier New" w:hAnsi="Courier New" w:cs="Courier New" w:hint="default"/>
      </w:rPr>
    </w:lvl>
    <w:lvl w:ilvl="2" w:tplc="34090005" w:tentative="1">
      <w:start w:val="1"/>
      <w:numFmt w:val="bullet"/>
      <w:lvlText w:val=""/>
      <w:lvlJc w:val="left"/>
      <w:pPr>
        <w:ind w:left="2280" w:hanging="360"/>
      </w:pPr>
      <w:rPr>
        <w:rFonts w:ascii="Wingdings" w:hAnsi="Wingdings" w:hint="default"/>
      </w:rPr>
    </w:lvl>
    <w:lvl w:ilvl="3" w:tplc="34090001" w:tentative="1">
      <w:start w:val="1"/>
      <w:numFmt w:val="bullet"/>
      <w:lvlText w:val=""/>
      <w:lvlJc w:val="left"/>
      <w:pPr>
        <w:ind w:left="3000" w:hanging="360"/>
      </w:pPr>
      <w:rPr>
        <w:rFonts w:ascii="Symbol" w:hAnsi="Symbol" w:hint="default"/>
      </w:rPr>
    </w:lvl>
    <w:lvl w:ilvl="4" w:tplc="34090003" w:tentative="1">
      <w:start w:val="1"/>
      <w:numFmt w:val="bullet"/>
      <w:lvlText w:val="o"/>
      <w:lvlJc w:val="left"/>
      <w:pPr>
        <w:ind w:left="3720" w:hanging="360"/>
      </w:pPr>
      <w:rPr>
        <w:rFonts w:ascii="Courier New" w:hAnsi="Courier New" w:cs="Courier New" w:hint="default"/>
      </w:rPr>
    </w:lvl>
    <w:lvl w:ilvl="5" w:tplc="34090005" w:tentative="1">
      <w:start w:val="1"/>
      <w:numFmt w:val="bullet"/>
      <w:lvlText w:val=""/>
      <w:lvlJc w:val="left"/>
      <w:pPr>
        <w:ind w:left="4440" w:hanging="360"/>
      </w:pPr>
      <w:rPr>
        <w:rFonts w:ascii="Wingdings" w:hAnsi="Wingdings" w:hint="default"/>
      </w:rPr>
    </w:lvl>
    <w:lvl w:ilvl="6" w:tplc="34090001" w:tentative="1">
      <w:start w:val="1"/>
      <w:numFmt w:val="bullet"/>
      <w:lvlText w:val=""/>
      <w:lvlJc w:val="left"/>
      <w:pPr>
        <w:ind w:left="5160" w:hanging="360"/>
      </w:pPr>
      <w:rPr>
        <w:rFonts w:ascii="Symbol" w:hAnsi="Symbol" w:hint="default"/>
      </w:rPr>
    </w:lvl>
    <w:lvl w:ilvl="7" w:tplc="34090003" w:tentative="1">
      <w:start w:val="1"/>
      <w:numFmt w:val="bullet"/>
      <w:lvlText w:val="o"/>
      <w:lvlJc w:val="left"/>
      <w:pPr>
        <w:ind w:left="5880" w:hanging="360"/>
      </w:pPr>
      <w:rPr>
        <w:rFonts w:ascii="Courier New" w:hAnsi="Courier New" w:cs="Courier New" w:hint="default"/>
      </w:rPr>
    </w:lvl>
    <w:lvl w:ilvl="8" w:tplc="34090005" w:tentative="1">
      <w:start w:val="1"/>
      <w:numFmt w:val="bullet"/>
      <w:lvlText w:val=""/>
      <w:lvlJc w:val="left"/>
      <w:pPr>
        <w:ind w:left="6600" w:hanging="360"/>
      </w:pPr>
      <w:rPr>
        <w:rFonts w:ascii="Wingdings" w:hAnsi="Wingdings" w:hint="default"/>
      </w:rPr>
    </w:lvl>
  </w:abstractNum>
  <w:abstractNum w:abstractNumId="2" w15:restartNumberingAfterBreak="0">
    <w:nsid w:val="15F05273"/>
    <w:multiLevelType w:val="hybridMultilevel"/>
    <w:tmpl w:val="3C74AFE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2EE82EB2"/>
    <w:multiLevelType w:val="hybridMultilevel"/>
    <w:tmpl w:val="5CC445C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3B2834BD"/>
    <w:multiLevelType w:val="hybridMultilevel"/>
    <w:tmpl w:val="C4EC4AE0"/>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5" w15:restartNumberingAfterBreak="0">
    <w:nsid w:val="3B7956BA"/>
    <w:multiLevelType w:val="hybridMultilevel"/>
    <w:tmpl w:val="5CC445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4535824"/>
    <w:multiLevelType w:val="hybridMultilevel"/>
    <w:tmpl w:val="3566F430"/>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15:restartNumberingAfterBreak="0">
    <w:nsid w:val="5F1618C5"/>
    <w:multiLevelType w:val="hybridMultilevel"/>
    <w:tmpl w:val="1A186074"/>
    <w:lvl w:ilvl="0" w:tplc="34090001">
      <w:start w:val="1"/>
      <w:numFmt w:val="bullet"/>
      <w:lvlText w:val=""/>
      <w:lvlJc w:val="left"/>
      <w:pPr>
        <w:ind w:left="780" w:hanging="360"/>
      </w:pPr>
      <w:rPr>
        <w:rFonts w:ascii="Symbol" w:hAnsi="Symbol" w:hint="default"/>
      </w:rPr>
    </w:lvl>
    <w:lvl w:ilvl="1" w:tplc="34090003" w:tentative="1">
      <w:start w:val="1"/>
      <w:numFmt w:val="bullet"/>
      <w:lvlText w:val="o"/>
      <w:lvlJc w:val="left"/>
      <w:pPr>
        <w:ind w:left="1500" w:hanging="360"/>
      </w:pPr>
      <w:rPr>
        <w:rFonts w:ascii="Courier New" w:hAnsi="Courier New" w:cs="Courier New" w:hint="default"/>
      </w:rPr>
    </w:lvl>
    <w:lvl w:ilvl="2" w:tplc="34090005" w:tentative="1">
      <w:start w:val="1"/>
      <w:numFmt w:val="bullet"/>
      <w:lvlText w:val=""/>
      <w:lvlJc w:val="left"/>
      <w:pPr>
        <w:ind w:left="2220" w:hanging="360"/>
      </w:pPr>
      <w:rPr>
        <w:rFonts w:ascii="Wingdings" w:hAnsi="Wingdings" w:hint="default"/>
      </w:rPr>
    </w:lvl>
    <w:lvl w:ilvl="3" w:tplc="34090001" w:tentative="1">
      <w:start w:val="1"/>
      <w:numFmt w:val="bullet"/>
      <w:lvlText w:val=""/>
      <w:lvlJc w:val="left"/>
      <w:pPr>
        <w:ind w:left="2940" w:hanging="360"/>
      </w:pPr>
      <w:rPr>
        <w:rFonts w:ascii="Symbol" w:hAnsi="Symbol" w:hint="default"/>
      </w:rPr>
    </w:lvl>
    <w:lvl w:ilvl="4" w:tplc="34090003" w:tentative="1">
      <w:start w:val="1"/>
      <w:numFmt w:val="bullet"/>
      <w:lvlText w:val="o"/>
      <w:lvlJc w:val="left"/>
      <w:pPr>
        <w:ind w:left="3660" w:hanging="360"/>
      </w:pPr>
      <w:rPr>
        <w:rFonts w:ascii="Courier New" w:hAnsi="Courier New" w:cs="Courier New" w:hint="default"/>
      </w:rPr>
    </w:lvl>
    <w:lvl w:ilvl="5" w:tplc="34090005" w:tentative="1">
      <w:start w:val="1"/>
      <w:numFmt w:val="bullet"/>
      <w:lvlText w:val=""/>
      <w:lvlJc w:val="left"/>
      <w:pPr>
        <w:ind w:left="4380" w:hanging="360"/>
      </w:pPr>
      <w:rPr>
        <w:rFonts w:ascii="Wingdings" w:hAnsi="Wingdings" w:hint="default"/>
      </w:rPr>
    </w:lvl>
    <w:lvl w:ilvl="6" w:tplc="34090001" w:tentative="1">
      <w:start w:val="1"/>
      <w:numFmt w:val="bullet"/>
      <w:lvlText w:val=""/>
      <w:lvlJc w:val="left"/>
      <w:pPr>
        <w:ind w:left="5100" w:hanging="360"/>
      </w:pPr>
      <w:rPr>
        <w:rFonts w:ascii="Symbol" w:hAnsi="Symbol" w:hint="default"/>
      </w:rPr>
    </w:lvl>
    <w:lvl w:ilvl="7" w:tplc="34090003" w:tentative="1">
      <w:start w:val="1"/>
      <w:numFmt w:val="bullet"/>
      <w:lvlText w:val="o"/>
      <w:lvlJc w:val="left"/>
      <w:pPr>
        <w:ind w:left="5820" w:hanging="360"/>
      </w:pPr>
      <w:rPr>
        <w:rFonts w:ascii="Courier New" w:hAnsi="Courier New" w:cs="Courier New" w:hint="default"/>
      </w:rPr>
    </w:lvl>
    <w:lvl w:ilvl="8" w:tplc="34090005" w:tentative="1">
      <w:start w:val="1"/>
      <w:numFmt w:val="bullet"/>
      <w:lvlText w:val=""/>
      <w:lvlJc w:val="left"/>
      <w:pPr>
        <w:ind w:left="6540" w:hanging="360"/>
      </w:pPr>
      <w:rPr>
        <w:rFonts w:ascii="Wingdings" w:hAnsi="Wingdings" w:hint="default"/>
      </w:rPr>
    </w:lvl>
  </w:abstractNum>
  <w:abstractNum w:abstractNumId="8" w15:restartNumberingAfterBreak="0">
    <w:nsid w:val="6D7E55E8"/>
    <w:multiLevelType w:val="hybridMultilevel"/>
    <w:tmpl w:val="A46075B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9" w15:restartNumberingAfterBreak="0">
    <w:nsid w:val="7F860CB6"/>
    <w:multiLevelType w:val="hybridMultilevel"/>
    <w:tmpl w:val="6DF23A50"/>
    <w:lvl w:ilvl="0" w:tplc="34090001">
      <w:start w:val="1"/>
      <w:numFmt w:val="bullet"/>
      <w:lvlText w:val=""/>
      <w:lvlJc w:val="left"/>
      <w:pPr>
        <w:ind w:left="840" w:hanging="360"/>
      </w:pPr>
      <w:rPr>
        <w:rFonts w:ascii="Symbol" w:hAnsi="Symbol" w:hint="default"/>
      </w:rPr>
    </w:lvl>
    <w:lvl w:ilvl="1" w:tplc="34090003">
      <w:start w:val="1"/>
      <w:numFmt w:val="bullet"/>
      <w:lvlText w:val="o"/>
      <w:lvlJc w:val="left"/>
      <w:pPr>
        <w:ind w:left="1560" w:hanging="360"/>
      </w:pPr>
      <w:rPr>
        <w:rFonts w:ascii="Courier New" w:hAnsi="Courier New" w:cs="Courier New" w:hint="default"/>
      </w:rPr>
    </w:lvl>
    <w:lvl w:ilvl="2" w:tplc="34090005" w:tentative="1">
      <w:start w:val="1"/>
      <w:numFmt w:val="bullet"/>
      <w:lvlText w:val=""/>
      <w:lvlJc w:val="left"/>
      <w:pPr>
        <w:ind w:left="2280" w:hanging="360"/>
      </w:pPr>
      <w:rPr>
        <w:rFonts w:ascii="Wingdings" w:hAnsi="Wingdings" w:hint="default"/>
      </w:rPr>
    </w:lvl>
    <w:lvl w:ilvl="3" w:tplc="34090001" w:tentative="1">
      <w:start w:val="1"/>
      <w:numFmt w:val="bullet"/>
      <w:lvlText w:val=""/>
      <w:lvlJc w:val="left"/>
      <w:pPr>
        <w:ind w:left="3000" w:hanging="360"/>
      </w:pPr>
      <w:rPr>
        <w:rFonts w:ascii="Symbol" w:hAnsi="Symbol" w:hint="default"/>
      </w:rPr>
    </w:lvl>
    <w:lvl w:ilvl="4" w:tplc="34090003" w:tentative="1">
      <w:start w:val="1"/>
      <w:numFmt w:val="bullet"/>
      <w:lvlText w:val="o"/>
      <w:lvlJc w:val="left"/>
      <w:pPr>
        <w:ind w:left="3720" w:hanging="360"/>
      </w:pPr>
      <w:rPr>
        <w:rFonts w:ascii="Courier New" w:hAnsi="Courier New" w:cs="Courier New" w:hint="default"/>
      </w:rPr>
    </w:lvl>
    <w:lvl w:ilvl="5" w:tplc="34090005" w:tentative="1">
      <w:start w:val="1"/>
      <w:numFmt w:val="bullet"/>
      <w:lvlText w:val=""/>
      <w:lvlJc w:val="left"/>
      <w:pPr>
        <w:ind w:left="4440" w:hanging="360"/>
      </w:pPr>
      <w:rPr>
        <w:rFonts w:ascii="Wingdings" w:hAnsi="Wingdings" w:hint="default"/>
      </w:rPr>
    </w:lvl>
    <w:lvl w:ilvl="6" w:tplc="34090001" w:tentative="1">
      <w:start w:val="1"/>
      <w:numFmt w:val="bullet"/>
      <w:lvlText w:val=""/>
      <w:lvlJc w:val="left"/>
      <w:pPr>
        <w:ind w:left="5160" w:hanging="360"/>
      </w:pPr>
      <w:rPr>
        <w:rFonts w:ascii="Symbol" w:hAnsi="Symbol" w:hint="default"/>
      </w:rPr>
    </w:lvl>
    <w:lvl w:ilvl="7" w:tplc="34090003" w:tentative="1">
      <w:start w:val="1"/>
      <w:numFmt w:val="bullet"/>
      <w:lvlText w:val="o"/>
      <w:lvlJc w:val="left"/>
      <w:pPr>
        <w:ind w:left="5880" w:hanging="360"/>
      </w:pPr>
      <w:rPr>
        <w:rFonts w:ascii="Courier New" w:hAnsi="Courier New" w:cs="Courier New" w:hint="default"/>
      </w:rPr>
    </w:lvl>
    <w:lvl w:ilvl="8" w:tplc="34090005" w:tentative="1">
      <w:start w:val="1"/>
      <w:numFmt w:val="bullet"/>
      <w:lvlText w:val=""/>
      <w:lvlJc w:val="left"/>
      <w:pPr>
        <w:ind w:left="6600" w:hanging="360"/>
      </w:pPr>
      <w:rPr>
        <w:rFonts w:ascii="Wingdings" w:hAnsi="Wingdings" w:hint="default"/>
      </w:rPr>
    </w:lvl>
  </w:abstractNum>
  <w:num w:numId="1" w16cid:durableId="75563697">
    <w:abstractNumId w:val="3"/>
  </w:num>
  <w:num w:numId="2" w16cid:durableId="1576283200">
    <w:abstractNumId w:val="5"/>
  </w:num>
  <w:num w:numId="3" w16cid:durableId="441649098">
    <w:abstractNumId w:val="9"/>
  </w:num>
  <w:num w:numId="4" w16cid:durableId="932710208">
    <w:abstractNumId w:val="6"/>
  </w:num>
  <w:num w:numId="5" w16cid:durableId="1015422280">
    <w:abstractNumId w:val="0"/>
  </w:num>
  <w:num w:numId="6" w16cid:durableId="36129908">
    <w:abstractNumId w:val="4"/>
  </w:num>
  <w:num w:numId="7" w16cid:durableId="813330308">
    <w:abstractNumId w:val="7"/>
  </w:num>
  <w:num w:numId="8" w16cid:durableId="593828392">
    <w:abstractNumId w:val="2"/>
  </w:num>
  <w:num w:numId="9" w16cid:durableId="1921520647">
    <w:abstractNumId w:val="1"/>
  </w:num>
  <w:num w:numId="10" w16cid:durableId="15287121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AE5"/>
    <w:rsid w:val="0000531E"/>
    <w:rsid w:val="000441A9"/>
    <w:rsid w:val="00081CF4"/>
    <w:rsid w:val="000C2C82"/>
    <w:rsid w:val="000F3C38"/>
    <w:rsid w:val="001A636A"/>
    <w:rsid w:val="002045A5"/>
    <w:rsid w:val="00261B4C"/>
    <w:rsid w:val="002A6F41"/>
    <w:rsid w:val="00370777"/>
    <w:rsid w:val="00375BA1"/>
    <w:rsid w:val="003A7ECD"/>
    <w:rsid w:val="003C1AE5"/>
    <w:rsid w:val="00406DC6"/>
    <w:rsid w:val="004277D6"/>
    <w:rsid w:val="00470361"/>
    <w:rsid w:val="004868E8"/>
    <w:rsid w:val="004933A1"/>
    <w:rsid w:val="004A6007"/>
    <w:rsid w:val="004C1621"/>
    <w:rsid w:val="004D3AB0"/>
    <w:rsid w:val="004F15B8"/>
    <w:rsid w:val="00571CA3"/>
    <w:rsid w:val="00596067"/>
    <w:rsid w:val="005A467B"/>
    <w:rsid w:val="005B3059"/>
    <w:rsid w:val="005D24DF"/>
    <w:rsid w:val="00635AF8"/>
    <w:rsid w:val="00653748"/>
    <w:rsid w:val="006614F6"/>
    <w:rsid w:val="00691CDA"/>
    <w:rsid w:val="006C4639"/>
    <w:rsid w:val="006D2BEC"/>
    <w:rsid w:val="007076F7"/>
    <w:rsid w:val="007220BB"/>
    <w:rsid w:val="00757A3B"/>
    <w:rsid w:val="007F31AE"/>
    <w:rsid w:val="00821C9C"/>
    <w:rsid w:val="00851720"/>
    <w:rsid w:val="00883A27"/>
    <w:rsid w:val="008C285A"/>
    <w:rsid w:val="008C2AAC"/>
    <w:rsid w:val="008C67EE"/>
    <w:rsid w:val="008F1F4B"/>
    <w:rsid w:val="00936B70"/>
    <w:rsid w:val="009B1B29"/>
    <w:rsid w:val="009B6F96"/>
    <w:rsid w:val="00A60708"/>
    <w:rsid w:val="00A67482"/>
    <w:rsid w:val="00AA18D0"/>
    <w:rsid w:val="00B4236C"/>
    <w:rsid w:val="00B465CF"/>
    <w:rsid w:val="00B510B1"/>
    <w:rsid w:val="00B83437"/>
    <w:rsid w:val="00BC3879"/>
    <w:rsid w:val="00C10380"/>
    <w:rsid w:val="00C52FEB"/>
    <w:rsid w:val="00CB6201"/>
    <w:rsid w:val="00CC498E"/>
    <w:rsid w:val="00CC755C"/>
    <w:rsid w:val="00CE657D"/>
    <w:rsid w:val="00CF0F80"/>
    <w:rsid w:val="00D13646"/>
    <w:rsid w:val="00D741A0"/>
    <w:rsid w:val="00D81BCB"/>
    <w:rsid w:val="00DD592E"/>
    <w:rsid w:val="00DE6C35"/>
    <w:rsid w:val="00E232BB"/>
    <w:rsid w:val="00E55F9A"/>
    <w:rsid w:val="00E66A6D"/>
    <w:rsid w:val="00E74326"/>
    <w:rsid w:val="00E810D6"/>
    <w:rsid w:val="00EB6185"/>
    <w:rsid w:val="00EC7C56"/>
    <w:rsid w:val="00EE2244"/>
    <w:rsid w:val="00EF5940"/>
    <w:rsid w:val="00F45F78"/>
    <w:rsid w:val="00F918E7"/>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BCFA1C"/>
  <w15:chartTrackingRefBased/>
  <w15:docId w15:val="{7FF1C171-BBBB-4640-8209-C7D832852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7C56"/>
    <w:pPr>
      <w:ind w:left="720"/>
      <w:contextualSpacing/>
    </w:pPr>
  </w:style>
  <w:style w:type="table" w:styleId="TableGrid">
    <w:name w:val="Table Grid"/>
    <w:basedOn w:val="TableNormal"/>
    <w:uiPriority w:val="39"/>
    <w:rsid w:val="00A607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743395">
      <w:bodyDiv w:val="1"/>
      <w:marLeft w:val="0"/>
      <w:marRight w:val="0"/>
      <w:marTop w:val="0"/>
      <w:marBottom w:val="0"/>
      <w:divBdr>
        <w:top w:val="none" w:sz="0" w:space="0" w:color="auto"/>
        <w:left w:val="none" w:sz="0" w:space="0" w:color="auto"/>
        <w:bottom w:val="none" w:sz="0" w:space="0" w:color="auto"/>
        <w:right w:val="none" w:sz="0" w:space="0" w:color="auto"/>
      </w:divBdr>
    </w:div>
    <w:div w:id="259527996">
      <w:bodyDiv w:val="1"/>
      <w:marLeft w:val="0"/>
      <w:marRight w:val="0"/>
      <w:marTop w:val="0"/>
      <w:marBottom w:val="0"/>
      <w:divBdr>
        <w:top w:val="none" w:sz="0" w:space="0" w:color="auto"/>
        <w:left w:val="none" w:sz="0" w:space="0" w:color="auto"/>
        <w:bottom w:val="none" w:sz="0" w:space="0" w:color="auto"/>
        <w:right w:val="none" w:sz="0" w:space="0" w:color="auto"/>
      </w:divBdr>
    </w:div>
    <w:div w:id="359278936">
      <w:bodyDiv w:val="1"/>
      <w:marLeft w:val="0"/>
      <w:marRight w:val="0"/>
      <w:marTop w:val="0"/>
      <w:marBottom w:val="0"/>
      <w:divBdr>
        <w:top w:val="none" w:sz="0" w:space="0" w:color="auto"/>
        <w:left w:val="none" w:sz="0" w:space="0" w:color="auto"/>
        <w:bottom w:val="none" w:sz="0" w:space="0" w:color="auto"/>
        <w:right w:val="none" w:sz="0" w:space="0" w:color="auto"/>
      </w:divBdr>
    </w:div>
    <w:div w:id="388456739">
      <w:bodyDiv w:val="1"/>
      <w:marLeft w:val="0"/>
      <w:marRight w:val="0"/>
      <w:marTop w:val="0"/>
      <w:marBottom w:val="0"/>
      <w:divBdr>
        <w:top w:val="none" w:sz="0" w:space="0" w:color="auto"/>
        <w:left w:val="none" w:sz="0" w:space="0" w:color="auto"/>
        <w:bottom w:val="none" w:sz="0" w:space="0" w:color="auto"/>
        <w:right w:val="none" w:sz="0" w:space="0" w:color="auto"/>
      </w:divBdr>
    </w:div>
    <w:div w:id="433406693">
      <w:bodyDiv w:val="1"/>
      <w:marLeft w:val="0"/>
      <w:marRight w:val="0"/>
      <w:marTop w:val="0"/>
      <w:marBottom w:val="0"/>
      <w:divBdr>
        <w:top w:val="none" w:sz="0" w:space="0" w:color="auto"/>
        <w:left w:val="none" w:sz="0" w:space="0" w:color="auto"/>
        <w:bottom w:val="none" w:sz="0" w:space="0" w:color="auto"/>
        <w:right w:val="none" w:sz="0" w:space="0" w:color="auto"/>
      </w:divBdr>
    </w:div>
    <w:div w:id="727806023">
      <w:bodyDiv w:val="1"/>
      <w:marLeft w:val="0"/>
      <w:marRight w:val="0"/>
      <w:marTop w:val="0"/>
      <w:marBottom w:val="0"/>
      <w:divBdr>
        <w:top w:val="none" w:sz="0" w:space="0" w:color="auto"/>
        <w:left w:val="none" w:sz="0" w:space="0" w:color="auto"/>
        <w:bottom w:val="none" w:sz="0" w:space="0" w:color="auto"/>
        <w:right w:val="none" w:sz="0" w:space="0" w:color="auto"/>
      </w:divBdr>
    </w:div>
    <w:div w:id="753551612">
      <w:bodyDiv w:val="1"/>
      <w:marLeft w:val="0"/>
      <w:marRight w:val="0"/>
      <w:marTop w:val="0"/>
      <w:marBottom w:val="0"/>
      <w:divBdr>
        <w:top w:val="none" w:sz="0" w:space="0" w:color="auto"/>
        <w:left w:val="none" w:sz="0" w:space="0" w:color="auto"/>
        <w:bottom w:val="none" w:sz="0" w:space="0" w:color="auto"/>
        <w:right w:val="none" w:sz="0" w:space="0" w:color="auto"/>
      </w:divBdr>
    </w:div>
    <w:div w:id="861673969">
      <w:bodyDiv w:val="1"/>
      <w:marLeft w:val="0"/>
      <w:marRight w:val="0"/>
      <w:marTop w:val="0"/>
      <w:marBottom w:val="0"/>
      <w:divBdr>
        <w:top w:val="none" w:sz="0" w:space="0" w:color="auto"/>
        <w:left w:val="none" w:sz="0" w:space="0" w:color="auto"/>
        <w:bottom w:val="none" w:sz="0" w:space="0" w:color="auto"/>
        <w:right w:val="none" w:sz="0" w:space="0" w:color="auto"/>
      </w:divBdr>
    </w:div>
    <w:div w:id="1179124866">
      <w:bodyDiv w:val="1"/>
      <w:marLeft w:val="0"/>
      <w:marRight w:val="0"/>
      <w:marTop w:val="0"/>
      <w:marBottom w:val="0"/>
      <w:divBdr>
        <w:top w:val="none" w:sz="0" w:space="0" w:color="auto"/>
        <w:left w:val="none" w:sz="0" w:space="0" w:color="auto"/>
        <w:bottom w:val="none" w:sz="0" w:space="0" w:color="auto"/>
        <w:right w:val="none" w:sz="0" w:space="0" w:color="auto"/>
      </w:divBdr>
    </w:div>
    <w:div w:id="1276793421">
      <w:bodyDiv w:val="1"/>
      <w:marLeft w:val="0"/>
      <w:marRight w:val="0"/>
      <w:marTop w:val="0"/>
      <w:marBottom w:val="0"/>
      <w:divBdr>
        <w:top w:val="none" w:sz="0" w:space="0" w:color="auto"/>
        <w:left w:val="none" w:sz="0" w:space="0" w:color="auto"/>
        <w:bottom w:val="none" w:sz="0" w:space="0" w:color="auto"/>
        <w:right w:val="none" w:sz="0" w:space="0" w:color="auto"/>
      </w:divBdr>
    </w:div>
    <w:div w:id="1442530635">
      <w:bodyDiv w:val="1"/>
      <w:marLeft w:val="0"/>
      <w:marRight w:val="0"/>
      <w:marTop w:val="0"/>
      <w:marBottom w:val="0"/>
      <w:divBdr>
        <w:top w:val="none" w:sz="0" w:space="0" w:color="auto"/>
        <w:left w:val="none" w:sz="0" w:space="0" w:color="auto"/>
        <w:bottom w:val="none" w:sz="0" w:space="0" w:color="auto"/>
        <w:right w:val="none" w:sz="0" w:space="0" w:color="auto"/>
      </w:divBdr>
    </w:div>
    <w:div w:id="186070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4DEEFF-48EE-42AE-82B4-5DED855141F7}" type="doc">
      <dgm:prSet loTypeId="urn:microsoft.com/office/officeart/2005/8/layout/chevron1" loCatId="process" qsTypeId="urn:microsoft.com/office/officeart/2005/8/quickstyle/simple1" qsCatId="simple" csTypeId="urn:microsoft.com/office/officeart/2005/8/colors/accent1_2" csCatId="accent1" phldr="1"/>
      <dgm:spPr/>
    </dgm:pt>
    <dgm:pt modelId="{1E3395FD-D346-411B-A448-F10CC47A765B}">
      <dgm:prSet phldrT="[Text]"/>
      <dgm:spPr/>
      <dgm:t>
        <a:bodyPr/>
        <a:lstStyle/>
        <a:p>
          <a:r>
            <a:rPr lang="en-PH"/>
            <a:t>Identification</a:t>
          </a:r>
        </a:p>
        <a:p>
          <a:r>
            <a:rPr lang="en-PH"/>
            <a:t> 150 records identified </a:t>
          </a:r>
        </a:p>
      </dgm:t>
    </dgm:pt>
    <dgm:pt modelId="{9C42ACA8-2799-4E32-9FA2-3EF46C1705D7}" type="parTrans" cxnId="{C0CCA1E6-56FD-4C82-9E8B-9FF7F3200E77}">
      <dgm:prSet/>
      <dgm:spPr/>
      <dgm:t>
        <a:bodyPr/>
        <a:lstStyle/>
        <a:p>
          <a:endParaRPr lang="en-PH"/>
        </a:p>
      </dgm:t>
    </dgm:pt>
    <dgm:pt modelId="{6379EB59-9C97-416A-B246-F883004731EF}" type="sibTrans" cxnId="{C0CCA1E6-56FD-4C82-9E8B-9FF7F3200E77}">
      <dgm:prSet/>
      <dgm:spPr/>
      <dgm:t>
        <a:bodyPr/>
        <a:lstStyle/>
        <a:p>
          <a:endParaRPr lang="en-PH"/>
        </a:p>
      </dgm:t>
    </dgm:pt>
    <dgm:pt modelId="{F55F4ABD-0CB8-4319-A396-0FAB9BD90C68}">
      <dgm:prSet phldrT="[Text]"/>
      <dgm:spPr/>
      <dgm:t>
        <a:bodyPr/>
        <a:lstStyle/>
        <a:p>
          <a:r>
            <a:rPr lang="en-PH"/>
            <a:t>Screening</a:t>
          </a:r>
        </a:p>
        <a:p>
          <a:r>
            <a:rPr lang="en-PH"/>
            <a:t> 55 records screened</a:t>
          </a:r>
        </a:p>
      </dgm:t>
    </dgm:pt>
    <dgm:pt modelId="{B8DFFEDA-C64E-4C4E-856C-9D3A6EE01AF3}" type="parTrans" cxnId="{8454D4C7-2DD7-4454-8FFA-5E2B979CA83B}">
      <dgm:prSet/>
      <dgm:spPr/>
      <dgm:t>
        <a:bodyPr/>
        <a:lstStyle/>
        <a:p>
          <a:endParaRPr lang="en-PH"/>
        </a:p>
      </dgm:t>
    </dgm:pt>
    <dgm:pt modelId="{5576F3F0-DE29-4771-BB59-60A5FFD876C2}" type="sibTrans" cxnId="{8454D4C7-2DD7-4454-8FFA-5E2B979CA83B}">
      <dgm:prSet/>
      <dgm:spPr/>
      <dgm:t>
        <a:bodyPr/>
        <a:lstStyle/>
        <a:p>
          <a:endParaRPr lang="en-PH"/>
        </a:p>
      </dgm:t>
    </dgm:pt>
    <dgm:pt modelId="{06E37999-993B-489C-8709-EA1C037E15C0}">
      <dgm:prSet phldrT="[Text]"/>
      <dgm:spPr/>
      <dgm:t>
        <a:bodyPr/>
        <a:lstStyle/>
        <a:p>
          <a:r>
            <a:rPr lang="en-PH"/>
            <a:t>Eligibility</a:t>
          </a:r>
        </a:p>
        <a:p>
          <a:r>
            <a:rPr lang="en-PH"/>
            <a:t>25 studies included</a:t>
          </a:r>
        </a:p>
      </dgm:t>
    </dgm:pt>
    <dgm:pt modelId="{987D9BB4-89F6-4DB3-A26F-333EE3B0CEBB}" type="parTrans" cxnId="{316621C2-F5FB-41BC-9BEB-56A4EE62DC86}">
      <dgm:prSet/>
      <dgm:spPr/>
      <dgm:t>
        <a:bodyPr/>
        <a:lstStyle/>
        <a:p>
          <a:endParaRPr lang="en-PH"/>
        </a:p>
      </dgm:t>
    </dgm:pt>
    <dgm:pt modelId="{EFB5D8D6-0667-491A-9147-17D48FF933CC}" type="sibTrans" cxnId="{316621C2-F5FB-41BC-9BEB-56A4EE62DC86}">
      <dgm:prSet/>
      <dgm:spPr/>
      <dgm:t>
        <a:bodyPr/>
        <a:lstStyle/>
        <a:p>
          <a:endParaRPr lang="en-PH"/>
        </a:p>
      </dgm:t>
    </dgm:pt>
    <dgm:pt modelId="{DD2F062A-BBA4-4118-9D16-425766E91B19}" type="pres">
      <dgm:prSet presAssocID="{C94DEEFF-48EE-42AE-82B4-5DED855141F7}" presName="Name0" presStyleCnt="0">
        <dgm:presLayoutVars>
          <dgm:dir/>
          <dgm:animLvl val="lvl"/>
          <dgm:resizeHandles val="exact"/>
        </dgm:presLayoutVars>
      </dgm:prSet>
      <dgm:spPr/>
    </dgm:pt>
    <dgm:pt modelId="{A98BD222-B48D-4B95-AB63-4948817CA966}" type="pres">
      <dgm:prSet presAssocID="{1E3395FD-D346-411B-A448-F10CC47A765B}" presName="parTxOnly" presStyleLbl="node1" presStyleIdx="0" presStyleCnt="3" custScaleX="95865" custLinFactNeighborX="47419" custLinFactNeighborY="2964">
        <dgm:presLayoutVars>
          <dgm:chMax val="0"/>
          <dgm:chPref val="0"/>
          <dgm:bulletEnabled val="1"/>
        </dgm:presLayoutVars>
      </dgm:prSet>
      <dgm:spPr/>
    </dgm:pt>
    <dgm:pt modelId="{FFE4D923-B8F3-49A3-B94D-A06B875772B0}" type="pres">
      <dgm:prSet presAssocID="{6379EB59-9C97-416A-B246-F883004731EF}" presName="parTxOnlySpace" presStyleCnt="0"/>
      <dgm:spPr/>
    </dgm:pt>
    <dgm:pt modelId="{2B893D33-3A59-44EB-ABAC-A0A04A6B2943}" type="pres">
      <dgm:prSet presAssocID="{F55F4ABD-0CB8-4319-A396-0FAB9BD90C68}" presName="parTxOnly" presStyleLbl="node1" presStyleIdx="1" presStyleCnt="3" custScaleX="83008" custLinFactNeighborX="-29655" custLinFactNeighborY="3564">
        <dgm:presLayoutVars>
          <dgm:chMax val="0"/>
          <dgm:chPref val="0"/>
          <dgm:bulletEnabled val="1"/>
        </dgm:presLayoutVars>
      </dgm:prSet>
      <dgm:spPr/>
    </dgm:pt>
    <dgm:pt modelId="{E8A438A6-AFED-4DEF-A302-F3788509B2AF}" type="pres">
      <dgm:prSet presAssocID="{5576F3F0-DE29-4771-BB59-60A5FFD876C2}" presName="parTxOnlySpace" presStyleCnt="0"/>
      <dgm:spPr/>
    </dgm:pt>
    <dgm:pt modelId="{4C531FB1-E5CC-4D35-BCF9-19E6E4C067C6}" type="pres">
      <dgm:prSet presAssocID="{06E37999-993B-489C-8709-EA1C037E15C0}" presName="parTxOnly" presStyleLbl="node1" presStyleIdx="2" presStyleCnt="3" custScaleX="107289" custLinFactX="-1766" custLinFactNeighborX="-100000" custLinFactNeighborY="2086">
        <dgm:presLayoutVars>
          <dgm:chMax val="0"/>
          <dgm:chPref val="0"/>
          <dgm:bulletEnabled val="1"/>
        </dgm:presLayoutVars>
      </dgm:prSet>
      <dgm:spPr/>
    </dgm:pt>
  </dgm:ptLst>
  <dgm:cxnLst>
    <dgm:cxn modelId="{FBEABD36-9043-4EAA-AB58-D0603AACE545}" type="presOf" srcId="{06E37999-993B-489C-8709-EA1C037E15C0}" destId="{4C531FB1-E5CC-4D35-BCF9-19E6E4C067C6}" srcOrd="0" destOrd="0" presId="urn:microsoft.com/office/officeart/2005/8/layout/chevron1"/>
    <dgm:cxn modelId="{198EB43B-E2FB-41E3-868C-2F8F9A6D8807}" type="presOf" srcId="{1E3395FD-D346-411B-A448-F10CC47A765B}" destId="{A98BD222-B48D-4B95-AB63-4948817CA966}" srcOrd="0" destOrd="0" presId="urn:microsoft.com/office/officeart/2005/8/layout/chevron1"/>
    <dgm:cxn modelId="{AC0C6CAF-5207-4FE6-A4D6-2166144567C6}" type="presOf" srcId="{F55F4ABD-0CB8-4319-A396-0FAB9BD90C68}" destId="{2B893D33-3A59-44EB-ABAC-A0A04A6B2943}" srcOrd="0" destOrd="0" presId="urn:microsoft.com/office/officeart/2005/8/layout/chevron1"/>
    <dgm:cxn modelId="{316621C2-F5FB-41BC-9BEB-56A4EE62DC86}" srcId="{C94DEEFF-48EE-42AE-82B4-5DED855141F7}" destId="{06E37999-993B-489C-8709-EA1C037E15C0}" srcOrd="2" destOrd="0" parTransId="{987D9BB4-89F6-4DB3-A26F-333EE3B0CEBB}" sibTransId="{EFB5D8D6-0667-491A-9147-17D48FF933CC}"/>
    <dgm:cxn modelId="{8454D4C7-2DD7-4454-8FFA-5E2B979CA83B}" srcId="{C94DEEFF-48EE-42AE-82B4-5DED855141F7}" destId="{F55F4ABD-0CB8-4319-A396-0FAB9BD90C68}" srcOrd="1" destOrd="0" parTransId="{B8DFFEDA-C64E-4C4E-856C-9D3A6EE01AF3}" sibTransId="{5576F3F0-DE29-4771-BB59-60A5FFD876C2}"/>
    <dgm:cxn modelId="{C0CCA1E6-56FD-4C82-9E8B-9FF7F3200E77}" srcId="{C94DEEFF-48EE-42AE-82B4-5DED855141F7}" destId="{1E3395FD-D346-411B-A448-F10CC47A765B}" srcOrd="0" destOrd="0" parTransId="{9C42ACA8-2799-4E32-9FA2-3EF46C1705D7}" sibTransId="{6379EB59-9C97-416A-B246-F883004731EF}"/>
    <dgm:cxn modelId="{C15211F6-63B4-4C47-A530-AA5DBDD80440}" type="presOf" srcId="{C94DEEFF-48EE-42AE-82B4-5DED855141F7}" destId="{DD2F062A-BBA4-4118-9D16-425766E91B19}" srcOrd="0" destOrd="0" presId="urn:microsoft.com/office/officeart/2005/8/layout/chevron1"/>
    <dgm:cxn modelId="{86248DA4-047C-40B2-9078-EAC75D63012E}" type="presParOf" srcId="{DD2F062A-BBA4-4118-9D16-425766E91B19}" destId="{A98BD222-B48D-4B95-AB63-4948817CA966}" srcOrd="0" destOrd="0" presId="urn:microsoft.com/office/officeart/2005/8/layout/chevron1"/>
    <dgm:cxn modelId="{23275761-0B0A-44E1-89EA-7B5E3B72655D}" type="presParOf" srcId="{DD2F062A-BBA4-4118-9D16-425766E91B19}" destId="{FFE4D923-B8F3-49A3-B94D-A06B875772B0}" srcOrd="1" destOrd="0" presId="urn:microsoft.com/office/officeart/2005/8/layout/chevron1"/>
    <dgm:cxn modelId="{5F92EDCD-C649-46AC-8A50-C75EB8ECBCC7}" type="presParOf" srcId="{DD2F062A-BBA4-4118-9D16-425766E91B19}" destId="{2B893D33-3A59-44EB-ABAC-A0A04A6B2943}" srcOrd="2" destOrd="0" presId="urn:microsoft.com/office/officeart/2005/8/layout/chevron1"/>
    <dgm:cxn modelId="{C51D5340-5C37-4080-AE7E-33FFB3BA7B16}" type="presParOf" srcId="{DD2F062A-BBA4-4118-9D16-425766E91B19}" destId="{E8A438A6-AFED-4DEF-A302-F3788509B2AF}" srcOrd="3" destOrd="0" presId="urn:microsoft.com/office/officeart/2005/8/layout/chevron1"/>
    <dgm:cxn modelId="{B7EF4FF7-37F2-456C-A45B-F7E002A604E9}" type="presParOf" srcId="{DD2F062A-BBA4-4118-9D16-425766E91B19}" destId="{4C531FB1-E5CC-4D35-BCF9-19E6E4C067C6}" srcOrd="4" destOrd="0" presId="urn:microsoft.com/office/officeart/2005/8/layout/chevro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8BD222-B48D-4B95-AB63-4948817CA966}">
      <dsp:nvSpPr>
        <dsp:cNvPr id="0" name=""/>
        <dsp:cNvSpPr/>
      </dsp:nvSpPr>
      <dsp:spPr>
        <a:xfrm>
          <a:off x="85726" y="0"/>
          <a:ext cx="1704718" cy="4114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PH" sz="900" kern="1200"/>
            <a:t>Identification</a:t>
          </a:r>
        </a:p>
        <a:p>
          <a:pPr marL="0" lvl="0" indent="0" algn="ctr" defTabSz="400050">
            <a:lnSpc>
              <a:spcPct val="90000"/>
            </a:lnSpc>
            <a:spcBef>
              <a:spcPct val="0"/>
            </a:spcBef>
            <a:spcAft>
              <a:spcPct val="35000"/>
            </a:spcAft>
            <a:buNone/>
          </a:pPr>
          <a:r>
            <a:rPr lang="en-PH" sz="900" kern="1200"/>
            <a:t> 150 records identified </a:t>
          </a:r>
        </a:p>
      </dsp:txBody>
      <dsp:txXfrm>
        <a:off x="291466" y="0"/>
        <a:ext cx="1293238" cy="411480"/>
      </dsp:txXfrm>
    </dsp:sp>
    <dsp:sp modelId="{2B893D33-3A59-44EB-ABAC-A0A04A6B2943}">
      <dsp:nvSpPr>
        <dsp:cNvPr id="0" name=""/>
        <dsp:cNvSpPr/>
      </dsp:nvSpPr>
      <dsp:spPr>
        <a:xfrm>
          <a:off x="1475563" y="0"/>
          <a:ext cx="1476088" cy="4114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PH" sz="900" kern="1200"/>
            <a:t>Screening</a:t>
          </a:r>
        </a:p>
        <a:p>
          <a:pPr marL="0" lvl="0" indent="0" algn="ctr" defTabSz="400050">
            <a:lnSpc>
              <a:spcPct val="90000"/>
            </a:lnSpc>
            <a:spcBef>
              <a:spcPct val="0"/>
            </a:spcBef>
            <a:spcAft>
              <a:spcPct val="35000"/>
            </a:spcAft>
            <a:buNone/>
          </a:pPr>
          <a:r>
            <a:rPr lang="en-PH" sz="900" kern="1200"/>
            <a:t> 55 records screened</a:t>
          </a:r>
        </a:p>
      </dsp:txBody>
      <dsp:txXfrm>
        <a:off x="1681303" y="0"/>
        <a:ext cx="1064608" cy="411480"/>
      </dsp:txXfrm>
    </dsp:sp>
    <dsp:sp modelId="{4C531FB1-E5CC-4D35-BCF9-19E6E4C067C6}">
      <dsp:nvSpPr>
        <dsp:cNvPr id="0" name=""/>
        <dsp:cNvSpPr/>
      </dsp:nvSpPr>
      <dsp:spPr>
        <a:xfrm>
          <a:off x="2617332" y="0"/>
          <a:ext cx="1907865" cy="411480"/>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6005" tIns="12002" rIns="12002" bIns="12002" numCol="1" spcCol="1270" anchor="ctr" anchorCtr="0">
          <a:noAutofit/>
        </a:bodyPr>
        <a:lstStyle/>
        <a:p>
          <a:pPr marL="0" lvl="0" indent="0" algn="ctr" defTabSz="400050">
            <a:lnSpc>
              <a:spcPct val="90000"/>
            </a:lnSpc>
            <a:spcBef>
              <a:spcPct val="0"/>
            </a:spcBef>
            <a:spcAft>
              <a:spcPct val="35000"/>
            </a:spcAft>
            <a:buNone/>
          </a:pPr>
          <a:r>
            <a:rPr lang="en-PH" sz="900" kern="1200"/>
            <a:t>Eligibility</a:t>
          </a:r>
        </a:p>
        <a:p>
          <a:pPr marL="0" lvl="0" indent="0" algn="ctr" defTabSz="400050">
            <a:lnSpc>
              <a:spcPct val="90000"/>
            </a:lnSpc>
            <a:spcBef>
              <a:spcPct val="0"/>
            </a:spcBef>
            <a:spcAft>
              <a:spcPct val="35000"/>
            </a:spcAft>
            <a:buNone/>
          </a:pPr>
          <a:r>
            <a:rPr lang="en-PH" sz="900" kern="1200"/>
            <a:t>25 studies included</a:t>
          </a:r>
        </a:p>
      </dsp:txBody>
      <dsp:txXfrm>
        <a:off x="2823072" y="0"/>
        <a:ext cx="1496385" cy="411480"/>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3204</Words>
  <Characters>20224</Characters>
  <Application>Microsoft Office Word</Application>
  <DocSecurity>0</DocSecurity>
  <Lines>697</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Planning33</dc:creator>
  <cp:keywords/>
  <dc:description/>
  <cp:lastModifiedBy>City Planning33</cp:lastModifiedBy>
  <cp:revision>2</cp:revision>
  <dcterms:created xsi:type="dcterms:W3CDTF">2024-12-29T04:58:00Z</dcterms:created>
  <dcterms:modified xsi:type="dcterms:W3CDTF">2024-12-29T04:58:00Z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5ed16d20-375c-4f5d-9370-38e28f4f7c94</vt:lpwstr>
  </property>
</Properties>
</file>