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386C056B" w:rsidR="00DA52F4" w:rsidRPr="00006530" w:rsidRDefault="00716C32" w:rsidP="00006530">
      <w:pPr>
        <w:jc w:val="center"/>
        <w:rPr>
          <w:rFonts w:ascii="Times New Roman" w:eastAsia="Calibri" w:hAnsi="Times New Roman" w:cs="Times New Roman"/>
          <w:b/>
          <w:bCs/>
          <w:kern w:val="2"/>
          <w:sz w:val="28"/>
          <w:szCs w:val="28"/>
          <w14:ligatures w14:val="standardContextual"/>
        </w:rPr>
      </w:pPr>
      <w:r w:rsidRPr="00716C32">
        <w:rPr>
          <w:rFonts w:ascii="Times New Roman" w:hAnsi="Times New Roman" w:cs="Times New Roman"/>
          <w:b/>
          <w:bCs/>
          <w:color w:val="000000" w:themeColor="text1"/>
          <w:sz w:val="28"/>
          <w:szCs w:val="28"/>
        </w:rPr>
        <w:t>P</w:t>
      </w:r>
      <w:r>
        <w:rPr>
          <w:rFonts w:ascii="Times New Roman" w:hAnsi="Times New Roman" w:cs="Times New Roman"/>
          <w:b/>
          <w:bCs/>
          <w:color w:val="000000" w:themeColor="text1"/>
          <w:sz w:val="28"/>
          <w:szCs w:val="28"/>
        </w:rPr>
        <w:t xml:space="preserve">ERFORMANCE CHARATERIZATION AND PARAMETRIC ANALYSIS OF WIND TURBINE ENERGY CONVERSION </w:t>
      </w:r>
    </w:p>
    <w:p w14:paraId="736B6AC8" w14:textId="7DA8CD1D" w:rsidR="00DA52F4" w:rsidRPr="001E51F3" w:rsidRDefault="00716C32"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Ismail Marouani</w:t>
      </w:r>
      <w:r w:rsidR="00DA52F4" w:rsidRPr="001E51F3">
        <w:rPr>
          <w:rFonts w:ascii="Times New Roman" w:hAnsi="Times New Roman" w:cs="Times New Roman"/>
          <w:b/>
          <w:bCs/>
          <w:color w:val="000000" w:themeColor="text1"/>
          <w:sz w:val="24"/>
          <w:szCs w:val="24"/>
          <w:vertAlign w:val="superscript"/>
        </w:rPr>
        <w:t>1</w:t>
      </w:r>
    </w:p>
    <w:p w14:paraId="59B9E3B4" w14:textId="3CD0FFBC" w:rsidR="00DA52F4" w:rsidRPr="001E51F3" w:rsidRDefault="00DA52F4" w:rsidP="00716C32">
      <w:pPr>
        <w:autoSpaceDE w:val="0"/>
        <w:autoSpaceDN w:val="0"/>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716C32" w:rsidRPr="002603DC">
        <w:rPr>
          <w:rFonts w:ascii="Times New Roman" w:hAnsi="Times New Roman" w:cs="Times New Roman"/>
          <w:color w:val="000000" w:themeColor="text1"/>
        </w:rPr>
        <w:t xml:space="preserve">Department of Electronic Engineering, Applied College, University of Hail, Saudi Arabia </w:t>
      </w:r>
    </w:p>
    <w:p w14:paraId="7C6E1520" w14:textId="2BFEB642" w:rsidR="00DA52F4" w:rsidRPr="001E51F3" w:rsidRDefault="00DA52F4" w:rsidP="00716C32">
      <w:pPr>
        <w:pBdr>
          <w:bottom w:val="single" w:sz="4" w:space="1" w:color="auto"/>
        </w:pBdr>
        <w:spacing w:before="54" w:after="0" w:line="276" w:lineRule="auto"/>
        <w:rPr>
          <w:rFonts w:ascii="Times New Roman" w:hAnsi="Times New Roman" w:cs="Times New Roman"/>
          <w:color w:val="000000" w:themeColor="text1"/>
        </w:rPr>
      </w:pPr>
    </w:p>
    <w:p w14:paraId="262D7931" w14:textId="16538F8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1B122785" w14:textId="52A01DB5" w:rsidR="00716C32" w:rsidRPr="00716C32" w:rsidRDefault="00716C32" w:rsidP="00716C32">
      <w:pPr>
        <w:spacing w:before="54" w:after="0" w:line="276" w:lineRule="auto"/>
        <w:jc w:val="both"/>
        <w:rPr>
          <w:rFonts w:ascii="Times New Roman" w:hAnsi="Times New Roman" w:cs="Times New Roman"/>
          <w:color w:val="000000" w:themeColor="text1"/>
          <w:sz w:val="20"/>
          <w:szCs w:val="20"/>
        </w:rPr>
      </w:pPr>
      <w:r w:rsidRPr="00716C32">
        <w:rPr>
          <w:rFonts w:ascii="Times New Roman" w:hAnsi="Times New Roman" w:cs="Times New Roman"/>
          <w:color w:val="000000" w:themeColor="text1"/>
          <w:sz w:val="20"/>
          <w:szCs w:val="20"/>
        </w:rPr>
        <w:t xml:space="preserve">This paper presents a comprehensive examination of the role of converters in enhancing wind energy conversion efficiency. The paper investigates recent advances in converter technology, focusing on their operations, topologies, applications, and the challenges faced in the field. It emphasizes the importance of control systems in optimizing wind energy systems and discusses the main features and related applications of these technologies. Additionally, the review provides recommendations for future improvements in wind energy converters to ensure sustainability and efficiency in wind energy systems. </w:t>
      </w:r>
      <w:r w:rsidR="00A23404">
        <w:rPr>
          <w:rFonts w:ascii="Times New Roman" w:hAnsi="Times New Roman" w:cs="Times New Roman"/>
          <w:color w:val="000000" w:themeColor="text1"/>
          <w:sz w:val="20"/>
          <w:szCs w:val="20"/>
        </w:rPr>
        <w:t>Therefore</w:t>
      </w:r>
      <w:r w:rsidRPr="00716C32">
        <w:rPr>
          <w:rFonts w:ascii="Times New Roman" w:hAnsi="Times New Roman" w:cs="Times New Roman"/>
          <w:color w:val="000000" w:themeColor="text1"/>
          <w:sz w:val="20"/>
          <w:szCs w:val="20"/>
        </w:rPr>
        <w:t>, this work aims to contribute to the advancement of wind energy technologies by highlighting critical areas for research and development.</w:t>
      </w:r>
    </w:p>
    <w:p w14:paraId="5FF026EC" w14:textId="77777777" w:rsidR="00716C32" w:rsidRPr="001E51F3" w:rsidRDefault="00716C32" w:rsidP="009F6540">
      <w:pPr>
        <w:spacing w:before="54" w:after="0" w:line="276" w:lineRule="auto"/>
        <w:jc w:val="both"/>
        <w:rPr>
          <w:rFonts w:ascii="Times New Roman" w:hAnsi="Times New Roman" w:cs="Times New Roman"/>
          <w:color w:val="000000" w:themeColor="text1"/>
          <w:sz w:val="20"/>
          <w:szCs w:val="20"/>
        </w:rPr>
      </w:pPr>
    </w:p>
    <w:p w14:paraId="5501AD32" w14:textId="402E9F22"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716C32" w:rsidRPr="00716C32">
        <w:rPr>
          <w:rFonts w:ascii="Times New Roman" w:hAnsi="Times New Roman" w:cs="Times New Roman"/>
          <w:color w:val="000000" w:themeColor="text1"/>
          <w:sz w:val="20"/>
          <w:szCs w:val="20"/>
        </w:rPr>
        <w:t>Wind Energy Conversion, Power Coefficient (Cp), Rotor</w:t>
      </w:r>
      <w:r w:rsidR="00716C32" w:rsidRPr="00F76A52">
        <w:rPr>
          <w:rFonts w:ascii="Times New Roman" w:hAnsi="Times New Roman" w:cs="Times New Roman"/>
          <w:color w:val="000000" w:themeColor="text1"/>
          <w:sz w:val="20"/>
          <w:szCs w:val="20"/>
        </w:rPr>
        <w:t xml:space="preserve"> Diameter (R</w:t>
      </w:r>
      <w:r w:rsidR="00716C32" w:rsidRPr="00716C32">
        <w:rPr>
          <w:rFonts w:ascii="Times New Roman" w:hAnsi="Times New Roman" w:cs="Times New Roman"/>
          <w:color w:val="000000" w:themeColor="text1"/>
          <w:sz w:val="20"/>
          <w:szCs w:val="20"/>
        </w:rPr>
        <w:t>), Air Density, Power Curve Analysis, Efficiency Evaluation Techniques</w:t>
      </w:r>
    </w:p>
    <w:p w14:paraId="075684D6" w14:textId="730D3EA9"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5718329E" w14:textId="7650B478" w:rsidR="00716C32" w:rsidRPr="00716C32" w:rsidRDefault="00716C32" w:rsidP="00716C32">
      <w:pPr>
        <w:spacing w:before="54" w:after="0" w:line="276" w:lineRule="auto"/>
        <w:jc w:val="both"/>
        <w:rPr>
          <w:rFonts w:ascii="Times New Roman" w:hAnsi="Times New Roman" w:cs="Times New Roman"/>
          <w:color w:val="000000" w:themeColor="text1"/>
          <w:sz w:val="20"/>
          <w:szCs w:val="20"/>
        </w:rPr>
      </w:pPr>
      <w:r w:rsidRPr="00716C32">
        <w:rPr>
          <w:rFonts w:ascii="Times New Roman" w:hAnsi="Times New Roman" w:cs="Times New Roman"/>
          <w:color w:val="000000" w:themeColor="text1"/>
          <w:sz w:val="20"/>
          <w:szCs w:val="20"/>
        </w:rPr>
        <w:t>Wind energy has emerged as a crucial component in the global transition towards sustainable energy systems, offering numerous benefits that underscore its importance. As a clean and renewable resource, wind power contributes significantly to reducing greenhouse gas emissions and environmental pollution</w:t>
      </w:r>
      <w:r w:rsidR="00863D10">
        <w:rPr>
          <w:rFonts w:ascii="Times New Roman" w:hAnsi="Times New Roman" w:cs="Times New Roman"/>
          <w:color w:val="000000" w:themeColor="text1"/>
          <w:sz w:val="20"/>
          <w:szCs w:val="20"/>
        </w:rPr>
        <w:t xml:space="preserve"> [1]</w:t>
      </w:r>
      <w:r w:rsidRPr="00716C32">
        <w:rPr>
          <w:rFonts w:ascii="Times New Roman" w:hAnsi="Times New Roman" w:cs="Times New Roman"/>
          <w:color w:val="000000" w:themeColor="text1"/>
          <w:sz w:val="20"/>
          <w:szCs w:val="20"/>
        </w:rPr>
        <w:t>. It enhances energy security by reducing dependence on fossil fuel imports and provides economic benefits through job creation and local development. The increasing cost-competitiveness and scalability of wind energy make it an attractive option for diverse geographical and energy demand contexts. Given its growing significance, there is a pressing need for comprehensive performance characterization and parametric analysis of wind turbine energy conversion systems</w:t>
      </w:r>
      <w:r w:rsidR="00863D10">
        <w:rPr>
          <w:rFonts w:ascii="Times New Roman" w:hAnsi="Times New Roman" w:cs="Times New Roman"/>
          <w:color w:val="000000" w:themeColor="text1"/>
          <w:sz w:val="20"/>
          <w:szCs w:val="20"/>
        </w:rPr>
        <w:t xml:space="preserve"> [2]</w:t>
      </w:r>
      <w:r w:rsidRPr="00716C32">
        <w:rPr>
          <w:rFonts w:ascii="Times New Roman" w:hAnsi="Times New Roman" w:cs="Times New Roman"/>
          <w:color w:val="000000" w:themeColor="text1"/>
          <w:sz w:val="20"/>
          <w:szCs w:val="20"/>
        </w:rPr>
        <w:t xml:space="preserve">. These studies aim to optimize energy production, improve turbine design, and enhance overall system efficiency. By understanding how various environmental and design parameters affect turbine performance, researchers and engineers can develop more effective wind energy systems. The objectives of such analyses include maximizing annual energy production, refining turbine components, understanding environmental impacts, enhancing modeling accuracy, supporting data-driven decision-making, advancing control strategies, and reducing the overall cost of </w:t>
      </w:r>
      <w:r w:rsidR="00863D10" w:rsidRPr="00716C32">
        <w:rPr>
          <w:rFonts w:ascii="Times New Roman" w:hAnsi="Times New Roman" w:cs="Times New Roman"/>
          <w:color w:val="000000" w:themeColor="text1"/>
          <w:sz w:val="20"/>
          <w:szCs w:val="20"/>
        </w:rPr>
        <w:t>energy</w:t>
      </w:r>
      <w:r w:rsidR="00863D10">
        <w:rPr>
          <w:rFonts w:ascii="Times New Roman" w:hAnsi="Times New Roman" w:cs="Times New Roman"/>
          <w:color w:val="000000" w:themeColor="text1"/>
          <w:sz w:val="20"/>
          <w:szCs w:val="20"/>
        </w:rPr>
        <w:t xml:space="preserve"> [3,4]</w:t>
      </w:r>
      <w:r w:rsidRPr="00716C32">
        <w:rPr>
          <w:rFonts w:ascii="Times New Roman" w:hAnsi="Times New Roman" w:cs="Times New Roman"/>
          <w:color w:val="000000" w:themeColor="text1"/>
          <w:sz w:val="20"/>
          <w:szCs w:val="20"/>
        </w:rPr>
        <w:t xml:space="preserve">. Through these efforts, performance characterization and parametric analysis play a crucial role in improving the efficiency, reliability, and economic viability of wind energy systems, thereby furthering their role in the global energy landscape and contributing to a more sustainable </w:t>
      </w:r>
      <w:r w:rsidR="0035641B" w:rsidRPr="00716C32">
        <w:rPr>
          <w:rFonts w:ascii="Times New Roman" w:hAnsi="Times New Roman" w:cs="Times New Roman"/>
          <w:color w:val="000000" w:themeColor="text1"/>
          <w:sz w:val="20"/>
          <w:szCs w:val="20"/>
        </w:rPr>
        <w:t>future</w:t>
      </w:r>
      <w:r w:rsidR="0035641B">
        <w:rPr>
          <w:rFonts w:ascii="Times New Roman" w:hAnsi="Times New Roman" w:cs="Times New Roman"/>
          <w:color w:val="000000" w:themeColor="text1"/>
          <w:sz w:val="20"/>
          <w:szCs w:val="20"/>
        </w:rPr>
        <w:t xml:space="preserve"> [</w:t>
      </w:r>
      <w:r w:rsidR="00863D10">
        <w:rPr>
          <w:rFonts w:ascii="Times New Roman" w:hAnsi="Times New Roman" w:cs="Times New Roman"/>
          <w:color w:val="000000" w:themeColor="text1"/>
          <w:sz w:val="20"/>
          <w:szCs w:val="20"/>
        </w:rPr>
        <w:t>5-7]</w:t>
      </w:r>
      <w:r w:rsidRPr="00716C32">
        <w:rPr>
          <w:rFonts w:ascii="Times New Roman" w:hAnsi="Times New Roman" w:cs="Times New Roman"/>
          <w:color w:val="000000" w:themeColor="text1"/>
          <w:sz w:val="20"/>
          <w:szCs w:val="20"/>
        </w:rPr>
        <w:t>.</w:t>
      </w:r>
    </w:p>
    <w:p w14:paraId="02B68090" w14:textId="77777777" w:rsidR="00716C32" w:rsidRPr="001E51F3" w:rsidRDefault="00716C32" w:rsidP="009F6540">
      <w:pPr>
        <w:spacing w:before="54" w:after="0" w:line="276" w:lineRule="auto"/>
        <w:jc w:val="both"/>
        <w:rPr>
          <w:rFonts w:ascii="Times New Roman" w:hAnsi="Times New Roman" w:cs="Times New Roman"/>
          <w:color w:val="000000" w:themeColor="text1"/>
          <w:sz w:val="20"/>
          <w:szCs w:val="20"/>
        </w:rPr>
      </w:pPr>
    </w:p>
    <w:p w14:paraId="7A033264" w14:textId="32003610" w:rsidR="00DA52F4" w:rsidRPr="001E51F3" w:rsidRDefault="00716C32"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716C32">
        <w:rPr>
          <w:rFonts w:ascii="Times New Roman" w:hAnsi="Times New Roman" w:cs="Times New Roman"/>
          <w:b/>
          <w:bCs/>
          <w:color w:val="000000" w:themeColor="text1"/>
          <w:sz w:val="24"/>
          <w:szCs w:val="24"/>
        </w:rPr>
        <w:t>THEORETICAL BACKGROUND</w:t>
      </w:r>
    </w:p>
    <w:p w14:paraId="0A8B9337" w14:textId="1A9CB699" w:rsidR="00DA52F4" w:rsidRPr="00716C32" w:rsidRDefault="00716C32" w:rsidP="00716C3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716C32">
        <w:rPr>
          <w:rFonts w:ascii="Times New Roman" w:hAnsi="Times New Roman" w:cs="Times New Roman"/>
          <w:b/>
          <w:bCs/>
          <w:color w:val="000000" w:themeColor="text1"/>
          <w:sz w:val="20"/>
          <w:szCs w:val="20"/>
        </w:rPr>
        <w:t>Wind turbine power equation</w:t>
      </w:r>
      <w:r w:rsidR="00DA52F4" w:rsidRPr="00716C32">
        <w:rPr>
          <w:rFonts w:ascii="Times New Roman" w:hAnsi="Times New Roman" w:cs="Times New Roman"/>
          <w:b/>
          <w:bCs/>
          <w:color w:val="000000" w:themeColor="text1"/>
          <w:sz w:val="20"/>
          <w:szCs w:val="20"/>
        </w:rPr>
        <w:t xml:space="preserve"> </w:t>
      </w:r>
    </w:p>
    <w:p w14:paraId="2EBE1F39" w14:textId="5363880D" w:rsidR="00716C32" w:rsidRPr="00C80742" w:rsidRDefault="00716C32" w:rsidP="00716C32">
      <w:pPr>
        <w:spacing w:before="54" w:after="0" w:line="276" w:lineRule="auto"/>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The power output of a wind turbine is given by the equation</w:t>
      </w:r>
      <w:r w:rsidR="0035641B">
        <w:rPr>
          <w:rFonts w:ascii="Times New Roman" w:hAnsi="Times New Roman" w:cs="Times New Roman"/>
          <w:color w:val="000000" w:themeColor="text1"/>
          <w:sz w:val="20"/>
          <w:szCs w:val="20"/>
        </w:rPr>
        <w:t xml:space="preserve"> [8]</w:t>
      </w:r>
      <w:r w:rsidRPr="00DB3C5A">
        <w:rPr>
          <w:rFonts w:ascii="Times New Roman" w:hAnsi="Times New Roman" w:cs="Times New Roman"/>
          <w:color w:val="000000" w:themeColor="text1"/>
          <w:sz w:val="20"/>
          <w:szCs w:val="20"/>
        </w:rPr>
        <w:t xml:space="preserve">: </w:t>
      </w:r>
    </w:p>
    <w:p w14:paraId="4EC08F58" w14:textId="4ED44BD4" w:rsidR="00716C32" w:rsidRPr="00155805" w:rsidRDefault="00716C32" w:rsidP="00716C32">
      <w:pPr>
        <w:spacing w:before="54" w:after="0" w:line="276" w:lineRule="auto"/>
        <w:jc w:val="both"/>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P</m:t>
        </m:r>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r>
              <m:rPr>
                <m:sty m:val="p"/>
              </m:rPr>
              <w:rPr>
                <w:rFonts w:ascii="Cambria Math" w:hAnsi="Cambria Math" w:cs="Times New Roman"/>
                <w:color w:val="000000" w:themeColor="text1"/>
                <w:sz w:val="20"/>
                <w:szCs w:val="20"/>
              </w:rPr>
              <m:t>2</m:t>
            </m:r>
          </m:den>
        </m:f>
        <m:r>
          <w:rPr>
            <w:rFonts w:ascii="Cambria Math" w:hAnsi="Cambria Math" w:cs="Times New Roman"/>
            <w:color w:val="000000" w:themeColor="text1"/>
            <w:sz w:val="20"/>
            <w:szCs w:val="20"/>
          </w:rPr>
          <m:t>ρA</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v</m:t>
            </m:r>
          </m:e>
          <m:sup>
            <m:r>
              <m:rPr>
                <m:sty m:val="p"/>
              </m:rPr>
              <w:rPr>
                <w:rFonts w:ascii="Cambria Math" w:hAnsi="Cambria Math" w:cs="Times New Roman"/>
                <w:color w:val="000000" w:themeColor="text1"/>
                <w:sz w:val="20"/>
                <w:szCs w:val="20"/>
              </w:rPr>
              <m:t>3</m:t>
            </m:r>
          </m:sup>
        </m:sSup>
      </m:oMath>
      <w:r w:rsidRPr="00155805">
        <w:rPr>
          <w:rFonts w:ascii="Times New Roman" w:hAnsi="Times New Roman" w:cs="Times New Roman"/>
          <w:color w:val="000000" w:themeColor="text1"/>
          <w:sz w:val="20"/>
          <w:szCs w:val="20"/>
        </w:rPr>
        <w:t xml:space="preserve">                                                                                  </w:t>
      </w:r>
      <w:r w:rsidRPr="00C80742">
        <w:rPr>
          <w:rFonts w:ascii="Times New Roman" w:hAnsi="Times New Roman" w:cs="Times New Roman"/>
          <w:color w:val="000000" w:themeColor="text1"/>
          <w:sz w:val="20"/>
          <w:szCs w:val="20"/>
        </w:rPr>
        <w:t xml:space="preserve">       </w:t>
      </w:r>
      <w:r w:rsidRPr="00155805">
        <w:rPr>
          <w:rFonts w:ascii="Times New Roman" w:hAnsi="Times New Roman" w:cs="Times New Roman"/>
          <w:color w:val="000000" w:themeColor="text1"/>
          <w:sz w:val="20"/>
          <w:szCs w:val="20"/>
        </w:rPr>
        <w:t xml:space="preserve">                                                      </w:t>
      </w:r>
      <w:r w:rsidR="00006530">
        <w:rPr>
          <w:rFonts w:ascii="Times New Roman" w:hAnsi="Times New Roman" w:cs="Times New Roman"/>
          <w:color w:val="000000" w:themeColor="text1"/>
          <w:sz w:val="20"/>
          <w:szCs w:val="20"/>
        </w:rPr>
        <w:t xml:space="preserve">                </w:t>
      </w:r>
      <w:r w:rsidRPr="00155805">
        <w:rPr>
          <w:rFonts w:ascii="Times New Roman" w:hAnsi="Times New Roman" w:cs="Times New Roman"/>
          <w:color w:val="000000" w:themeColor="text1"/>
          <w:sz w:val="20"/>
          <w:szCs w:val="20"/>
        </w:rPr>
        <w:t xml:space="preserve">  </w:t>
      </w:r>
      <w:r w:rsidR="00006530">
        <w:rPr>
          <w:rFonts w:ascii="Times New Roman" w:hAnsi="Times New Roman" w:cs="Times New Roman"/>
          <w:color w:val="000000" w:themeColor="text1"/>
          <w:sz w:val="20"/>
          <w:szCs w:val="20"/>
        </w:rPr>
        <w:t xml:space="preserve">   </w:t>
      </w:r>
      <w:r w:rsidRPr="00155805">
        <w:rPr>
          <w:rFonts w:ascii="Times New Roman" w:hAnsi="Times New Roman" w:cs="Times New Roman"/>
          <w:color w:val="000000" w:themeColor="text1"/>
          <w:sz w:val="20"/>
          <w:szCs w:val="20"/>
        </w:rPr>
        <w:t xml:space="preserve">        (1)</w:t>
      </w:r>
    </w:p>
    <w:p w14:paraId="4C48014E" w14:textId="77777777" w:rsidR="00716C32" w:rsidRPr="00DB3C5A" w:rsidRDefault="00716C32" w:rsidP="00716C32">
      <w:pPr>
        <w:spacing w:before="54" w:after="0" w:line="276" w:lineRule="auto"/>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 xml:space="preserve">Where: </w:t>
      </w:r>
    </w:p>
    <w:p w14:paraId="0166DB1E" w14:textId="77777777" w:rsidR="00716C32" w:rsidRPr="00DB3C5A" w:rsidRDefault="00716C32" w:rsidP="00716C32">
      <w:pPr>
        <w:spacing w:before="54" w:after="0" w:line="276" w:lineRule="auto"/>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P is the power output in watts</w:t>
      </w:r>
    </w:p>
    <w:p w14:paraId="61F0AFD7" w14:textId="77777777" w:rsidR="00716C32" w:rsidRPr="00DB3C5A" w:rsidRDefault="00716C32" w:rsidP="00716C32">
      <w:pPr>
        <w:spacing w:before="54" w:after="0" w:line="276" w:lineRule="auto"/>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ρ is the air density in kg/m^3 (typically 1.225 kg/m^3 at sea level)</w:t>
      </w:r>
    </w:p>
    <w:p w14:paraId="6996AFCF" w14:textId="77777777" w:rsidR="00716C32" w:rsidRPr="00DB3C5A" w:rsidRDefault="00716C32" w:rsidP="00716C32">
      <w:pPr>
        <w:spacing w:before="54" w:after="0" w:line="276" w:lineRule="auto"/>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A is the swept area of the rotor blades in m^2</w:t>
      </w:r>
    </w:p>
    <w:p w14:paraId="54E3824C" w14:textId="77777777" w:rsidR="00716C32" w:rsidRPr="00DB3C5A" w:rsidRDefault="00716C32" w:rsidP="00716C32">
      <w:pPr>
        <w:spacing w:before="54" w:after="0" w:line="276" w:lineRule="auto"/>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Cp is the power coefficient</w:t>
      </w:r>
    </w:p>
    <w:p w14:paraId="370A7F3E" w14:textId="77777777" w:rsidR="00716C32" w:rsidRPr="00DB3C5A" w:rsidRDefault="00716C32" w:rsidP="00716C32">
      <w:pPr>
        <w:spacing w:before="54" w:after="0" w:line="276" w:lineRule="auto"/>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V is the wind velocity in m/s</w:t>
      </w:r>
    </w:p>
    <w:p w14:paraId="7EF3C124" w14:textId="26765A02" w:rsidR="00DA52F4" w:rsidRDefault="00716C32" w:rsidP="00716C3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716C32">
        <w:rPr>
          <w:rFonts w:ascii="Times New Roman" w:hAnsi="Times New Roman" w:cs="Times New Roman"/>
          <w:b/>
          <w:bCs/>
          <w:color w:val="000000" w:themeColor="text1"/>
          <w:sz w:val="20"/>
          <w:szCs w:val="20"/>
        </w:rPr>
        <w:t>Power coefficient and Betz limit</w:t>
      </w:r>
    </w:p>
    <w:p w14:paraId="2A51289F" w14:textId="77777777" w:rsidR="00716C32" w:rsidRPr="00C80742" w:rsidRDefault="00716C32" w:rsidP="00716C32">
      <w:pPr>
        <w:spacing w:after="0" w:line="240" w:lineRule="auto"/>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The power coefficient (Cp) expresses the fraction of wind power extracted by the turbine. It is a function of the tip speed ratio and blade pitch angle. The theoretical maximum Cp, known as the Betz limit, is 0.593 or 59.3%</w:t>
      </w:r>
      <w:r w:rsidRPr="00C80742">
        <w:rPr>
          <w:rFonts w:ascii="Times New Roman" w:hAnsi="Times New Roman" w:cs="Times New Roman"/>
          <w:color w:val="000000" w:themeColor="text1"/>
          <w:sz w:val="20"/>
          <w:szCs w:val="20"/>
        </w:rPr>
        <w:t xml:space="preserve">. </w:t>
      </w:r>
      <w:r w:rsidRPr="00DB3C5A">
        <w:rPr>
          <w:rFonts w:ascii="Times New Roman" w:hAnsi="Times New Roman" w:cs="Times New Roman"/>
          <w:color w:val="000000" w:themeColor="text1"/>
          <w:sz w:val="20"/>
          <w:szCs w:val="20"/>
        </w:rPr>
        <w:t xml:space="preserve">Modern wind turbines typically achieve Cp values between 0.25 and 0.45 in normal operating conditions. </w:t>
      </w:r>
    </w:p>
    <w:p w14:paraId="06901B3B" w14:textId="77777777" w:rsidR="00716C32" w:rsidRPr="00C80742" w:rsidRDefault="00716C32" w:rsidP="00716C32">
      <w:pPr>
        <w:spacing w:after="0" w:line="240" w:lineRule="auto"/>
        <w:rPr>
          <w:rFonts w:ascii="Times New Roman" w:hAnsi="Times New Roman" w:cs="Times New Roman"/>
          <w:color w:val="000000" w:themeColor="text1"/>
          <w:sz w:val="20"/>
          <w:szCs w:val="20"/>
        </w:rPr>
      </w:pPr>
    </w:p>
    <w:p w14:paraId="61715423" w14:textId="122DADA2" w:rsidR="00716C32" w:rsidRPr="00155805" w:rsidRDefault="00716C32" w:rsidP="00716C32">
      <w:pPr>
        <w:spacing w:after="0" w:line="240" w:lineRule="auto"/>
        <w:rPr>
          <w:rFonts w:ascii="Times New Roman" w:hAnsi="Times New Roman" w:cs="Times New Roman"/>
          <w:color w:val="000000" w:themeColor="text1"/>
          <w:sz w:val="20"/>
          <w:szCs w:val="20"/>
        </w:rPr>
      </w:pP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p</m:t>
            </m:r>
          </m:sub>
        </m:sSub>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t</m:t>
                </m:r>
              </m:sub>
            </m:sSub>
          </m:num>
          <m:den>
            <m:r>
              <w:rPr>
                <w:rFonts w:ascii="Cambria Math" w:hAnsi="Cambria Math" w:cs="Times New Roman"/>
                <w:color w:val="000000" w:themeColor="text1"/>
                <w:sz w:val="20"/>
                <w:szCs w:val="20"/>
              </w:rPr>
              <m:t>P</m:t>
            </m:r>
          </m:den>
        </m:f>
      </m:oMath>
      <w:r w:rsidRPr="00155805">
        <w:rPr>
          <w:rFonts w:ascii="Times New Roman" w:hAnsi="Times New Roman" w:cs="Times New Roman"/>
          <w:color w:val="000000" w:themeColor="text1"/>
          <w:sz w:val="20"/>
          <w:szCs w:val="20"/>
        </w:rPr>
        <w:t xml:space="preserve">                                                                                                                                                   </w:t>
      </w:r>
      <w:r w:rsidR="00006530">
        <w:rPr>
          <w:rFonts w:ascii="Times New Roman" w:hAnsi="Times New Roman" w:cs="Times New Roman"/>
          <w:color w:val="000000" w:themeColor="text1"/>
          <w:sz w:val="20"/>
          <w:szCs w:val="20"/>
        </w:rPr>
        <w:t xml:space="preserve">                      </w:t>
      </w:r>
      <w:r w:rsidRPr="00155805">
        <w:rPr>
          <w:rFonts w:ascii="Times New Roman" w:hAnsi="Times New Roman" w:cs="Times New Roman"/>
          <w:color w:val="000000" w:themeColor="text1"/>
          <w:sz w:val="20"/>
          <w:szCs w:val="20"/>
        </w:rPr>
        <w:t xml:space="preserve">              (</w:t>
      </w:r>
      <w:r w:rsidRPr="00C80742">
        <w:rPr>
          <w:rFonts w:ascii="Times New Roman" w:hAnsi="Times New Roman" w:cs="Times New Roman"/>
          <w:color w:val="000000" w:themeColor="text1"/>
          <w:sz w:val="20"/>
          <w:szCs w:val="20"/>
        </w:rPr>
        <w:t>2</w:t>
      </w:r>
      <w:r w:rsidRPr="00155805">
        <w:rPr>
          <w:rFonts w:ascii="Times New Roman" w:hAnsi="Times New Roman" w:cs="Times New Roman"/>
          <w:color w:val="000000" w:themeColor="text1"/>
          <w:sz w:val="20"/>
          <w:szCs w:val="20"/>
        </w:rPr>
        <w:t>)</w:t>
      </w:r>
    </w:p>
    <w:p w14:paraId="495A5A90" w14:textId="79C455D8" w:rsidR="00716C32" w:rsidRPr="00716C32" w:rsidRDefault="00716C32" w:rsidP="00716C32">
      <w:pPr>
        <w:spacing w:after="0" w:line="240" w:lineRule="auto"/>
        <w:rPr>
          <w:rFonts w:ascii="Times New Roman" w:hAnsi="Times New Roman" w:cs="Times New Roman"/>
          <w:color w:val="000000" w:themeColor="text1"/>
          <w:sz w:val="20"/>
          <w:szCs w:val="20"/>
        </w:rPr>
      </w:pPr>
      <w:r w:rsidRPr="00C80742">
        <w:rPr>
          <w:rFonts w:ascii="Times New Roman" w:hAnsi="Times New Roman" w:cs="Times New Roman"/>
          <w:color w:val="000000" w:themeColor="text1"/>
          <w:sz w:val="20"/>
          <w:szCs w:val="20"/>
        </w:rPr>
        <w:lastRenderedPageBreak/>
        <w:t xml:space="preserve">Where: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t</m:t>
            </m:r>
          </m:sub>
        </m:sSub>
      </m:oMath>
      <w:r w:rsidRPr="00C80742">
        <w:rPr>
          <w:rFonts w:ascii="Times New Roman" w:hAnsi="Times New Roman" w:cs="Times New Roman"/>
          <w:color w:val="000000" w:themeColor="text1"/>
          <w:sz w:val="20"/>
          <w:szCs w:val="20"/>
        </w:rPr>
        <w:t xml:space="preserve"> = turbine power (W)</w:t>
      </w:r>
    </w:p>
    <w:p w14:paraId="24994199" w14:textId="608281E6" w:rsidR="00716C32" w:rsidRPr="00716C32" w:rsidRDefault="00716C32" w:rsidP="00716C3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DB3C5A">
        <w:rPr>
          <w:rFonts w:ascii="Times New Roman" w:hAnsi="Times New Roman" w:cs="Times New Roman"/>
          <w:b/>
          <w:bCs/>
          <w:color w:val="000000" w:themeColor="text1"/>
          <w:sz w:val="20"/>
          <w:szCs w:val="20"/>
        </w:rPr>
        <w:t>Tip speed ratio</w:t>
      </w:r>
    </w:p>
    <w:p w14:paraId="483EC3ED" w14:textId="77777777" w:rsidR="00716C32" w:rsidRPr="00C80742" w:rsidRDefault="00716C32" w:rsidP="00716C32">
      <w:pPr>
        <w:spacing w:after="0" w:line="240" w:lineRule="auto"/>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 xml:space="preserve">The tip speed ratio (λ) is the ratio between the tangential speed of the blade tip and the actual wind speed. It is calculated as: </w:t>
      </w:r>
    </w:p>
    <w:p w14:paraId="2AEF45CC" w14:textId="77777777" w:rsidR="00716C32" w:rsidRPr="00C80742" w:rsidRDefault="00716C32" w:rsidP="00716C32">
      <w:pPr>
        <w:spacing w:after="0" w:line="240" w:lineRule="auto"/>
        <w:rPr>
          <w:rFonts w:ascii="Times New Roman" w:hAnsi="Times New Roman" w:cs="Times New Roman"/>
          <w:color w:val="000000" w:themeColor="text1"/>
          <w:sz w:val="20"/>
          <w:szCs w:val="20"/>
        </w:rPr>
      </w:pPr>
    </w:p>
    <w:p w14:paraId="38556FC3" w14:textId="397E6F53" w:rsidR="00716C32" w:rsidRPr="00C80742" w:rsidRDefault="00716C32" w:rsidP="00716C32">
      <w:pPr>
        <w:spacing w:after="0" w:line="240" w:lineRule="auto"/>
        <w:rPr>
          <w:rFonts w:ascii="Times New Roman" w:hAnsi="Times New Roman" w:cs="Times New Roman"/>
          <w:color w:val="000000" w:themeColor="text1"/>
          <w:sz w:val="20"/>
          <w:szCs w:val="20"/>
        </w:rPr>
      </w:pPr>
      <m:oMath>
        <m:r>
          <m:rPr>
            <m:sty m:val="p"/>
          </m:rPr>
          <w:rPr>
            <w:rFonts w:ascii="Cambria Math" w:hAnsi="Cambria Math" w:cs="Times New Roman"/>
            <w:color w:val="000000" w:themeColor="text1"/>
            <w:sz w:val="20"/>
            <w:szCs w:val="20"/>
          </w:rPr>
          <m:t>λ</m:t>
        </m:r>
        <m:r>
          <m:rPr>
            <m:sty m:val="p"/>
          </m:rPr>
          <w:rPr>
            <w:rFonts w:ascii="Cambria Math" w:hAnsi="Times New Roman" w:cs="Times New Roman"/>
            <w:color w:val="000000" w:themeColor="text1"/>
            <w:sz w:val="20"/>
            <w:szCs w:val="20"/>
          </w:rPr>
          <m:t>=</m:t>
        </m:r>
        <m:f>
          <m:fPr>
            <m:ctrlPr>
              <w:rPr>
                <w:rFonts w:ascii="Cambria Math" w:hAnsi="Cambria Math" w:cs="Times New Roman"/>
                <w:color w:val="000000" w:themeColor="text1"/>
                <w:sz w:val="20"/>
                <w:szCs w:val="20"/>
              </w:rPr>
            </m:ctrlPr>
          </m:fPr>
          <m:num>
            <m:r>
              <w:rPr>
                <w:rFonts w:ascii="Cambria Math" w:hAnsi="Cambria Math" w:cs="Times New Roman"/>
                <w:color w:val="000000" w:themeColor="text1"/>
                <w:sz w:val="20"/>
                <w:szCs w:val="20"/>
              </w:rPr>
              <m:t>ω</m:t>
            </m:r>
            <m:r>
              <m:rPr>
                <m:sty m:val="p"/>
              </m:rPr>
              <w:rPr>
                <w:rFonts w:ascii="Cambria Math" w:hAnsi="Times New Roman" w:cs="Times New Roman"/>
                <w:color w:val="000000" w:themeColor="text1"/>
                <w:sz w:val="20"/>
                <w:szCs w:val="20"/>
              </w:rPr>
              <m:t>.</m:t>
            </m:r>
            <m:r>
              <w:rPr>
                <w:rFonts w:ascii="Cambria Math" w:hAnsi="Times New Roman" w:cs="Times New Roman"/>
                <w:color w:val="000000" w:themeColor="text1"/>
                <w:sz w:val="20"/>
                <w:szCs w:val="20"/>
              </w:rPr>
              <m:t>R</m:t>
            </m:r>
          </m:num>
          <m:den>
            <m:r>
              <w:rPr>
                <w:rFonts w:ascii="Cambria Math" w:hAnsi="Times New Roman" w:cs="Times New Roman"/>
                <w:color w:val="000000" w:themeColor="text1"/>
                <w:sz w:val="20"/>
                <w:szCs w:val="20"/>
              </w:rPr>
              <m:t>V</m:t>
            </m:r>
          </m:den>
        </m:f>
      </m:oMath>
      <w:r w:rsidRPr="00C80742">
        <w:rPr>
          <w:rFonts w:ascii="Times New Roman" w:hAnsi="Times New Roman" w:cs="Times New Roman"/>
          <w:color w:val="000000" w:themeColor="text1"/>
          <w:sz w:val="20"/>
          <w:szCs w:val="20"/>
        </w:rPr>
        <w:t xml:space="preserve">                                                                                                                                                                </w:t>
      </w:r>
      <w:r w:rsidR="00006530">
        <w:rPr>
          <w:rFonts w:ascii="Times New Roman" w:hAnsi="Times New Roman" w:cs="Times New Roman"/>
          <w:color w:val="000000" w:themeColor="text1"/>
          <w:sz w:val="20"/>
          <w:szCs w:val="20"/>
        </w:rPr>
        <w:t xml:space="preserve">              </w:t>
      </w:r>
      <w:r w:rsidRPr="00C80742">
        <w:rPr>
          <w:rFonts w:ascii="Times New Roman" w:hAnsi="Times New Roman" w:cs="Times New Roman"/>
          <w:color w:val="000000" w:themeColor="text1"/>
          <w:sz w:val="20"/>
          <w:szCs w:val="20"/>
        </w:rPr>
        <w:t xml:space="preserve">       (3)       </w:t>
      </w:r>
    </w:p>
    <w:p w14:paraId="40AD5EB6" w14:textId="77777777" w:rsidR="00716C32" w:rsidRPr="00DB3C5A" w:rsidRDefault="00716C32" w:rsidP="00716C32">
      <w:pPr>
        <w:spacing w:after="0" w:line="240" w:lineRule="auto"/>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 xml:space="preserve">Where: </w:t>
      </w:r>
    </w:p>
    <w:p w14:paraId="561741E9" w14:textId="77777777" w:rsidR="00716C32" w:rsidRPr="00DB3C5A" w:rsidRDefault="00716C32" w:rsidP="00716C32">
      <w:pPr>
        <w:spacing w:after="0" w:line="240" w:lineRule="auto"/>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ω is the angular velocity of the rotor in radians/second</w:t>
      </w:r>
    </w:p>
    <w:p w14:paraId="554860A9" w14:textId="77777777" w:rsidR="00716C32" w:rsidRPr="00DB3C5A" w:rsidRDefault="00716C32" w:rsidP="00716C32">
      <w:pPr>
        <w:spacing w:after="0" w:line="240" w:lineRule="auto"/>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R is the rotor radius in meters</w:t>
      </w:r>
    </w:p>
    <w:p w14:paraId="54B10524" w14:textId="77777777" w:rsidR="00716C32" w:rsidRPr="00DB3C5A" w:rsidRDefault="00716C32" w:rsidP="00716C32">
      <w:pPr>
        <w:spacing w:after="0" w:line="240" w:lineRule="auto"/>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V is the wind speed in m/s</w:t>
      </w:r>
    </w:p>
    <w:p w14:paraId="261F1670" w14:textId="64A57235" w:rsidR="00716C32" w:rsidRPr="00C80742" w:rsidRDefault="00716C32" w:rsidP="00716C32">
      <w:pPr>
        <w:spacing w:after="0" w:line="240" w:lineRule="auto"/>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The optimal tip speed ratio varies with blade design and typically ranges from 6 to 8 for modern three-bladed turbines</w:t>
      </w:r>
      <w:r w:rsidRPr="00C80742">
        <w:rPr>
          <w:rFonts w:ascii="Times New Roman" w:hAnsi="Times New Roman" w:cs="Times New Roman"/>
          <w:color w:val="000000" w:themeColor="text1"/>
          <w:sz w:val="20"/>
          <w:szCs w:val="20"/>
        </w:rPr>
        <w:t>. Maintaining the optimal tip speed ratio is crucial for maximizing the power coefficient and overall turbine efficiency across different wind speeds</w:t>
      </w:r>
      <w:r w:rsidR="0035641B">
        <w:rPr>
          <w:rFonts w:ascii="Times New Roman" w:hAnsi="Times New Roman" w:cs="Times New Roman"/>
          <w:color w:val="000000" w:themeColor="text1"/>
          <w:sz w:val="20"/>
          <w:szCs w:val="20"/>
        </w:rPr>
        <w:t xml:space="preserve"> [9]</w:t>
      </w:r>
      <w:r w:rsidRPr="00C80742">
        <w:rPr>
          <w:rFonts w:ascii="Times New Roman" w:hAnsi="Times New Roman" w:cs="Times New Roman"/>
          <w:color w:val="000000" w:themeColor="text1"/>
          <w:sz w:val="20"/>
          <w:szCs w:val="20"/>
        </w:rPr>
        <w:t>.</w:t>
      </w:r>
    </w:p>
    <w:p w14:paraId="52757F22" w14:textId="7DD7546D" w:rsidR="00DA52F4" w:rsidRPr="001E51F3" w:rsidRDefault="00716C32"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716C32">
        <w:rPr>
          <w:rFonts w:ascii="Times New Roman" w:hAnsi="Times New Roman" w:cs="Times New Roman"/>
          <w:b/>
          <w:bCs/>
          <w:color w:val="000000" w:themeColor="text1"/>
          <w:sz w:val="24"/>
          <w:szCs w:val="24"/>
        </w:rPr>
        <w:t>PERFORMANCES CHARACTERIZATION METHODS</w:t>
      </w:r>
    </w:p>
    <w:p w14:paraId="78E51081" w14:textId="0A714A69" w:rsidR="006A6434" w:rsidRPr="001E51F3" w:rsidRDefault="0006754D" w:rsidP="00417224">
      <w:pPr>
        <w:spacing w:before="54" w:after="0" w:line="276" w:lineRule="auto"/>
        <w:jc w:val="both"/>
        <w:rPr>
          <w:rFonts w:ascii="Times New Roman" w:hAnsi="Times New Roman" w:cs="Times New Roman"/>
          <w:color w:val="000000" w:themeColor="text1"/>
          <w:sz w:val="20"/>
          <w:szCs w:val="20"/>
        </w:rPr>
      </w:pPr>
      <w:r w:rsidRPr="0006754D">
        <w:rPr>
          <w:rFonts w:ascii="Times New Roman" w:hAnsi="Times New Roman" w:cs="Times New Roman"/>
          <w:color w:val="000000" w:themeColor="text1"/>
          <w:sz w:val="20"/>
          <w:szCs w:val="20"/>
        </w:rPr>
        <w:t>Wind turbine performance characterization involves several key methods that provide comprehensive insights into turbine efficiency and energy production. Power curve analysis, a fundamental technique, examines the relationship between wind speed and power output. This method employs various approaches such as the binning method, curve fitting techniques, and advanced segmentation modeling to accurately represent turbine performance across different wind speeds. Annual energy production (AEP) estimation is another crucial aspect of performance characterization, utilizing methods ranging from simplified formulas based on mean annual wind speed to more sophisticated approaches involving SCADA data analysis and Weibull distribution modeling. These techniques help assess turbine performance and wind farm viability under various environmental conditions. Efficiency evaluation techniques form the third pillar of performance characterization, encompassing power coefficient analysis, productive efficiency metrics, wake effect assessments, and Computational Fluid Dynamics (CFD) simulations</w:t>
      </w:r>
      <w:r w:rsidR="00EF52CD">
        <w:rPr>
          <w:rFonts w:ascii="Times New Roman" w:hAnsi="Times New Roman" w:cs="Times New Roman"/>
          <w:color w:val="000000" w:themeColor="text1"/>
          <w:sz w:val="20"/>
          <w:szCs w:val="20"/>
        </w:rPr>
        <w:t xml:space="preserve"> and </w:t>
      </w:r>
      <w:r w:rsidR="00EF52CD">
        <w:rPr>
          <w:rFonts w:ascii="Times New Roman" w:hAnsi="Times New Roman" w:cs="Times New Roman"/>
          <w:color w:val="000000" w:themeColor="text1"/>
          <w:sz w:val="20"/>
          <w:szCs w:val="20"/>
        </w:rPr>
        <w:t xml:space="preserve"> genetic algorithm</w:t>
      </w:r>
      <w:r w:rsidRPr="0006754D">
        <w:rPr>
          <w:rFonts w:ascii="Times New Roman" w:hAnsi="Times New Roman" w:cs="Times New Roman"/>
          <w:color w:val="000000" w:themeColor="text1"/>
          <w:sz w:val="20"/>
          <w:szCs w:val="20"/>
        </w:rPr>
        <w:t>. These methods allow for a detailed examination of turbine efficiency, considering factors such as the theoretical maximum power output (Betz limit), performance across the entire wind spectrum, and the impact of wind farm layout on individual turbine performance. By combining these diverse methods, researchers and engineers can gain a comprehensive understanding of wind turbine performance, enabling optimization of design, operation, and wind farm planning to maximize energy production and overall system efficiency</w:t>
      </w:r>
      <w:r w:rsidR="0035641B">
        <w:rPr>
          <w:rFonts w:ascii="Times New Roman" w:hAnsi="Times New Roman" w:cs="Times New Roman"/>
          <w:color w:val="000000" w:themeColor="text1"/>
          <w:sz w:val="20"/>
          <w:szCs w:val="20"/>
        </w:rPr>
        <w:t xml:space="preserve"> [10]</w:t>
      </w:r>
      <w:r w:rsidRPr="0006754D">
        <w:rPr>
          <w:rFonts w:ascii="Times New Roman" w:hAnsi="Times New Roman" w:cs="Times New Roman"/>
          <w:color w:val="000000" w:themeColor="text1"/>
          <w:sz w:val="20"/>
          <w:szCs w:val="20"/>
        </w:rPr>
        <w:t>.</w:t>
      </w:r>
    </w:p>
    <w:p w14:paraId="2F3C66E8" w14:textId="0AE3F1AD" w:rsidR="00DA52F4" w:rsidRPr="001E51F3" w:rsidRDefault="0006754D"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06754D">
        <w:rPr>
          <w:rFonts w:ascii="Times New Roman" w:hAnsi="Times New Roman" w:cs="Times New Roman"/>
          <w:b/>
          <w:bCs/>
          <w:color w:val="000000" w:themeColor="text1"/>
          <w:sz w:val="24"/>
          <w:szCs w:val="24"/>
        </w:rPr>
        <w:t>PARAMETRIC ANALYSIS</w:t>
      </w:r>
    </w:p>
    <w:p w14:paraId="3FAFEECA" w14:textId="0FBFA898" w:rsidR="0006754D" w:rsidRDefault="0006754D" w:rsidP="0006754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06754D">
        <w:rPr>
          <w:rFonts w:ascii="Times New Roman" w:hAnsi="Times New Roman" w:cs="Times New Roman"/>
          <w:b/>
          <w:bCs/>
          <w:color w:val="000000" w:themeColor="text1"/>
          <w:sz w:val="20"/>
          <w:szCs w:val="20"/>
        </w:rPr>
        <w:t>Influence of rotor diameter</w:t>
      </w:r>
    </w:p>
    <w:p w14:paraId="26E980A3" w14:textId="425AB940" w:rsidR="0006754D" w:rsidRPr="00C4116C" w:rsidRDefault="0006754D" w:rsidP="0006754D">
      <w:pPr>
        <w:spacing w:before="54" w:after="0" w:line="276" w:lineRule="auto"/>
        <w:jc w:val="both"/>
        <w:rPr>
          <w:rFonts w:ascii="Times New Roman" w:hAnsi="Times New Roman" w:cs="Times New Roman"/>
          <w:color w:val="000000" w:themeColor="text1"/>
          <w:sz w:val="20"/>
          <w:szCs w:val="20"/>
        </w:rPr>
      </w:pPr>
      <w:r w:rsidRPr="00C4116C">
        <w:rPr>
          <w:rFonts w:ascii="Times New Roman" w:hAnsi="Times New Roman" w:cs="Times New Roman"/>
          <w:color w:val="000000" w:themeColor="text1"/>
          <w:sz w:val="20"/>
          <w:szCs w:val="20"/>
        </w:rPr>
        <w:t>The rotor diameter significantly impacts wind turbine performance. As the rotor diameter increases, the swept area grows quadratically, leading to a substantial increase in power output. For instance, doubling the rotor diameter can potentially increase power output by a factor of four. However, larger rotors also increase structural loads and manufacturing costs, necessitating a balance between performance gains and practical constraints</w:t>
      </w:r>
      <w:r w:rsidR="0035641B">
        <w:rPr>
          <w:rFonts w:ascii="Times New Roman" w:hAnsi="Times New Roman" w:cs="Times New Roman"/>
          <w:color w:val="000000" w:themeColor="text1"/>
          <w:sz w:val="20"/>
          <w:szCs w:val="20"/>
        </w:rPr>
        <w:t xml:space="preserve"> [11]</w:t>
      </w:r>
    </w:p>
    <w:p w14:paraId="2B09EA5C" w14:textId="77777777" w:rsidR="0006754D" w:rsidRDefault="0006754D" w:rsidP="0006754D">
      <w:pPr>
        <w:pStyle w:val="ListParagraph"/>
        <w:spacing w:before="54" w:after="0" w:line="276" w:lineRule="auto"/>
        <w:ind w:left="360"/>
        <w:jc w:val="both"/>
        <w:rPr>
          <w:rFonts w:ascii="Times New Roman" w:hAnsi="Times New Roman" w:cs="Times New Roman"/>
          <w:b/>
          <w:bCs/>
          <w:color w:val="000000" w:themeColor="text1"/>
          <w:sz w:val="20"/>
          <w:szCs w:val="20"/>
        </w:rPr>
      </w:pPr>
    </w:p>
    <w:p w14:paraId="19098023" w14:textId="4017F3A0" w:rsidR="0006754D" w:rsidRDefault="0006754D" w:rsidP="0006754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06754D">
        <w:rPr>
          <w:rFonts w:ascii="Times New Roman" w:hAnsi="Times New Roman" w:cs="Times New Roman"/>
          <w:b/>
          <w:bCs/>
          <w:color w:val="000000" w:themeColor="text1"/>
          <w:sz w:val="20"/>
          <w:szCs w:val="20"/>
        </w:rPr>
        <w:t>Effect of air density variations</w:t>
      </w:r>
    </w:p>
    <w:p w14:paraId="01E04674" w14:textId="77777777" w:rsidR="0006754D" w:rsidRPr="00C4116C" w:rsidRDefault="0006754D" w:rsidP="0006754D">
      <w:pPr>
        <w:spacing w:before="54" w:after="0" w:line="276" w:lineRule="auto"/>
        <w:jc w:val="both"/>
        <w:rPr>
          <w:rFonts w:ascii="Times New Roman" w:hAnsi="Times New Roman" w:cs="Times New Roman"/>
          <w:color w:val="000000" w:themeColor="text1"/>
          <w:sz w:val="20"/>
          <w:szCs w:val="20"/>
        </w:rPr>
      </w:pPr>
      <w:r w:rsidRPr="00C4116C">
        <w:rPr>
          <w:rFonts w:ascii="Times New Roman" w:hAnsi="Times New Roman" w:cs="Times New Roman"/>
          <w:color w:val="000000" w:themeColor="text1"/>
          <w:sz w:val="20"/>
          <w:szCs w:val="20"/>
        </w:rPr>
        <w:t xml:space="preserve">Air density variations have a notable impact on wind turbine performance. Power output is directly proportional to air density, as shown in the wind turbine power equation. Seasonal and daily fluctuations in air density can lead to significant changes in energy production: </w:t>
      </w:r>
    </w:p>
    <w:p w14:paraId="13FB8A5D" w14:textId="77777777" w:rsidR="0006754D" w:rsidRPr="00C4116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In some locations, air density variations can cause up to 7% change in instantaneous power generation compared to average conditions</w:t>
      </w:r>
    </w:p>
    <w:p w14:paraId="33F7CA6F" w14:textId="77777777" w:rsidR="0006754D" w:rsidRPr="00C4116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Temperature changes affect air density, with colder air being denser and resulting in higher power output. For example, a 6 MW turbine can produce 131 MWh more energy in winter than estimated using average air density</w:t>
      </w:r>
    </w:p>
    <w:p w14:paraId="21A89259" w14:textId="619528E5" w:rsidR="0006754D" w:rsidRPr="0006754D"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Altitude also influences air density, with higher elevations having lower air density and reduced power output.</w:t>
      </w:r>
    </w:p>
    <w:p w14:paraId="1789EF28" w14:textId="77777777" w:rsidR="0006754D" w:rsidRDefault="0006754D" w:rsidP="0006754D">
      <w:pPr>
        <w:pStyle w:val="ListParagraph"/>
        <w:spacing w:before="54" w:after="0" w:line="276" w:lineRule="auto"/>
        <w:ind w:left="360"/>
        <w:jc w:val="both"/>
        <w:rPr>
          <w:rFonts w:ascii="Times New Roman" w:hAnsi="Times New Roman" w:cs="Times New Roman"/>
          <w:b/>
          <w:bCs/>
          <w:color w:val="000000" w:themeColor="text1"/>
          <w:sz w:val="20"/>
          <w:szCs w:val="20"/>
        </w:rPr>
      </w:pPr>
    </w:p>
    <w:p w14:paraId="2662A27A" w14:textId="39E083B2" w:rsidR="0006754D" w:rsidRDefault="0006754D" w:rsidP="0006754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06754D">
        <w:rPr>
          <w:rFonts w:ascii="Times New Roman" w:hAnsi="Times New Roman" w:cs="Times New Roman"/>
          <w:b/>
          <w:bCs/>
          <w:color w:val="000000" w:themeColor="text1"/>
          <w:sz w:val="20"/>
          <w:szCs w:val="20"/>
        </w:rPr>
        <w:t>Impact of wind speed distribution</w:t>
      </w:r>
    </w:p>
    <w:p w14:paraId="29641132" w14:textId="77777777" w:rsidR="0006754D" w:rsidRPr="00C4116C" w:rsidRDefault="0006754D" w:rsidP="0006754D">
      <w:pPr>
        <w:spacing w:before="54" w:after="0" w:line="276" w:lineRule="auto"/>
        <w:jc w:val="both"/>
        <w:rPr>
          <w:rFonts w:ascii="Times New Roman" w:hAnsi="Times New Roman" w:cs="Times New Roman"/>
          <w:color w:val="000000" w:themeColor="text1"/>
          <w:sz w:val="20"/>
          <w:szCs w:val="20"/>
        </w:rPr>
      </w:pPr>
      <w:r w:rsidRPr="00C4116C">
        <w:rPr>
          <w:rFonts w:ascii="Times New Roman" w:hAnsi="Times New Roman" w:cs="Times New Roman"/>
          <w:color w:val="000000" w:themeColor="text1"/>
          <w:sz w:val="20"/>
          <w:szCs w:val="20"/>
        </w:rPr>
        <w:t xml:space="preserve">Wind speed distribution is crucial for turbine performance and energy production estimation: </w:t>
      </w:r>
    </w:p>
    <w:p w14:paraId="7EF46262" w14:textId="77777777" w:rsidR="0006754D" w:rsidRPr="006B43C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Power output has a cubic relationship with wind speed, making accurate wind speed assessment critical.</w:t>
      </w:r>
    </w:p>
    <w:p w14:paraId="006F44CA" w14:textId="77777777" w:rsidR="0006754D" w:rsidRPr="006B43C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The Weibull distribution is commonly used to model wind speed probability, allowing for more precise annual energy production estimates</w:t>
      </w:r>
    </w:p>
    <w:p w14:paraId="47AE9E2C" w14:textId="77777777" w:rsidR="0006754D" w:rsidRPr="006B43C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lastRenderedPageBreak/>
        <w:t>Cut-in, rated, and cut-out wind speeds define the operational range of a turbine, directly affecting its performance across various wind conditions.</w:t>
      </w:r>
    </w:p>
    <w:p w14:paraId="3589E2B2" w14:textId="77777777" w:rsidR="0006754D" w:rsidRDefault="0006754D" w:rsidP="0006754D">
      <w:pPr>
        <w:pStyle w:val="ListParagraph"/>
        <w:spacing w:before="54" w:after="0" w:line="276" w:lineRule="auto"/>
        <w:ind w:left="360"/>
        <w:jc w:val="both"/>
        <w:rPr>
          <w:rFonts w:ascii="Times New Roman" w:hAnsi="Times New Roman" w:cs="Times New Roman"/>
          <w:b/>
          <w:bCs/>
          <w:color w:val="000000" w:themeColor="text1"/>
          <w:sz w:val="20"/>
          <w:szCs w:val="20"/>
        </w:rPr>
      </w:pPr>
    </w:p>
    <w:p w14:paraId="21BB7FC1" w14:textId="322B2F2B" w:rsidR="0006754D" w:rsidRPr="0006754D" w:rsidRDefault="0006754D" w:rsidP="0006754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06754D">
        <w:rPr>
          <w:rFonts w:ascii="Times New Roman" w:hAnsi="Times New Roman" w:cs="Times New Roman"/>
          <w:b/>
          <w:bCs/>
          <w:color w:val="000000" w:themeColor="text1"/>
          <w:sz w:val="20"/>
          <w:szCs w:val="20"/>
        </w:rPr>
        <w:t>Role of turbine height</w:t>
      </w:r>
    </w:p>
    <w:p w14:paraId="6723D79A" w14:textId="03BBB4FA" w:rsidR="0006754D" w:rsidRPr="00C4116C" w:rsidRDefault="0006754D" w:rsidP="0006754D">
      <w:pPr>
        <w:spacing w:before="54" w:after="0" w:line="276" w:lineRule="auto"/>
        <w:jc w:val="both"/>
        <w:rPr>
          <w:rFonts w:ascii="Times New Roman" w:hAnsi="Times New Roman" w:cs="Times New Roman"/>
          <w:color w:val="000000" w:themeColor="text1"/>
          <w:sz w:val="20"/>
          <w:szCs w:val="20"/>
        </w:rPr>
      </w:pPr>
      <w:r w:rsidRPr="00C4116C">
        <w:rPr>
          <w:rFonts w:ascii="Times New Roman" w:hAnsi="Times New Roman" w:cs="Times New Roman"/>
          <w:color w:val="000000" w:themeColor="text1"/>
          <w:sz w:val="20"/>
          <w:szCs w:val="20"/>
        </w:rPr>
        <w:t>Turbine height plays a significant role in performance</w:t>
      </w:r>
      <w:r w:rsidR="0035641B">
        <w:rPr>
          <w:rFonts w:ascii="Times New Roman" w:hAnsi="Times New Roman" w:cs="Times New Roman"/>
          <w:color w:val="000000" w:themeColor="text1"/>
          <w:sz w:val="20"/>
          <w:szCs w:val="20"/>
        </w:rPr>
        <w:t xml:space="preserve"> [3,11]</w:t>
      </w:r>
      <w:r w:rsidRPr="00C4116C">
        <w:rPr>
          <w:rFonts w:ascii="Times New Roman" w:hAnsi="Times New Roman" w:cs="Times New Roman"/>
          <w:color w:val="000000" w:themeColor="text1"/>
          <w:sz w:val="20"/>
          <w:szCs w:val="20"/>
        </w:rPr>
        <w:t xml:space="preserve">: </w:t>
      </w:r>
    </w:p>
    <w:p w14:paraId="651314D9" w14:textId="77777777" w:rsidR="0006754D" w:rsidRPr="006B43C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Hub heights for utility-scale land-based wind turbines have increased by 83% since 1998-1999, reaching an average of 103.4 meters in 2023</w:t>
      </w:r>
    </w:p>
    <w:p w14:paraId="2813BAE0" w14:textId="77777777" w:rsidR="0006754D" w:rsidRPr="006B43C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Taller towers access stronger and less turbulent winds due to reduced surface friction, a phenomenon known as wind shear</w:t>
      </w:r>
    </w:p>
    <w:p w14:paraId="17F4E863" w14:textId="77777777" w:rsidR="0006754D" w:rsidRPr="006B43C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Increased hub height can lead to substantial improvements in energy capture, especially in areas with high wind shear.</w:t>
      </w:r>
    </w:p>
    <w:p w14:paraId="2983DC9B" w14:textId="77777777" w:rsidR="0006754D" w:rsidRPr="00C4116C" w:rsidRDefault="0006754D" w:rsidP="0006754D">
      <w:pPr>
        <w:numPr>
          <w:ilvl w:val="0"/>
          <w:numId w:val="25"/>
        </w:numPr>
        <w:spacing w:before="100" w:beforeAutospacing="1" w:after="100" w:afterAutospacing="1" w:line="240" w:lineRule="auto"/>
        <w:jc w:val="both"/>
        <w:rPr>
          <w:rFonts w:ascii="Times New Roman" w:eastAsia="Times New Roman" w:hAnsi="Times New Roman" w:cs="Times New Roman"/>
          <w:sz w:val="20"/>
          <w:szCs w:val="20"/>
        </w:rPr>
      </w:pPr>
      <w:r w:rsidRPr="006B43CC">
        <w:rPr>
          <w:rFonts w:ascii="Times New Roman" w:eastAsia="Times New Roman" w:hAnsi="Times New Roman" w:cs="Times New Roman"/>
          <w:sz w:val="20"/>
          <w:szCs w:val="20"/>
        </w:rPr>
        <w:t>Offshore wind turbines are projected to reach even greater heights, with average hub heights expected to increase from 100 meters in 2016 to about 150 meters by 2035</w:t>
      </w:r>
    </w:p>
    <w:p w14:paraId="42B2FA74" w14:textId="77777777" w:rsidR="0006754D" w:rsidRPr="00C4116C" w:rsidRDefault="0006754D" w:rsidP="0006754D">
      <w:pPr>
        <w:spacing w:before="54" w:after="0" w:line="276" w:lineRule="auto"/>
        <w:jc w:val="both"/>
        <w:rPr>
          <w:rFonts w:ascii="Times New Roman" w:hAnsi="Times New Roman" w:cs="Times New Roman"/>
          <w:color w:val="000000" w:themeColor="text1"/>
          <w:sz w:val="20"/>
          <w:szCs w:val="20"/>
        </w:rPr>
      </w:pPr>
      <w:r w:rsidRPr="006B43CC">
        <w:rPr>
          <w:rFonts w:ascii="Times New Roman" w:hAnsi="Times New Roman" w:cs="Times New Roman"/>
          <w:color w:val="000000" w:themeColor="text1"/>
          <w:sz w:val="20"/>
          <w:szCs w:val="20"/>
        </w:rPr>
        <w:t>These parametric factors collectively influence wind turbine performance, highlighting the importance of comprehensive analysis and optimization in wind turbine design and siting.</w:t>
      </w:r>
    </w:p>
    <w:p w14:paraId="35E76934" w14:textId="77777777" w:rsidR="00FF754F" w:rsidRDefault="00FF754F" w:rsidP="006A6434">
      <w:pPr>
        <w:spacing w:before="54" w:after="0" w:line="276" w:lineRule="auto"/>
        <w:rPr>
          <w:rFonts w:ascii="Times New Roman" w:hAnsi="Times New Roman" w:cs="Times New Roman"/>
          <w:b/>
          <w:bCs/>
          <w:color w:val="000000" w:themeColor="text1"/>
          <w:sz w:val="20"/>
          <w:szCs w:val="20"/>
        </w:rPr>
      </w:pPr>
    </w:p>
    <w:p w14:paraId="2A689519" w14:textId="6B5C37FE" w:rsidR="00DA52F4" w:rsidRDefault="004C7399" w:rsidP="004C739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C7399">
        <w:rPr>
          <w:rFonts w:ascii="Times New Roman" w:hAnsi="Times New Roman" w:cs="Times New Roman"/>
          <w:b/>
          <w:bCs/>
          <w:color w:val="000000" w:themeColor="text1"/>
          <w:sz w:val="24"/>
          <w:szCs w:val="24"/>
        </w:rPr>
        <w:t>CASE STUDIES</w:t>
      </w:r>
    </w:p>
    <w:p w14:paraId="557BDA43" w14:textId="6F184F1F" w:rsidR="004C7399" w:rsidRPr="004C7399" w:rsidRDefault="004C7399" w:rsidP="004C7399">
      <w:pPr>
        <w:spacing w:before="54" w:after="0" w:line="276" w:lineRule="auto"/>
        <w:jc w:val="both"/>
        <w:rPr>
          <w:rFonts w:ascii="Times New Roman" w:hAnsi="Times New Roman" w:cs="Times New Roman"/>
          <w:color w:val="000000" w:themeColor="text1"/>
          <w:sz w:val="20"/>
          <w:szCs w:val="20"/>
        </w:rPr>
      </w:pPr>
      <w:r w:rsidRPr="004C7399">
        <w:rPr>
          <w:rFonts w:ascii="Times New Roman" w:hAnsi="Times New Roman" w:cs="Times New Roman"/>
          <w:color w:val="000000" w:themeColor="text1"/>
          <w:sz w:val="20"/>
          <w:szCs w:val="20"/>
        </w:rPr>
        <w:t xml:space="preserve">Table 1 provides a clear overview of the key specifications and features of the Northwind 100C wind turbine, highlighting its suitability for various applications in medium wind </w:t>
      </w:r>
      <w:r w:rsidR="00BB7101" w:rsidRPr="004C7399">
        <w:rPr>
          <w:rFonts w:ascii="Times New Roman" w:hAnsi="Times New Roman" w:cs="Times New Roman"/>
          <w:color w:val="000000" w:themeColor="text1"/>
          <w:sz w:val="20"/>
          <w:szCs w:val="20"/>
        </w:rPr>
        <w:t>regimes</w:t>
      </w:r>
      <w:r w:rsidR="00BB7101">
        <w:rPr>
          <w:rFonts w:ascii="Times New Roman" w:hAnsi="Times New Roman" w:cs="Times New Roman"/>
          <w:color w:val="000000" w:themeColor="text1"/>
          <w:sz w:val="20"/>
          <w:szCs w:val="20"/>
        </w:rPr>
        <w:t xml:space="preserve"> [</w:t>
      </w:r>
      <w:r w:rsidR="0035641B">
        <w:rPr>
          <w:rFonts w:ascii="Times New Roman" w:hAnsi="Times New Roman" w:cs="Times New Roman"/>
          <w:color w:val="000000" w:themeColor="text1"/>
          <w:sz w:val="20"/>
          <w:szCs w:val="20"/>
        </w:rPr>
        <w:t>12,13]</w:t>
      </w:r>
      <w:r w:rsidRPr="004C7399">
        <w:rPr>
          <w:rFonts w:ascii="Times New Roman" w:hAnsi="Times New Roman" w:cs="Times New Roman"/>
          <w:color w:val="000000" w:themeColor="text1"/>
          <w:sz w:val="20"/>
          <w:szCs w:val="20"/>
        </w:rPr>
        <w:t>.</w:t>
      </w:r>
    </w:p>
    <w:p w14:paraId="7A5C9B27" w14:textId="5F4CBE22" w:rsidR="00006530" w:rsidRPr="004C7399" w:rsidRDefault="004C7399" w:rsidP="00863D10">
      <w:pPr>
        <w:spacing w:before="54" w:after="0" w:line="276" w:lineRule="auto"/>
        <w:jc w:val="center"/>
        <w:rPr>
          <w:rFonts w:ascii="Times New Roman" w:hAnsi="Times New Roman" w:cs="Times New Roman"/>
          <w:color w:val="000000" w:themeColor="text1"/>
          <w:sz w:val="20"/>
          <w:szCs w:val="20"/>
        </w:rPr>
      </w:pPr>
      <w:r w:rsidRPr="00863D10">
        <w:rPr>
          <w:rFonts w:ascii="Times New Roman" w:hAnsi="Times New Roman" w:cs="Times New Roman"/>
          <w:b/>
          <w:bCs/>
          <w:color w:val="000000" w:themeColor="text1"/>
          <w:sz w:val="20"/>
          <w:szCs w:val="20"/>
        </w:rPr>
        <w:t>Table 1</w:t>
      </w:r>
      <w:r w:rsidRPr="004C7399">
        <w:rPr>
          <w:rFonts w:ascii="Times New Roman" w:hAnsi="Times New Roman" w:cs="Times New Roman"/>
          <w:color w:val="000000" w:themeColor="text1"/>
          <w:sz w:val="20"/>
          <w:szCs w:val="20"/>
        </w:rPr>
        <w:t>. Summary of the characteristics of the Northwind 100C wind turbine</w:t>
      </w:r>
    </w:p>
    <w:tbl>
      <w:tblPr>
        <w:tblStyle w:val="TableGrid"/>
        <w:tblW w:w="0" w:type="auto"/>
        <w:jc w:val="center"/>
        <w:tblLook w:val="04A0" w:firstRow="1" w:lastRow="0" w:firstColumn="1" w:lastColumn="0" w:noHBand="0" w:noVBand="1"/>
      </w:tblPr>
      <w:tblGrid>
        <w:gridCol w:w="2155"/>
        <w:gridCol w:w="4050"/>
      </w:tblGrid>
      <w:tr w:rsidR="004C7399" w14:paraId="58A09A7F" w14:textId="77777777" w:rsidTr="00006530">
        <w:trPr>
          <w:jc w:val="center"/>
        </w:trPr>
        <w:tc>
          <w:tcPr>
            <w:tcW w:w="2155" w:type="dxa"/>
            <w:vAlign w:val="center"/>
          </w:tcPr>
          <w:p w14:paraId="0C6CB463"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Characteristic</w:t>
            </w:r>
          </w:p>
        </w:tc>
        <w:tc>
          <w:tcPr>
            <w:tcW w:w="4050" w:type="dxa"/>
            <w:vAlign w:val="center"/>
          </w:tcPr>
          <w:p w14:paraId="4150ECFE"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Details</w:t>
            </w:r>
          </w:p>
        </w:tc>
      </w:tr>
      <w:tr w:rsidR="004C7399" w14:paraId="59C992BD" w14:textId="77777777" w:rsidTr="00006530">
        <w:trPr>
          <w:jc w:val="center"/>
        </w:trPr>
        <w:tc>
          <w:tcPr>
            <w:tcW w:w="2155" w:type="dxa"/>
            <w:vAlign w:val="center"/>
          </w:tcPr>
          <w:p w14:paraId="2453EC41"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Model</w:t>
            </w:r>
          </w:p>
        </w:tc>
        <w:tc>
          <w:tcPr>
            <w:tcW w:w="4050" w:type="dxa"/>
            <w:vAlign w:val="center"/>
          </w:tcPr>
          <w:p w14:paraId="429B4597"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Northwind 100C (NPS 100C-24)</w:t>
            </w:r>
          </w:p>
        </w:tc>
      </w:tr>
      <w:tr w:rsidR="004C7399" w14:paraId="3DFB7923" w14:textId="77777777" w:rsidTr="00006530">
        <w:trPr>
          <w:jc w:val="center"/>
        </w:trPr>
        <w:tc>
          <w:tcPr>
            <w:tcW w:w="2155" w:type="dxa"/>
            <w:vAlign w:val="center"/>
          </w:tcPr>
          <w:p w14:paraId="250F312E"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Rated Power Output</w:t>
            </w:r>
          </w:p>
        </w:tc>
        <w:tc>
          <w:tcPr>
            <w:tcW w:w="4050" w:type="dxa"/>
            <w:vAlign w:val="center"/>
          </w:tcPr>
          <w:p w14:paraId="52DE875A"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95 kW</w:t>
            </w:r>
          </w:p>
        </w:tc>
      </w:tr>
      <w:tr w:rsidR="004C7399" w14:paraId="4F1ADB26" w14:textId="77777777" w:rsidTr="00006530">
        <w:trPr>
          <w:jc w:val="center"/>
        </w:trPr>
        <w:tc>
          <w:tcPr>
            <w:tcW w:w="2155" w:type="dxa"/>
            <w:vAlign w:val="center"/>
          </w:tcPr>
          <w:p w14:paraId="73630DB3"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Rotor Diameter</w:t>
            </w:r>
          </w:p>
        </w:tc>
        <w:tc>
          <w:tcPr>
            <w:tcW w:w="4050" w:type="dxa"/>
            <w:vAlign w:val="center"/>
          </w:tcPr>
          <w:p w14:paraId="3A119200"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24.4 meters</w:t>
            </w:r>
          </w:p>
        </w:tc>
      </w:tr>
      <w:tr w:rsidR="004C7399" w14:paraId="43544F47" w14:textId="77777777" w:rsidTr="00006530">
        <w:trPr>
          <w:jc w:val="center"/>
        </w:trPr>
        <w:tc>
          <w:tcPr>
            <w:tcW w:w="2155" w:type="dxa"/>
            <w:vAlign w:val="center"/>
          </w:tcPr>
          <w:p w14:paraId="54560FC7"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Swept Area</w:t>
            </w:r>
          </w:p>
        </w:tc>
        <w:tc>
          <w:tcPr>
            <w:tcW w:w="4050" w:type="dxa"/>
            <w:vAlign w:val="center"/>
          </w:tcPr>
          <w:p w14:paraId="04A8305F"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467.6 m²</w:t>
            </w:r>
          </w:p>
        </w:tc>
      </w:tr>
      <w:tr w:rsidR="004C7399" w14:paraId="2BDDE654" w14:textId="77777777" w:rsidTr="00006530">
        <w:trPr>
          <w:jc w:val="center"/>
        </w:trPr>
        <w:tc>
          <w:tcPr>
            <w:tcW w:w="2155" w:type="dxa"/>
            <w:vAlign w:val="center"/>
          </w:tcPr>
          <w:p w14:paraId="14723B6D"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Number of Blades</w:t>
            </w:r>
          </w:p>
        </w:tc>
        <w:tc>
          <w:tcPr>
            <w:tcW w:w="4050" w:type="dxa"/>
            <w:vAlign w:val="center"/>
          </w:tcPr>
          <w:p w14:paraId="7D5E75E6"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3</w:t>
            </w:r>
          </w:p>
        </w:tc>
      </w:tr>
      <w:tr w:rsidR="004C7399" w14:paraId="7EB1FF65" w14:textId="77777777" w:rsidTr="00006530">
        <w:trPr>
          <w:jc w:val="center"/>
        </w:trPr>
        <w:tc>
          <w:tcPr>
            <w:tcW w:w="2155" w:type="dxa"/>
            <w:vAlign w:val="center"/>
          </w:tcPr>
          <w:p w14:paraId="7AD9DC09"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Cut-in Wind Speed</w:t>
            </w:r>
          </w:p>
        </w:tc>
        <w:tc>
          <w:tcPr>
            <w:tcW w:w="4050" w:type="dxa"/>
            <w:vAlign w:val="center"/>
          </w:tcPr>
          <w:p w14:paraId="12DB35F7"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3.0 m/s</w:t>
            </w:r>
          </w:p>
        </w:tc>
      </w:tr>
      <w:tr w:rsidR="004C7399" w14:paraId="25E34FD8" w14:textId="77777777" w:rsidTr="00006530">
        <w:trPr>
          <w:jc w:val="center"/>
        </w:trPr>
        <w:tc>
          <w:tcPr>
            <w:tcW w:w="2155" w:type="dxa"/>
            <w:vAlign w:val="center"/>
          </w:tcPr>
          <w:p w14:paraId="0D9FCE84"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Rated Wind Speed</w:t>
            </w:r>
          </w:p>
        </w:tc>
        <w:tc>
          <w:tcPr>
            <w:tcW w:w="4050" w:type="dxa"/>
            <w:vAlign w:val="center"/>
          </w:tcPr>
          <w:p w14:paraId="46C24524"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12.0 m/s</w:t>
            </w:r>
          </w:p>
        </w:tc>
      </w:tr>
      <w:tr w:rsidR="004C7399" w14:paraId="097212FE" w14:textId="77777777" w:rsidTr="00006530">
        <w:trPr>
          <w:jc w:val="center"/>
        </w:trPr>
        <w:tc>
          <w:tcPr>
            <w:tcW w:w="2155" w:type="dxa"/>
            <w:vAlign w:val="center"/>
          </w:tcPr>
          <w:p w14:paraId="1C7ADC2D"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Cut-out Wind Speed</w:t>
            </w:r>
          </w:p>
        </w:tc>
        <w:tc>
          <w:tcPr>
            <w:tcW w:w="4050" w:type="dxa"/>
            <w:vAlign w:val="center"/>
          </w:tcPr>
          <w:p w14:paraId="305D617F"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25.0 m/s</w:t>
            </w:r>
          </w:p>
        </w:tc>
      </w:tr>
      <w:tr w:rsidR="004C7399" w14:paraId="5DF7061D" w14:textId="77777777" w:rsidTr="00006530">
        <w:trPr>
          <w:jc w:val="center"/>
        </w:trPr>
        <w:tc>
          <w:tcPr>
            <w:tcW w:w="2155" w:type="dxa"/>
            <w:vAlign w:val="center"/>
          </w:tcPr>
          <w:p w14:paraId="784F432E"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Survival Wind Speed</w:t>
            </w:r>
          </w:p>
        </w:tc>
        <w:tc>
          <w:tcPr>
            <w:tcW w:w="4050" w:type="dxa"/>
            <w:vAlign w:val="center"/>
          </w:tcPr>
          <w:p w14:paraId="13D142A9"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52.5 m/s</w:t>
            </w:r>
          </w:p>
        </w:tc>
      </w:tr>
      <w:tr w:rsidR="004C7399" w14:paraId="37596626" w14:textId="77777777" w:rsidTr="00006530">
        <w:trPr>
          <w:jc w:val="center"/>
        </w:trPr>
        <w:tc>
          <w:tcPr>
            <w:tcW w:w="2155" w:type="dxa"/>
            <w:vAlign w:val="center"/>
          </w:tcPr>
          <w:p w14:paraId="68B273A1"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Generator Type</w:t>
            </w:r>
          </w:p>
        </w:tc>
        <w:tc>
          <w:tcPr>
            <w:tcW w:w="4050" w:type="dxa"/>
            <w:vAlign w:val="center"/>
          </w:tcPr>
          <w:p w14:paraId="210AD350"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Synchronous permanent magnet</w:t>
            </w:r>
          </w:p>
        </w:tc>
      </w:tr>
      <w:tr w:rsidR="004C7399" w14:paraId="592ED8D5" w14:textId="77777777" w:rsidTr="00006530">
        <w:trPr>
          <w:jc w:val="center"/>
        </w:trPr>
        <w:tc>
          <w:tcPr>
            <w:tcW w:w="2155" w:type="dxa"/>
            <w:vAlign w:val="center"/>
          </w:tcPr>
          <w:p w14:paraId="7BB0A195"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Voltage Output</w:t>
            </w:r>
          </w:p>
        </w:tc>
        <w:tc>
          <w:tcPr>
            <w:tcW w:w="4050" w:type="dxa"/>
            <w:vAlign w:val="center"/>
          </w:tcPr>
          <w:p w14:paraId="4233D2E8"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400 V</w:t>
            </w:r>
          </w:p>
        </w:tc>
      </w:tr>
      <w:tr w:rsidR="004C7399" w14:paraId="5E2D12EA" w14:textId="77777777" w:rsidTr="00006530">
        <w:trPr>
          <w:jc w:val="center"/>
        </w:trPr>
        <w:tc>
          <w:tcPr>
            <w:tcW w:w="2155" w:type="dxa"/>
            <w:vAlign w:val="center"/>
          </w:tcPr>
          <w:p w14:paraId="75415950"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Frequency</w:t>
            </w:r>
          </w:p>
        </w:tc>
        <w:tc>
          <w:tcPr>
            <w:tcW w:w="4050" w:type="dxa"/>
            <w:vAlign w:val="center"/>
          </w:tcPr>
          <w:p w14:paraId="670C4E84"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50 Hz</w:t>
            </w:r>
          </w:p>
        </w:tc>
      </w:tr>
      <w:tr w:rsidR="004C7399" w14:paraId="38DF13F8" w14:textId="77777777" w:rsidTr="00006530">
        <w:trPr>
          <w:jc w:val="center"/>
        </w:trPr>
        <w:tc>
          <w:tcPr>
            <w:tcW w:w="2155" w:type="dxa"/>
            <w:vAlign w:val="center"/>
          </w:tcPr>
          <w:p w14:paraId="023B899B"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Hub Height Options</w:t>
            </w:r>
          </w:p>
        </w:tc>
        <w:tc>
          <w:tcPr>
            <w:tcW w:w="4050" w:type="dxa"/>
            <w:vAlign w:val="center"/>
          </w:tcPr>
          <w:p w14:paraId="411AB6AE"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22 m, 29 m, or 37 m</w:t>
            </w:r>
          </w:p>
        </w:tc>
      </w:tr>
      <w:tr w:rsidR="004C7399" w14:paraId="31CBDF6B" w14:textId="77777777" w:rsidTr="00006530">
        <w:trPr>
          <w:jc w:val="center"/>
        </w:trPr>
        <w:tc>
          <w:tcPr>
            <w:tcW w:w="2155" w:type="dxa"/>
            <w:vAlign w:val="center"/>
          </w:tcPr>
          <w:p w14:paraId="610DEB02"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Applications</w:t>
            </w:r>
          </w:p>
        </w:tc>
        <w:tc>
          <w:tcPr>
            <w:tcW w:w="4050" w:type="dxa"/>
            <w:vAlign w:val="center"/>
          </w:tcPr>
          <w:p w14:paraId="6DFD845D" w14:textId="77777777" w:rsidR="004C7399" w:rsidRPr="004C7399" w:rsidRDefault="004C7399" w:rsidP="004C7399">
            <w:pPr>
              <w:spacing w:before="54" w:line="276" w:lineRule="auto"/>
              <w:jc w:val="both"/>
              <w:rPr>
                <w:rFonts w:ascii="Times New Roman" w:hAnsi="Times New Roman" w:cs="Times New Roman"/>
                <w:color w:val="000000" w:themeColor="text1"/>
              </w:rPr>
            </w:pPr>
            <w:r w:rsidRPr="004C7399">
              <w:rPr>
                <w:rFonts w:ascii="Times New Roman" w:hAnsi="Times New Roman" w:cs="Times New Roman"/>
                <w:color w:val="000000" w:themeColor="text1"/>
              </w:rPr>
              <w:t>Farms, businesses, schools, remote locations</w:t>
            </w:r>
          </w:p>
        </w:tc>
      </w:tr>
    </w:tbl>
    <w:p w14:paraId="5C62E9AC" w14:textId="77777777" w:rsidR="00863D10" w:rsidRDefault="00863D10" w:rsidP="00863D10">
      <w:pPr>
        <w:spacing w:before="54" w:after="0" w:line="276" w:lineRule="auto"/>
        <w:jc w:val="both"/>
        <w:rPr>
          <w:rFonts w:ascii="Times New Roman" w:hAnsi="Times New Roman" w:cs="Times New Roman"/>
          <w:color w:val="000000" w:themeColor="text1"/>
          <w:sz w:val="20"/>
          <w:szCs w:val="20"/>
        </w:rPr>
      </w:pPr>
    </w:p>
    <w:p w14:paraId="7546DA9E" w14:textId="59AB4D31" w:rsidR="004C7399" w:rsidRPr="00863D10" w:rsidRDefault="00863D10" w:rsidP="00863D10">
      <w:pPr>
        <w:spacing w:before="54" w:after="0" w:line="276" w:lineRule="auto"/>
        <w:jc w:val="both"/>
        <w:rPr>
          <w:rFonts w:ascii="Times New Roman" w:hAnsi="Times New Roman" w:cs="Times New Roman"/>
          <w:color w:val="000000" w:themeColor="text1"/>
          <w:sz w:val="20"/>
          <w:szCs w:val="20"/>
        </w:rPr>
      </w:pPr>
      <w:r w:rsidRPr="004C7399">
        <w:rPr>
          <w:rFonts w:ascii="Times New Roman" w:hAnsi="Times New Roman" w:cs="Times New Roman"/>
          <w:color w:val="000000" w:themeColor="text1"/>
          <w:sz w:val="20"/>
          <w:szCs w:val="20"/>
        </w:rPr>
        <w:t xml:space="preserve">The figure 1 depicts the power curve of the Northwind 100C, a 95-kW wind turbine. This graph illustrates the relationship between wind speed and power output, providing crucial information about the turbine's performance characteristics. The curve begins at the cut-in speed of approximately 3 m/s, which is the minimum wind speed at which the turbine starts generating electricity. As wind speed increases, the power output rises rapidly, following a roughly cubic relationship. The turbine reaches its rated power of 95 kW at around 15 m/s, known as the rated wind speed. Beyond this point, the power output remains relatively constant until it reaches the cut-out speed of 25 m/s, at which point the turbine shuts down for safety reasons. The Northwind 100C features a rotor diameter of about 21-24 meters, which contributes to its ability to capture wind energy effectively. It utilizes a direct-drive permanent magnet synchronous generator, eliminating the need for a gearbox and potentially improving reliability. The turbine is typically mounted on a tower with a hub height of around 37 meters, although this can vary depending on the specific installation site. This power curve is essential for predicting the turbine's energy </w:t>
      </w:r>
      <w:r w:rsidRPr="004C7399">
        <w:rPr>
          <w:rFonts w:ascii="Times New Roman" w:hAnsi="Times New Roman" w:cs="Times New Roman"/>
          <w:color w:val="000000" w:themeColor="text1"/>
          <w:sz w:val="20"/>
          <w:szCs w:val="20"/>
        </w:rPr>
        <w:lastRenderedPageBreak/>
        <w:t>production at different wind speeds and is a key tool for wind farm planners and operators in assessing the potential performance of the Northwind 100C in various wind conditions.</w:t>
      </w:r>
    </w:p>
    <w:p w14:paraId="722B0F1A" w14:textId="780F91ED" w:rsidR="004C7399" w:rsidRDefault="004C7399" w:rsidP="00863D10">
      <w:pPr>
        <w:tabs>
          <w:tab w:val="left" w:pos="2004"/>
        </w:tabs>
        <w:jc w:val="center"/>
      </w:pPr>
      <w:r w:rsidRPr="00863D10">
        <w:rPr>
          <w:rFonts w:ascii="Times New Roman" w:hAnsi="Times New Roman" w:cs="Times New Roman"/>
          <w:noProof/>
          <w:sz w:val="20"/>
          <w:szCs w:val="20"/>
        </w:rPr>
        <w:drawing>
          <wp:inline distT="0" distB="0" distL="0" distR="0" wp14:anchorId="396D5BF2" wp14:editId="336D1CB8">
            <wp:extent cx="5326380" cy="3992880"/>
            <wp:effectExtent l="0" t="0" r="0" b="0"/>
            <wp:docPr id="905813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3992880"/>
                    </a:xfrm>
                    <a:prstGeom prst="rect">
                      <a:avLst/>
                    </a:prstGeom>
                    <a:noFill/>
                    <a:ln>
                      <a:noFill/>
                    </a:ln>
                  </pic:spPr>
                </pic:pic>
              </a:graphicData>
            </a:graphic>
          </wp:inline>
        </w:drawing>
      </w:r>
    </w:p>
    <w:p w14:paraId="78EF49E2" w14:textId="77777777" w:rsidR="004C7399" w:rsidRPr="00417224" w:rsidRDefault="004C7399" w:rsidP="00417224">
      <w:pPr>
        <w:spacing w:before="54" w:after="0" w:line="276" w:lineRule="auto"/>
        <w:jc w:val="center"/>
        <w:rPr>
          <w:rFonts w:ascii="Times New Roman" w:hAnsi="Times New Roman" w:cs="Times New Roman"/>
          <w:b/>
          <w:bCs/>
          <w:color w:val="000000" w:themeColor="text1"/>
          <w:sz w:val="20"/>
          <w:szCs w:val="20"/>
        </w:rPr>
      </w:pPr>
      <w:r w:rsidRPr="00417224">
        <w:rPr>
          <w:rFonts w:ascii="Times New Roman" w:hAnsi="Times New Roman" w:cs="Times New Roman"/>
          <w:b/>
          <w:bCs/>
          <w:color w:val="000000" w:themeColor="text1"/>
          <w:sz w:val="20"/>
          <w:szCs w:val="20"/>
        </w:rPr>
        <w:t xml:space="preserve">Figure 1. </w:t>
      </w:r>
      <w:r w:rsidRPr="00417224">
        <w:rPr>
          <w:rFonts w:ascii="Times New Roman" w:hAnsi="Times New Roman" w:cs="Times New Roman"/>
          <w:color w:val="000000" w:themeColor="text1"/>
          <w:sz w:val="20"/>
          <w:szCs w:val="20"/>
        </w:rPr>
        <w:t>Wind Turbine Power Curve</w:t>
      </w:r>
    </w:p>
    <w:p w14:paraId="03E3F892" w14:textId="77777777" w:rsidR="004C7399" w:rsidRDefault="004C7399" w:rsidP="004C7399">
      <w:pPr>
        <w:spacing w:before="54" w:after="0" w:line="276" w:lineRule="auto"/>
        <w:jc w:val="both"/>
        <w:rPr>
          <w:rFonts w:ascii="Times New Roman" w:hAnsi="Times New Roman" w:cs="Times New Roman"/>
          <w:color w:val="000000" w:themeColor="text1"/>
          <w:sz w:val="20"/>
          <w:szCs w:val="20"/>
        </w:rPr>
      </w:pPr>
      <w:r w:rsidRPr="004C7399">
        <w:rPr>
          <w:rFonts w:ascii="Times New Roman" w:hAnsi="Times New Roman" w:cs="Times New Roman"/>
          <w:color w:val="000000" w:themeColor="text1"/>
          <w:sz w:val="20"/>
          <w:szCs w:val="20"/>
        </w:rPr>
        <w:t>The variation of power output with these parameters can be studied individually and in pairs using a Genetic Algorithm (GA). Table 2 summarizing typical values for the GA operators used in this optimization.</w:t>
      </w:r>
    </w:p>
    <w:p w14:paraId="424AB090" w14:textId="77777777" w:rsidR="00863D10" w:rsidRPr="004C7399" w:rsidRDefault="00863D10" w:rsidP="004C7399">
      <w:pPr>
        <w:spacing w:before="54" w:after="0" w:line="276" w:lineRule="auto"/>
        <w:jc w:val="both"/>
        <w:rPr>
          <w:rFonts w:ascii="Times New Roman" w:hAnsi="Times New Roman" w:cs="Times New Roman"/>
          <w:color w:val="000000" w:themeColor="text1"/>
          <w:sz w:val="20"/>
          <w:szCs w:val="20"/>
        </w:rPr>
      </w:pPr>
    </w:p>
    <w:p w14:paraId="5BC3A28C" w14:textId="77777777" w:rsidR="004C7399" w:rsidRPr="004C7399" w:rsidRDefault="004C7399" w:rsidP="00863D10">
      <w:pPr>
        <w:spacing w:before="54" w:after="0" w:line="276" w:lineRule="auto"/>
        <w:jc w:val="center"/>
        <w:rPr>
          <w:rFonts w:ascii="Times New Roman" w:hAnsi="Times New Roman" w:cs="Times New Roman"/>
          <w:color w:val="000000" w:themeColor="text1"/>
          <w:sz w:val="20"/>
          <w:szCs w:val="20"/>
        </w:rPr>
      </w:pPr>
      <w:r w:rsidRPr="00863D10">
        <w:rPr>
          <w:rFonts w:ascii="Times New Roman" w:hAnsi="Times New Roman" w:cs="Times New Roman"/>
          <w:b/>
          <w:bCs/>
          <w:color w:val="000000" w:themeColor="text1"/>
          <w:sz w:val="20"/>
          <w:szCs w:val="20"/>
        </w:rPr>
        <w:t>Table 2</w:t>
      </w:r>
      <w:r w:rsidRPr="004C7399">
        <w:rPr>
          <w:rFonts w:ascii="Times New Roman" w:hAnsi="Times New Roman" w:cs="Times New Roman"/>
          <w:color w:val="000000" w:themeColor="text1"/>
          <w:sz w:val="20"/>
          <w:szCs w:val="20"/>
        </w:rPr>
        <w:t>. Summary typical values for the GA operators</w:t>
      </w:r>
    </w:p>
    <w:tbl>
      <w:tblPr>
        <w:tblStyle w:val="TableGrid"/>
        <w:tblW w:w="0" w:type="auto"/>
        <w:jc w:val="center"/>
        <w:tblLook w:val="04A0" w:firstRow="1" w:lastRow="0" w:firstColumn="1" w:lastColumn="0" w:noHBand="0" w:noVBand="1"/>
      </w:tblPr>
      <w:tblGrid>
        <w:gridCol w:w="2605"/>
        <w:gridCol w:w="2160"/>
      </w:tblGrid>
      <w:tr w:rsidR="004C7399" w14:paraId="29ED0F36" w14:textId="77777777" w:rsidTr="00863D10">
        <w:trPr>
          <w:jc w:val="center"/>
        </w:trPr>
        <w:tc>
          <w:tcPr>
            <w:tcW w:w="2605" w:type="dxa"/>
            <w:vAlign w:val="center"/>
          </w:tcPr>
          <w:p w14:paraId="7B3FC6D2"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GA Parameter</w:t>
            </w:r>
          </w:p>
        </w:tc>
        <w:tc>
          <w:tcPr>
            <w:tcW w:w="2160" w:type="dxa"/>
            <w:vAlign w:val="center"/>
          </w:tcPr>
          <w:p w14:paraId="58BB710E"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Typical Value</w:t>
            </w:r>
          </w:p>
        </w:tc>
      </w:tr>
      <w:tr w:rsidR="004C7399" w14:paraId="7CE64C97" w14:textId="77777777" w:rsidTr="00863D10">
        <w:trPr>
          <w:jc w:val="center"/>
        </w:trPr>
        <w:tc>
          <w:tcPr>
            <w:tcW w:w="2605" w:type="dxa"/>
            <w:vAlign w:val="center"/>
          </w:tcPr>
          <w:p w14:paraId="066D5E64"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Mutation probability (Pm)</w:t>
            </w:r>
          </w:p>
        </w:tc>
        <w:tc>
          <w:tcPr>
            <w:tcW w:w="2160" w:type="dxa"/>
            <w:vAlign w:val="center"/>
          </w:tcPr>
          <w:p w14:paraId="2CCAD8A7"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0.03</w:t>
            </w:r>
          </w:p>
        </w:tc>
      </w:tr>
      <w:tr w:rsidR="004C7399" w14:paraId="3A9595C5" w14:textId="77777777" w:rsidTr="00863D10">
        <w:trPr>
          <w:jc w:val="center"/>
        </w:trPr>
        <w:tc>
          <w:tcPr>
            <w:tcW w:w="2605" w:type="dxa"/>
            <w:vAlign w:val="center"/>
          </w:tcPr>
          <w:p w14:paraId="2A153976"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Crossover probability (Pc)</w:t>
            </w:r>
          </w:p>
        </w:tc>
        <w:tc>
          <w:tcPr>
            <w:tcW w:w="2160" w:type="dxa"/>
            <w:vAlign w:val="center"/>
          </w:tcPr>
          <w:p w14:paraId="0B4A4068"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0.7</w:t>
            </w:r>
          </w:p>
        </w:tc>
      </w:tr>
      <w:tr w:rsidR="004C7399" w14:paraId="2E82CBC1" w14:textId="77777777" w:rsidTr="00863D10">
        <w:trPr>
          <w:jc w:val="center"/>
        </w:trPr>
        <w:tc>
          <w:tcPr>
            <w:tcW w:w="2605" w:type="dxa"/>
            <w:vAlign w:val="center"/>
          </w:tcPr>
          <w:p w14:paraId="179F850E"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Population size</w:t>
            </w:r>
          </w:p>
        </w:tc>
        <w:tc>
          <w:tcPr>
            <w:tcW w:w="2160" w:type="dxa"/>
            <w:vAlign w:val="center"/>
          </w:tcPr>
          <w:p w14:paraId="5DC01F6F"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200</w:t>
            </w:r>
          </w:p>
        </w:tc>
      </w:tr>
      <w:tr w:rsidR="004C7399" w14:paraId="15C66990" w14:textId="77777777" w:rsidTr="00863D10">
        <w:trPr>
          <w:jc w:val="center"/>
        </w:trPr>
        <w:tc>
          <w:tcPr>
            <w:tcW w:w="2605" w:type="dxa"/>
            <w:vAlign w:val="center"/>
          </w:tcPr>
          <w:p w14:paraId="6ACF6A33"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Number of iterations</w:t>
            </w:r>
          </w:p>
        </w:tc>
        <w:tc>
          <w:tcPr>
            <w:tcW w:w="2160" w:type="dxa"/>
            <w:vAlign w:val="center"/>
          </w:tcPr>
          <w:p w14:paraId="322A247C"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1000</w:t>
            </w:r>
          </w:p>
        </w:tc>
      </w:tr>
      <w:tr w:rsidR="004C7399" w14:paraId="03A63D94" w14:textId="77777777" w:rsidTr="00863D10">
        <w:trPr>
          <w:jc w:val="center"/>
        </w:trPr>
        <w:tc>
          <w:tcPr>
            <w:tcW w:w="2605" w:type="dxa"/>
            <w:vAlign w:val="center"/>
          </w:tcPr>
          <w:p w14:paraId="77CC7BD9"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Selection method</w:t>
            </w:r>
          </w:p>
        </w:tc>
        <w:tc>
          <w:tcPr>
            <w:tcW w:w="2160" w:type="dxa"/>
            <w:vAlign w:val="center"/>
          </w:tcPr>
          <w:p w14:paraId="7AB8190F"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Tournament</w:t>
            </w:r>
          </w:p>
        </w:tc>
      </w:tr>
      <w:tr w:rsidR="004C7399" w14:paraId="6AAA464C" w14:textId="77777777" w:rsidTr="00863D10">
        <w:trPr>
          <w:jc w:val="center"/>
        </w:trPr>
        <w:tc>
          <w:tcPr>
            <w:tcW w:w="2605" w:type="dxa"/>
            <w:vAlign w:val="center"/>
          </w:tcPr>
          <w:p w14:paraId="1B950440"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Crossover type</w:t>
            </w:r>
          </w:p>
        </w:tc>
        <w:tc>
          <w:tcPr>
            <w:tcW w:w="2160" w:type="dxa"/>
            <w:vAlign w:val="center"/>
          </w:tcPr>
          <w:p w14:paraId="3ED0C88B"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Two-point crossover</w:t>
            </w:r>
          </w:p>
        </w:tc>
      </w:tr>
      <w:tr w:rsidR="004C7399" w14:paraId="6E0B0FE3" w14:textId="77777777" w:rsidTr="00863D10">
        <w:trPr>
          <w:jc w:val="center"/>
        </w:trPr>
        <w:tc>
          <w:tcPr>
            <w:tcW w:w="2605" w:type="dxa"/>
            <w:vAlign w:val="center"/>
          </w:tcPr>
          <w:p w14:paraId="2157CE98"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Mutation type</w:t>
            </w:r>
          </w:p>
        </w:tc>
        <w:tc>
          <w:tcPr>
            <w:tcW w:w="2160" w:type="dxa"/>
            <w:vAlign w:val="center"/>
          </w:tcPr>
          <w:p w14:paraId="409D4FCC" w14:textId="77777777" w:rsidR="004C7399" w:rsidRPr="0070487F" w:rsidRDefault="004C7399" w:rsidP="0070487F">
            <w:pPr>
              <w:spacing w:before="54" w:line="276" w:lineRule="auto"/>
              <w:jc w:val="both"/>
              <w:rPr>
                <w:rFonts w:ascii="Times New Roman" w:hAnsi="Times New Roman" w:cs="Times New Roman"/>
                <w:color w:val="000000" w:themeColor="text1"/>
              </w:rPr>
            </w:pPr>
            <w:r w:rsidRPr="0070487F">
              <w:rPr>
                <w:rFonts w:ascii="Times New Roman" w:hAnsi="Times New Roman" w:cs="Times New Roman"/>
                <w:color w:val="000000" w:themeColor="text1"/>
              </w:rPr>
              <w:t>Gaussian mutation</w:t>
            </w:r>
          </w:p>
        </w:tc>
      </w:tr>
    </w:tbl>
    <w:p w14:paraId="7A251807" w14:textId="5C6CC4C0" w:rsidR="004C7399" w:rsidRDefault="001319D5" w:rsidP="001319D5">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1319D5">
        <w:rPr>
          <w:rFonts w:ascii="Times New Roman" w:hAnsi="Times New Roman" w:cs="Times New Roman"/>
          <w:b/>
          <w:bCs/>
          <w:color w:val="000000" w:themeColor="text1"/>
          <w:sz w:val="24"/>
          <w:szCs w:val="24"/>
        </w:rPr>
        <w:t>Mono-Objective Optimization</w:t>
      </w:r>
    </w:p>
    <w:p w14:paraId="78FFF771" w14:textId="190665BD" w:rsidR="001319D5" w:rsidRPr="00417224" w:rsidRDefault="001319D5" w:rsidP="00417224">
      <w:pPr>
        <w:spacing w:before="54" w:after="0" w:line="276" w:lineRule="auto"/>
        <w:jc w:val="both"/>
        <w:rPr>
          <w:rFonts w:ascii="Times New Roman" w:hAnsi="Times New Roman" w:cs="Times New Roman"/>
          <w:color w:val="000000" w:themeColor="text1"/>
          <w:sz w:val="20"/>
          <w:szCs w:val="20"/>
        </w:rPr>
      </w:pPr>
      <w:r w:rsidRPr="001319D5">
        <w:rPr>
          <w:rFonts w:ascii="Times New Roman" w:hAnsi="Times New Roman" w:cs="Times New Roman"/>
          <w:color w:val="000000" w:themeColor="text1"/>
          <w:sz w:val="20"/>
          <w:szCs w:val="20"/>
        </w:rPr>
        <w:t>Study of Power as a Function of Each Parameter: Cp, R, and Density In this section, we focus on mono-objective optimization to analyze the power output of wind turbines as a function of individual parameters: the power coefficient (Cp), rotor diameter (R), and air density. The optimization process aims to maximize the annual energy production (AEP) by adjusting one parameter at a time while keeping the others constant. For instance, varying Cp involves optimizing blade design and pitch angles to enhance aerodynamic efficiency. Similarly, increasing the rotor diameter expands the swept area, leading to greater power capture from the wind. Air density variations, influenced by temperature and altitude, also impact power output; thus, understanding these relationships is critical for turbine performance. The results from this mono-objective optimization can reveal how each parameter independently affects turbine efficiency and energy production, providing valuable insights for turbine design and operational strategies.</w:t>
      </w:r>
    </w:p>
    <w:p w14:paraId="2A066E76" w14:textId="2579B185" w:rsidR="001319D5" w:rsidRDefault="001319D5" w:rsidP="00417224">
      <w:pPr>
        <w:jc w:val="center"/>
      </w:pPr>
      <w:r w:rsidRPr="00274C38">
        <w:rPr>
          <w:noProof/>
        </w:rPr>
        <w:lastRenderedPageBreak/>
        <w:drawing>
          <wp:inline distT="0" distB="0" distL="0" distR="0" wp14:anchorId="3B6FC2A2" wp14:editId="498A9239">
            <wp:extent cx="5326380" cy="3992880"/>
            <wp:effectExtent l="0" t="0" r="0" b="0"/>
            <wp:docPr id="864835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6380" cy="3992880"/>
                    </a:xfrm>
                    <a:prstGeom prst="rect">
                      <a:avLst/>
                    </a:prstGeom>
                    <a:noFill/>
                    <a:ln>
                      <a:noFill/>
                    </a:ln>
                  </pic:spPr>
                </pic:pic>
              </a:graphicData>
            </a:graphic>
          </wp:inline>
        </w:drawing>
      </w:r>
    </w:p>
    <w:p w14:paraId="4D025F50" w14:textId="6D240EE0" w:rsidR="001319D5" w:rsidRPr="00863D10" w:rsidRDefault="001319D5" w:rsidP="00863D10">
      <w:pPr>
        <w:spacing w:before="54" w:after="0" w:line="276" w:lineRule="auto"/>
        <w:jc w:val="center"/>
        <w:rPr>
          <w:rFonts w:ascii="Times New Roman" w:hAnsi="Times New Roman" w:cs="Times New Roman"/>
          <w:color w:val="000000" w:themeColor="text1"/>
          <w:sz w:val="20"/>
          <w:szCs w:val="20"/>
        </w:rPr>
      </w:pPr>
      <w:r w:rsidRPr="00417224">
        <w:rPr>
          <w:rFonts w:ascii="Times New Roman" w:hAnsi="Times New Roman" w:cs="Times New Roman"/>
          <w:b/>
          <w:bCs/>
          <w:color w:val="000000" w:themeColor="text1"/>
          <w:sz w:val="20"/>
          <w:szCs w:val="20"/>
        </w:rPr>
        <w:t xml:space="preserve">Figure 2. </w:t>
      </w:r>
      <w:r w:rsidRPr="00417224">
        <w:rPr>
          <w:rFonts w:ascii="Times New Roman" w:hAnsi="Times New Roman" w:cs="Times New Roman"/>
          <w:color w:val="000000" w:themeColor="text1"/>
          <w:sz w:val="20"/>
          <w:szCs w:val="20"/>
        </w:rPr>
        <w:t>Impact of Power Coefficient Variation</w:t>
      </w:r>
    </w:p>
    <w:p w14:paraId="22FCCFC3" w14:textId="15BF5F77" w:rsidR="00863D10" w:rsidRPr="001319D5" w:rsidRDefault="001319D5" w:rsidP="00863D10">
      <w:pPr>
        <w:spacing w:before="54" w:after="0" w:line="276" w:lineRule="auto"/>
        <w:jc w:val="both"/>
        <w:rPr>
          <w:rFonts w:ascii="Times New Roman" w:hAnsi="Times New Roman" w:cs="Times New Roman"/>
          <w:color w:val="000000" w:themeColor="text1"/>
          <w:sz w:val="20"/>
          <w:szCs w:val="20"/>
        </w:rPr>
      </w:pPr>
      <w:r w:rsidRPr="001319D5">
        <w:rPr>
          <w:rFonts w:ascii="Times New Roman" w:hAnsi="Times New Roman" w:cs="Times New Roman"/>
          <w:color w:val="000000" w:themeColor="text1"/>
          <w:sz w:val="20"/>
          <w:szCs w:val="20"/>
        </w:rPr>
        <w:t>Figure 2 illustrates the impact of variations in the power coefficient (Cp) on the performance of a wind turbine. The power coefficient is a crucial parameter that indicates how effectively a wind turbine converts the kinetic energy of the wind into mechanical energy, defined as the ratio of the actual power output of the turbine to the power available in the wind. The graph typically presents a curve showing how Cp varies with wind speed. As wind speed increases, the power coefficient changes, reflecting the turbine's efficiency at different operational conditions. Key points of interest in this figure include the cut-in speed, which is the minimum wind speed (usually around 3 m/s) at which the turbine begins to generate electricity; below this speed, the power output remains zero. The rated wind speed, typically around 15 m/s, is where the turbine reaches its rated power output and where Cp is maximized, indicating optimal efficiency in converting wind energy into electrical energy. Above a certain wind speed, typically around 25 m/s, known as the cut-out speed, the turbine will shut down to prevent damage from excessive wind forces, resulting in a significant decrease in Cp during this phase. The graph highlights a non-linear relationship between wind speed and power output; for instance, an increase in wind speed from 5 m/s to 10 m/s can lead to nearly a tenfold increase in power output due to the cubic relationship between wind speed and available wind energy. Additionally, Figure 1 may illustrate how Cp varies across different types of turbines or under varying environmental conditions, emphasizing that different designs and configurations can lead to significant differences in performance. It may also reference Betz's law, which states that no turbine can capture more than 59.3% of the kinetic energy in the wind (the theoretical maximum Cp), providing context for observed values of Cp. Therefore, this figure serves as a vital tool for engineers and researchers in assessing how changes in wind conditions affect turbine performance and for making informed decisions regarding turbine selection and site placement to maximize energy production from wind resources.</w:t>
      </w:r>
    </w:p>
    <w:p w14:paraId="3E1500C4" w14:textId="69BE0602" w:rsidR="001319D5" w:rsidRPr="00863D10" w:rsidRDefault="00863D10" w:rsidP="00863D10">
      <w:pPr>
        <w:spacing w:before="54" w:after="0" w:line="276" w:lineRule="auto"/>
        <w:jc w:val="both"/>
        <w:rPr>
          <w:rFonts w:ascii="Times New Roman" w:hAnsi="Times New Roman" w:cs="Times New Roman"/>
          <w:color w:val="000000" w:themeColor="text1"/>
          <w:sz w:val="20"/>
          <w:szCs w:val="20"/>
        </w:rPr>
      </w:pPr>
      <w:r w:rsidRPr="001319D5">
        <w:rPr>
          <w:rFonts w:ascii="Times New Roman" w:hAnsi="Times New Roman" w:cs="Times New Roman"/>
          <w:color w:val="000000" w:themeColor="text1"/>
          <w:sz w:val="20"/>
          <w:szCs w:val="20"/>
        </w:rPr>
        <w:t xml:space="preserve">Figure 3 illustrates the impact of rotor diameter variation on the performance of wind turbines. The rotor diameter is a critical factor in determining a turbine's ability to capture wind energy, as it directly influences the swept area through which the turbine blades move. A larger rotor diameter allows the turbine to sweep a greater area, thereby capturing more wind and generating more electricity. The graph typically presents a curve that shows how power output varies with rotor diameter across different wind speeds. As the rotor diameter increases, the power output generally rises, reflecting the enhanced capacity of larger rotors to harness available wind energy. This relationship is particularly significant at lower wind speeds, where larger rotors can capture more energy and improve overall turbine efficiency. Key points in this figure include the comparison of power output for turbines with varying rotor diameters, highlighting that turbines with larger rotors can operate effectively in areas with lower average wind speeds. This capability expands the potential locations for wind farm development, making renewable energy generation more accessible in diverse geographical regions. The figure may also reference specific examples of modern </w:t>
      </w:r>
      <w:r w:rsidRPr="001319D5">
        <w:rPr>
          <w:rFonts w:ascii="Times New Roman" w:hAnsi="Times New Roman" w:cs="Times New Roman"/>
          <w:color w:val="000000" w:themeColor="text1"/>
          <w:sz w:val="20"/>
          <w:szCs w:val="20"/>
        </w:rPr>
        <w:lastRenderedPageBreak/>
        <w:t>wind turbines that feature significantly larger rotor diameters compared to older models. For instance, recent advancements have seen rotor diameters exceeding 133.8 meters (approximately 438 feet), which is substantially larger than those used in earlier designs. This growth trend reflects an industry-wide shift towards maximizing energy capture and improving capacity factors. Additionally, Figure 2 may discuss the implications of rotor diameter on turbine design and operational efficiency, emphasizing that while larger rotors can enhance performance, they also pose challenges related to transportation and installation due to their size. Therefore, this figure serves as a crucial resource for understanding how rotor diameter variations impact wind turbine performance and energy production capabilities.</w:t>
      </w:r>
    </w:p>
    <w:p w14:paraId="7EB11D25" w14:textId="489BF516" w:rsidR="001319D5" w:rsidRDefault="001319D5" w:rsidP="00417224">
      <w:pPr>
        <w:ind w:firstLine="720"/>
        <w:jc w:val="center"/>
      </w:pPr>
      <w:r w:rsidRPr="00274C38">
        <w:rPr>
          <w:noProof/>
        </w:rPr>
        <w:drawing>
          <wp:inline distT="0" distB="0" distL="0" distR="0" wp14:anchorId="64187896" wp14:editId="018472FB">
            <wp:extent cx="5326380" cy="3200400"/>
            <wp:effectExtent l="0" t="0" r="0" b="0"/>
            <wp:docPr id="479384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380" cy="3200400"/>
                    </a:xfrm>
                    <a:prstGeom prst="rect">
                      <a:avLst/>
                    </a:prstGeom>
                    <a:noFill/>
                    <a:ln>
                      <a:noFill/>
                    </a:ln>
                  </pic:spPr>
                </pic:pic>
              </a:graphicData>
            </a:graphic>
          </wp:inline>
        </w:drawing>
      </w:r>
    </w:p>
    <w:p w14:paraId="14167EBA" w14:textId="0E9B9800" w:rsidR="001319D5" w:rsidRPr="00863D10" w:rsidRDefault="001319D5" w:rsidP="00863D10">
      <w:pPr>
        <w:spacing w:before="54" w:after="0" w:line="276" w:lineRule="auto"/>
        <w:jc w:val="center"/>
        <w:rPr>
          <w:rFonts w:ascii="Times New Roman" w:hAnsi="Times New Roman" w:cs="Times New Roman"/>
          <w:color w:val="000000" w:themeColor="text1"/>
          <w:sz w:val="20"/>
          <w:szCs w:val="20"/>
        </w:rPr>
      </w:pPr>
      <w:r w:rsidRPr="00417224">
        <w:rPr>
          <w:rFonts w:ascii="Times New Roman" w:hAnsi="Times New Roman" w:cs="Times New Roman"/>
          <w:b/>
          <w:bCs/>
          <w:color w:val="000000" w:themeColor="text1"/>
          <w:sz w:val="20"/>
          <w:szCs w:val="20"/>
        </w:rPr>
        <w:t xml:space="preserve">Figure 3. </w:t>
      </w:r>
      <w:r w:rsidRPr="00417224">
        <w:rPr>
          <w:rFonts w:ascii="Times New Roman" w:hAnsi="Times New Roman" w:cs="Times New Roman"/>
          <w:color w:val="000000" w:themeColor="text1"/>
          <w:sz w:val="20"/>
          <w:szCs w:val="20"/>
        </w:rPr>
        <w:t>Impact of Rotor Diameter Variation</w:t>
      </w:r>
    </w:p>
    <w:p w14:paraId="60FC76A7" w14:textId="471EA813" w:rsidR="001319D5" w:rsidRDefault="001319D5" w:rsidP="00417224">
      <w:pPr>
        <w:ind w:firstLine="720"/>
        <w:jc w:val="center"/>
      </w:pPr>
      <w:r w:rsidRPr="00274C38">
        <w:rPr>
          <w:noProof/>
        </w:rPr>
        <w:drawing>
          <wp:inline distT="0" distB="0" distL="0" distR="0" wp14:anchorId="65F02224" wp14:editId="46375D6C">
            <wp:extent cx="5326380" cy="3520440"/>
            <wp:effectExtent l="0" t="0" r="0" b="0"/>
            <wp:docPr id="1003104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3520440"/>
                    </a:xfrm>
                    <a:prstGeom prst="rect">
                      <a:avLst/>
                    </a:prstGeom>
                    <a:noFill/>
                    <a:ln>
                      <a:noFill/>
                    </a:ln>
                  </pic:spPr>
                </pic:pic>
              </a:graphicData>
            </a:graphic>
          </wp:inline>
        </w:drawing>
      </w:r>
    </w:p>
    <w:p w14:paraId="5060BE5B" w14:textId="77777777" w:rsidR="001319D5" w:rsidRPr="00417224" w:rsidRDefault="001319D5" w:rsidP="00417224">
      <w:pPr>
        <w:spacing w:before="54" w:after="0" w:line="276" w:lineRule="auto"/>
        <w:jc w:val="center"/>
        <w:rPr>
          <w:rFonts w:ascii="Times New Roman" w:hAnsi="Times New Roman" w:cs="Times New Roman"/>
          <w:b/>
          <w:bCs/>
          <w:color w:val="000000" w:themeColor="text1"/>
          <w:sz w:val="20"/>
          <w:szCs w:val="20"/>
        </w:rPr>
      </w:pPr>
      <w:r w:rsidRPr="00417224">
        <w:rPr>
          <w:rFonts w:ascii="Times New Roman" w:hAnsi="Times New Roman" w:cs="Times New Roman"/>
          <w:b/>
          <w:bCs/>
          <w:color w:val="000000" w:themeColor="text1"/>
          <w:sz w:val="20"/>
          <w:szCs w:val="20"/>
        </w:rPr>
        <w:t xml:space="preserve">Figure 4. </w:t>
      </w:r>
      <w:r w:rsidRPr="00417224">
        <w:rPr>
          <w:rFonts w:ascii="Times New Roman" w:hAnsi="Times New Roman" w:cs="Times New Roman"/>
          <w:color w:val="000000" w:themeColor="text1"/>
          <w:sz w:val="20"/>
          <w:szCs w:val="20"/>
        </w:rPr>
        <w:t>Impact of Air Density Variation</w:t>
      </w:r>
    </w:p>
    <w:p w14:paraId="2A739329" w14:textId="77777777" w:rsidR="001319D5" w:rsidRDefault="001319D5" w:rsidP="001319D5"/>
    <w:p w14:paraId="5FF47617" w14:textId="6DAFC9E7" w:rsidR="001319D5" w:rsidRPr="001319D5" w:rsidRDefault="001319D5" w:rsidP="001319D5">
      <w:pPr>
        <w:spacing w:before="54" w:after="0" w:line="276" w:lineRule="auto"/>
        <w:jc w:val="both"/>
        <w:rPr>
          <w:rFonts w:ascii="Times New Roman" w:hAnsi="Times New Roman" w:cs="Times New Roman"/>
          <w:color w:val="000000" w:themeColor="text1"/>
          <w:sz w:val="20"/>
          <w:szCs w:val="20"/>
        </w:rPr>
      </w:pPr>
      <w:r w:rsidRPr="001319D5">
        <w:rPr>
          <w:rFonts w:ascii="Times New Roman" w:hAnsi="Times New Roman" w:cs="Times New Roman"/>
          <w:color w:val="000000" w:themeColor="text1"/>
          <w:sz w:val="20"/>
          <w:szCs w:val="20"/>
        </w:rPr>
        <w:t xml:space="preserve">Figure 4 illustrates the impact of air density variation on the performance of wind turbines, emphasizing how changes in air density can significantly influence energy production. Air density is a critical factor in wind energy generation, as it directly </w:t>
      </w:r>
      <w:r w:rsidRPr="001319D5">
        <w:rPr>
          <w:rFonts w:ascii="Times New Roman" w:hAnsi="Times New Roman" w:cs="Times New Roman"/>
          <w:color w:val="000000" w:themeColor="text1"/>
          <w:sz w:val="20"/>
          <w:szCs w:val="20"/>
        </w:rPr>
        <w:lastRenderedPageBreak/>
        <w:t>affects the amount of power available in the wind. The power produced by a wind turbine is proportional to the air density, the area swept by the turbine blades, and the cube of the wind speed, as described by the formula</w:t>
      </w:r>
      <w:r>
        <w:rPr>
          <w:rFonts w:ascii="Times New Roman" w:hAnsi="Times New Roman" w:cs="Times New Roman"/>
          <w:color w:val="000000" w:themeColor="text1"/>
          <w:sz w:val="20"/>
          <w:szCs w:val="20"/>
        </w:rPr>
        <w:t xml:space="preserve"> given by equation (1).</w:t>
      </w:r>
    </w:p>
    <w:p w14:paraId="4063458B" w14:textId="77777777" w:rsidR="001319D5" w:rsidRPr="001319D5" w:rsidRDefault="001319D5" w:rsidP="001319D5">
      <w:pPr>
        <w:spacing w:before="54" w:after="0" w:line="276" w:lineRule="auto"/>
        <w:jc w:val="both"/>
        <w:rPr>
          <w:rFonts w:ascii="Times New Roman" w:hAnsi="Times New Roman" w:cs="Times New Roman"/>
          <w:color w:val="000000" w:themeColor="text1"/>
          <w:sz w:val="20"/>
          <w:szCs w:val="20"/>
        </w:rPr>
      </w:pPr>
      <w:r w:rsidRPr="001319D5">
        <w:rPr>
          <w:rFonts w:ascii="Times New Roman" w:hAnsi="Times New Roman" w:cs="Times New Roman"/>
          <w:color w:val="000000" w:themeColor="text1"/>
          <w:sz w:val="20"/>
          <w:szCs w:val="20"/>
        </w:rPr>
        <w:t>In this context, Figure 3 typically presents data showing how variations in air density, which can occur due to changes in temperature and atmospheric pressure, affect the power output of wind turbines. As air density increases—often associated with lower temperatures or higher pressures—the available power also increases. This relationship highlights the importance of considering local atmospheric conditions when estimating energy production from wind farms. The figure may showcase different scenarios or case studies where air density measurements were taken at various altitudes and temperatures. For instance, it might illustrate how turbines operating at higher altitudes experience lower air densities, leading to reduced power output compared to those at sea level. This effect can be particularly pronounced in mountainous regions where fluctuations in temperature and pressure are more significant. Additionally, Figure 3 could emphasize that neglecting to account for air density variations can lead to substantial inaccuracies in energy production estimates. Studies have shown that failing to incorporate these variations can result in energy production estimates that deviate by as much as 15% or more over extended periods. Therefore, accurately measuring and modeling air density is essential for optimizing turbine performance and ensuring reliable energy forecasts. Then, this figure serves as a vital resource for understanding how air density variations impact wind turbine efficiency and energy production capabilities. It underscores the necessity for wind farm developers and operators to consider local atmospheric conditions when planning and operating wind energy projects.</w:t>
      </w:r>
    </w:p>
    <w:p w14:paraId="0AD98682" w14:textId="77777777" w:rsidR="001319D5" w:rsidRPr="001319D5" w:rsidRDefault="001319D5" w:rsidP="001319D5">
      <w:pPr>
        <w:pStyle w:val="ListParagraph"/>
        <w:spacing w:before="54" w:after="0" w:line="276" w:lineRule="auto"/>
        <w:ind w:left="360"/>
        <w:rPr>
          <w:rFonts w:ascii="Times New Roman" w:hAnsi="Times New Roman" w:cs="Times New Roman"/>
          <w:b/>
          <w:bCs/>
          <w:color w:val="000000" w:themeColor="text1"/>
          <w:sz w:val="24"/>
          <w:szCs w:val="24"/>
        </w:rPr>
      </w:pPr>
    </w:p>
    <w:p w14:paraId="18BD46A3" w14:textId="4D7E4B07" w:rsidR="001319D5" w:rsidRDefault="001319D5" w:rsidP="001319D5">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1319D5">
        <w:rPr>
          <w:rFonts w:ascii="Times New Roman" w:hAnsi="Times New Roman" w:cs="Times New Roman"/>
          <w:b/>
          <w:bCs/>
          <w:color w:val="000000" w:themeColor="text1"/>
          <w:sz w:val="24"/>
          <w:szCs w:val="24"/>
        </w:rPr>
        <w:t>Bi-Objective Optimization</w:t>
      </w:r>
    </w:p>
    <w:p w14:paraId="47F660D1" w14:textId="5507CB54" w:rsidR="001319D5" w:rsidRPr="001319D5" w:rsidRDefault="001319D5" w:rsidP="00863D10">
      <w:pPr>
        <w:spacing w:after="0" w:line="240" w:lineRule="auto"/>
        <w:jc w:val="both"/>
        <w:rPr>
          <w:rFonts w:ascii="Times New Roman" w:hAnsi="Times New Roman" w:cs="Times New Roman"/>
          <w:color w:val="000000" w:themeColor="text1"/>
          <w:sz w:val="20"/>
          <w:szCs w:val="20"/>
        </w:rPr>
      </w:pPr>
      <w:r w:rsidRPr="001319D5">
        <w:rPr>
          <w:rFonts w:ascii="Times New Roman" w:hAnsi="Times New Roman" w:cs="Times New Roman"/>
          <w:color w:val="000000" w:themeColor="text1"/>
          <w:sz w:val="20"/>
          <w:szCs w:val="20"/>
        </w:rPr>
        <w:t>Study of Power as a Function of Two Parameters Among Cp, R, and Density This section explores bi-objective optimization, where we analyze the power output of wind turbines based on combinations of two parameters at a time—Cp, rotor diameter (R), and air density. By examining pairs such as Cp and R or Cp and density, we can identify trade-offs and synergies that influence turbine performance. For example, optimizing both Cp and R simultaneously can lead to enhanced energy production while balancing structural integrity and cost considerations. Similarly, analyzing Cp in conjunction with air density allows for a better understanding of how environmental conditions affect turbine efficiency. This approach utilizes multi-objective optimization techniques to find Pareto-optimal solutions that maximize power output while minimizing costs or other constraints. The findings from these studies provide a comprehensive view of how interdependencies between parameters can be leveraged to improve wind turbine designs and operational efficiencies in various environmental contexts.</w:t>
      </w:r>
    </w:p>
    <w:p w14:paraId="4D992B20" w14:textId="2B5B36EB" w:rsidR="001319D5" w:rsidRPr="001319D5" w:rsidRDefault="001319D5" w:rsidP="00417224">
      <w:pPr>
        <w:jc w:val="center"/>
        <w:rPr>
          <w:rFonts w:ascii="Calibri" w:eastAsia="Calibri" w:hAnsi="Calibri" w:cs="Arial"/>
          <w:kern w:val="2"/>
          <w14:ligatures w14:val="standardContextual"/>
        </w:rPr>
      </w:pPr>
      <w:r w:rsidRPr="001319D5">
        <w:rPr>
          <w:rFonts w:ascii="Calibri" w:eastAsia="Calibri" w:hAnsi="Calibri" w:cs="Arial"/>
          <w:noProof/>
          <w:kern w:val="2"/>
          <w14:ligatures w14:val="standardContextual"/>
        </w:rPr>
        <w:drawing>
          <wp:inline distT="0" distB="0" distL="0" distR="0" wp14:anchorId="2E5B27F0" wp14:editId="3D411220">
            <wp:extent cx="5326380" cy="3528060"/>
            <wp:effectExtent l="0" t="0" r="0" b="0"/>
            <wp:docPr id="1269754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6380" cy="3528060"/>
                    </a:xfrm>
                    <a:prstGeom prst="rect">
                      <a:avLst/>
                    </a:prstGeom>
                    <a:noFill/>
                    <a:ln>
                      <a:noFill/>
                    </a:ln>
                  </pic:spPr>
                </pic:pic>
              </a:graphicData>
            </a:graphic>
          </wp:inline>
        </w:drawing>
      </w:r>
    </w:p>
    <w:p w14:paraId="28B93BDE" w14:textId="6BE4911E" w:rsidR="001319D5" w:rsidRPr="001319D5" w:rsidRDefault="001319D5" w:rsidP="00417224">
      <w:pPr>
        <w:spacing w:before="54" w:after="0" w:line="276" w:lineRule="auto"/>
        <w:jc w:val="center"/>
        <w:rPr>
          <w:rFonts w:ascii="Times New Roman" w:hAnsi="Times New Roman" w:cs="Times New Roman"/>
          <w:b/>
          <w:bCs/>
          <w:color w:val="000000" w:themeColor="text1"/>
          <w:sz w:val="20"/>
          <w:szCs w:val="20"/>
        </w:rPr>
      </w:pPr>
      <w:r w:rsidRPr="001319D5">
        <w:rPr>
          <w:rFonts w:ascii="Times New Roman" w:hAnsi="Times New Roman" w:cs="Times New Roman"/>
          <w:b/>
          <w:bCs/>
          <w:color w:val="000000" w:themeColor="text1"/>
          <w:sz w:val="20"/>
          <w:szCs w:val="20"/>
        </w:rPr>
        <w:t>Fig</w:t>
      </w:r>
      <w:r w:rsidR="00417224">
        <w:rPr>
          <w:rFonts w:ascii="Times New Roman" w:hAnsi="Times New Roman" w:cs="Times New Roman"/>
          <w:b/>
          <w:bCs/>
          <w:color w:val="000000" w:themeColor="text1"/>
          <w:sz w:val="20"/>
          <w:szCs w:val="20"/>
        </w:rPr>
        <w:t>ure</w:t>
      </w:r>
      <w:r w:rsidRPr="001319D5">
        <w:rPr>
          <w:rFonts w:ascii="Times New Roman" w:hAnsi="Times New Roman" w:cs="Times New Roman"/>
          <w:b/>
          <w:bCs/>
          <w:color w:val="000000" w:themeColor="text1"/>
          <w:sz w:val="20"/>
          <w:szCs w:val="20"/>
        </w:rPr>
        <w:t xml:space="preserve"> 5. </w:t>
      </w:r>
      <w:r w:rsidRPr="001319D5">
        <w:rPr>
          <w:rFonts w:ascii="Times New Roman" w:hAnsi="Times New Roman" w:cs="Times New Roman"/>
          <w:color w:val="000000" w:themeColor="text1"/>
          <w:sz w:val="20"/>
          <w:szCs w:val="20"/>
        </w:rPr>
        <w:t>Wind Turbine Power as a Function of R and Density</w:t>
      </w:r>
    </w:p>
    <w:p w14:paraId="653A6F11" w14:textId="77777777" w:rsidR="001319D5" w:rsidRPr="001319D5" w:rsidRDefault="001319D5" w:rsidP="001319D5">
      <w:pPr>
        <w:spacing w:after="0" w:line="240" w:lineRule="auto"/>
        <w:jc w:val="both"/>
        <w:rPr>
          <w:rFonts w:ascii="Times New Roman" w:eastAsia="Calibri" w:hAnsi="Times New Roman" w:cs="Times New Roman"/>
          <w:kern w:val="2"/>
          <w:sz w:val="20"/>
          <w:szCs w:val="20"/>
          <w14:ligatures w14:val="standardContextual"/>
        </w:rPr>
      </w:pPr>
      <w:r w:rsidRPr="001319D5">
        <w:rPr>
          <w:rFonts w:ascii="Times New Roman" w:eastAsia="Calibri" w:hAnsi="Times New Roman" w:cs="Times New Roman"/>
          <w:kern w:val="2"/>
          <w:sz w:val="20"/>
          <w:szCs w:val="20"/>
          <w14:ligatures w14:val="standardContextual"/>
        </w:rPr>
        <w:t>Figure 5 illustrates the relationship between wind turbine power output, rotor diameter (R), and air density. The L-shaped surface demonstrates that power output increases quadratically with rotor diameter and linearly with air density. The effect of rotor diameter on power generation is more pronounced than that of air density. The color gradient, transitioning from cool blues to warm reds, visually represents the increase in power output as both variables increase.</w:t>
      </w:r>
    </w:p>
    <w:p w14:paraId="4DDB74B8" w14:textId="44F1F150" w:rsidR="001319D5" w:rsidRPr="001319D5" w:rsidRDefault="001319D5" w:rsidP="00417224">
      <w:pPr>
        <w:tabs>
          <w:tab w:val="left" w:pos="960"/>
        </w:tabs>
        <w:jc w:val="center"/>
        <w:rPr>
          <w:rFonts w:ascii="Calibri" w:eastAsia="Calibri" w:hAnsi="Calibri" w:cs="Arial"/>
          <w:kern w:val="2"/>
          <w14:ligatures w14:val="standardContextual"/>
        </w:rPr>
      </w:pPr>
      <w:r w:rsidRPr="001319D5">
        <w:rPr>
          <w:rFonts w:ascii="Calibri" w:eastAsia="Calibri" w:hAnsi="Calibri" w:cs="Arial"/>
          <w:noProof/>
          <w:kern w:val="2"/>
          <w14:ligatures w14:val="standardContextual"/>
        </w:rPr>
        <w:lastRenderedPageBreak/>
        <w:drawing>
          <wp:inline distT="0" distB="0" distL="0" distR="0" wp14:anchorId="0107B9F1" wp14:editId="29C5A0AE">
            <wp:extent cx="5326380" cy="3848100"/>
            <wp:effectExtent l="0" t="0" r="0" b="0"/>
            <wp:docPr id="325462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380" cy="3848100"/>
                    </a:xfrm>
                    <a:prstGeom prst="rect">
                      <a:avLst/>
                    </a:prstGeom>
                    <a:noFill/>
                    <a:ln>
                      <a:noFill/>
                    </a:ln>
                  </pic:spPr>
                </pic:pic>
              </a:graphicData>
            </a:graphic>
          </wp:inline>
        </w:drawing>
      </w:r>
    </w:p>
    <w:p w14:paraId="2A40A1B7" w14:textId="27104037" w:rsidR="001319D5" w:rsidRPr="001319D5" w:rsidRDefault="001319D5" w:rsidP="00863D10">
      <w:pPr>
        <w:spacing w:before="54" w:after="0" w:line="276" w:lineRule="auto"/>
        <w:jc w:val="center"/>
        <w:rPr>
          <w:rFonts w:ascii="Times New Roman" w:hAnsi="Times New Roman" w:cs="Times New Roman"/>
          <w:color w:val="000000" w:themeColor="text1"/>
          <w:sz w:val="20"/>
          <w:szCs w:val="20"/>
        </w:rPr>
      </w:pPr>
      <w:r w:rsidRPr="001319D5">
        <w:rPr>
          <w:rFonts w:ascii="Times New Roman" w:hAnsi="Times New Roman" w:cs="Times New Roman"/>
          <w:b/>
          <w:bCs/>
          <w:color w:val="000000" w:themeColor="text1"/>
          <w:sz w:val="20"/>
          <w:szCs w:val="20"/>
        </w:rPr>
        <w:t>Fig</w:t>
      </w:r>
      <w:r w:rsidR="00417224">
        <w:rPr>
          <w:rFonts w:ascii="Times New Roman" w:hAnsi="Times New Roman" w:cs="Times New Roman"/>
          <w:b/>
          <w:bCs/>
          <w:color w:val="000000" w:themeColor="text1"/>
          <w:sz w:val="20"/>
          <w:szCs w:val="20"/>
        </w:rPr>
        <w:t>ure</w:t>
      </w:r>
      <w:r w:rsidRPr="001319D5">
        <w:rPr>
          <w:rFonts w:ascii="Times New Roman" w:hAnsi="Times New Roman" w:cs="Times New Roman"/>
          <w:b/>
          <w:bCs/>
          <w:color w:val="000000" w:themeColor="text1"/>
          <w:sz w:val="20"/>
          <w:szCs w:val="20"/>
        </w:rPr>
        <w:t xml:space="preserve"> 6. </w:t>
      </w:r>
      <w:bookmarkStart w:id="0" w:name="_Hlk186146427"/>
      <w:r w:rsidRPr="001319D5">
        <w:rPr>
          <w:rFonts w:ascii="Times New Roman" w:hAnsi="Times New Roman" w:cs="Times New Roman"/>
          <w:color w:val="000000" w:themeColor="text1"/>
          <w:sz w:val="20"/>
          <w:szCs w:val="20"/>
        </w:rPr>
        <w:t>Wind Turbine Power as a Function of Cp and Density</w:t>
      </w:r>
      <w:bookmarkEnd w:id="0"/>
    </w:p>
    <w:p w14:paraId="720B1CE1" w14:textId="1DB20602" w:rsidR="001319D5" w:rsidRPr="001319D5" w:rsidRDefault="001319D5" w:rsidP="00863D10">
      <w:pPr>
        <w:spacing w:after="0" w:line="240" w:lineRule="auto"/>
        <w:jc w:val="both"/>
        <w:rPr>
          <w:rFonts w:ascii="Times New Roman" w:eastAsia="Calibri" w:hAnsi="Times New Roman" w:cs="Times New Roman"/>
          <w:kern w:val="2"/>
          <w:sz w:val="20"/>
          <w:szCs w:val="20"/>
          <w14:ligatures w14:val="standardContextual"/>
        </w:rPr>
      </w:pPr>
      <w:r w:rsidRPr="001319D5">
        <w:rPr>
          <w:rFonts w:ascii="Times New Roman" w:eastAsia="Calibri" w:hAnsi="Times New Roman" w:cs="Times New Roman"/>
          <w:kern w:val="2"/>
          <w:sz w:val="20"/>
          <w:szCs w:val="20"/>
          <w14:ligatures w14:val="standardContextual"/>
        </w:rPr>
        <w:t>Figure 6 displays the relationship between wind turbine power output, power coefficient (Cp), and air density. The L-shaped surface reveals that power output increases linearly with both Cp and air density. It's important to note that Cp has an upper limit known as the Betz limit (0.593), which is not shown but implied in the graph. The color gradient from cool to warm hues visually emphasizes the multiplicative effect of Cp and air density on power output.</w:t>
      </w:r>
    </w:p>
    <w:p w14:paraId="2630D8CC" w14:textId="6F784530" w:rsidR="001319D5" w:rsidRPr="001319D5" w:rsidRDefault="001319D5" w:rsidP="00417224">
      <w:pPr>
        <w:tabs>
          <w:tab w:val="left" w:pos="1740"/>
        </w:tabs>
        <w:jc w:val="center"/>
        <w:rPr>
          <w:rFonts w:ascii="Calibri" w:eastAsia="Calibri" w:hAnsi="Calibri" w:cs="Arial"/>
          <w:kern w:val="2"/>
          <w14:ligatures w14:val="standardContextual"/>
        </w:rPr>
      </w:pPr>
      <w:r w:rsidRPr="001319D5">
        <w:rPr>
          <w:rFonts w:ascii="Calibri" w:eastAsia="Calibri" w:hAnsi="Calibri" w:cs="Arial"/>
          <w:noProof/>
          <w:kern w:val="2"/>
          <w14:ligatures w14:val="standardContextual"/>
        </w:rPr>
        <w:drawing>
          <wp:inline distT="0" distB="0" distL="0" distR="0" wp14:anchorId="4252E4CA" wp14:editId="3DCB9CAD">
            <wp:extent cx="5326380" cy="3611880"/>
            <wp:effectExtent l="0" t="0" r="0" b="7620"/>
            <wp:docPr id="1438493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6380" cy="3611880"/>
                    </a:xfrm>
                    <a:prstGeom prst="rect">
                      <a:avLst/>
                    </a:prstGeom>
                    <a:noFill/>
                    <a:ln>
                      <a:noFill/>
                    </a:ln>
                  </pic:spPr>
                </pic:pic>
              </a:graphicData>
            </a:graphic>
          </wp:inline>
        </w:drawing>
      </w:r>
    </w:p>
    <w:p w14:paraId="3AF9C9B9" w14:textId="3034AA5B" w:rsidR="001319D5" w:rsidRPr="001319D5" w:rsidRDefault="001319D5" w:rsidP="00417224">
      <w:pPr>
        <w:spacing w:before="54" w:after="0" w:line="276" w:lineRule="auto"/>
        <w:jc w:val="center"/>
        <w:rPr>
          <w:rFonts w:ascii="Times New Roman" w:hAnsi="Times New Roman" w:cs="Times New Roman"/>
          <w:b/>
          <w:bCs/>
          <w:color w:val="000000" w:themeColor="text1"/>
          <w:sz w:val="20"/>
          <w:szCs w:val="20"/>
        </w:rPr>
      </w:pPr>
      <w:r w:rsidRPr="001319D5">
        <w:rPr>
          <w:rFonts w:ascii="Times New Roman" w:hAnsi="Times New Roman" w:cs="Times New Roman"/>
          <w:b/>
          <w:bCs/>
          <w:color w:val="000000" w:themeColor="text1"/>
          <w:sz w:val="20"/>
          <w:szCs w:val="20"/>
        </w:rPr>
        <w:t>Fig</w:t>
      </w:r>
      <w:r w:rsidR="00417224">
        <w:rPr>
          <w:rFonts w:ascii="Times New Roman" w:hAnsi="Times New Roman" w:cs="Times New Roman"/>
          <w:b/>
          <w:bCs/>
          <w:color w:val="000000" w:themeColor="text1"/>
          <w:sz w:val="20"/>
          <w:szCs w:val="20"/>
        </w:rPr>
        <w:t>ure</w:t>
      </w:r>
      <w:r w:rsidRPr="001319D5">
        <w:rPr>
          <w:rFonts w:ascii="Times New Roman" w:hAnsi="Times New Roman" w:cs="Times New Roman"/>
          <w:b/>
          <w:bCs/>
          <w:color w:val="000000" w:themeColor="text1"/>
          <w:sz w:val="20"/>
          <w:szCs w:val="20"/>
        </w:rPr>
        <w:t xml:space="preserve"> 7. Wind Turbine Power as a Function of Cp and R</w:t>
      </w:r>
    </w:p>
    <w:p w14:paraId="1BBCA037" w14:textId="77777777" w:rsidR="001319D5" w:rsidRPr="001319D5" w:rsidRDefault="001319D5" w:rsidP="001319D5">
      <w:pPr>
        <w:spacing w:after="0" w:line="240" w:lineRule="auto"/>
        <w:jc w:val="both"/>
        <w:rPr>
          <w:rFonts w:ascii="Times New Roman" w:eastAsia="Calibri" w:hAnsi="Times New Roman" w:cs="Times New Roman"/>
          <w:kern w:val="2"/>
          <w:sz w:val="20"/>
          <w:szCs w:val="20"/>
          <w14:ligatures w14:val="standardContextual"/>
        </w:rPr>
      </w:pPr>
      <w:r w:rsidRPr="001319D5">
        <w:rPr>
          <w:rFonts w:ascii="Times New Roman" w:eastAsia="Calibri" w:hAnsi="Times New Roman" w:cs="Times New Roman"/>
          <w:kern w:val="2"/>
          <w:sz w:val="20"/>
          <w:szCs w:val="20"/>
          <w14:ligatures w14:val="standardContextual"/>
        </w:rPr>
        <w:t xml:space="preserve">Figure 7 depicts the relationship between wind turbine power output, power coefficient (Cp), and rotor diameter (R). The L-shaped surface illustrates that power output increases quadratically with rotor diameter and linearly with Cp. The graph clearly shows that the impact of rotor diameter on power output is more significant than that of Cp. The color gradient, transitioning </w:t>
      </w:r>
      <w:r w:rsidRPr="001319D5">
        <w:rPr>
          <w:rFonts w:ascii="Times New Roman" w:eastAsia="Calibri" w:hAnsi="Times New Roman" w:cs="Times New Roman"/>
          <w:kern w:val="2"/>
          <w:sz w:val="20"/>
          <w:szCs w:val="20"/>
          <w14:ligatures w14:val="standardContextual"/>
        </w:rPr>
        <w:lastRenderedPageBreak/>
        <w:t>from cool blues for lower power outputs to warm reds for higher outputs, provides a visual representation of how power increases as both Cp and rotor diameter increase.</w:t>
      </w:r>
    </w:p>
    <w:p w14:paraId="66E0349A" w14:textId="77777777" w:rsidR="001319D5" w:rsidRPr="001319D5" w:rsidRDefault="001319D5" w:rsidP="001319D5">
      <w:pPr>
        <w:pStyle w:val="ListParagraph"/>
        <w:spacing w:before="54" w:after="0" w:line="276" w:lineRule="auto"/>
        <w:ind w:left="360"/>
        <w:rPr>
          <w:rFonts w:ascii="Times New Roman" w:hAnsi="Times New Roman" w:cs="Times New Roman"/>
          <w:b/>
          <w:bCs/>
          <w:color w:val="000000" w:themeColor="text1"/>
          <w:sz w:val="24"/>
          <w:szCs w:val="24"/>
        </w:rPr>
      </w:pPr>
    </w:p>
    <w:p w14:paraId="1A17494A" w14:textId="1B1AF1D3" w:rsidR="004C7399" w:rsidRPr="004C7399" w:rsidRDefault="004C7399" w:rsidP="004C739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C7399">
        <w:rPr>
          <w:rFonts w:ascii="Times New Roman" w:hAnsi="Times New Roman" w:cs="Times New Roman"/>
          <w:b/>
          <w:bCs/>
          <w:color w:val="000000" w:themeColor="text1"/>
          <w:sz w:val="24"/>
          <w:szCs w:val="24"/>
        </w:rPr>
        <w:t>CONCLUSION</w:t>
      </w:r>
    </w:p>
    <w:p w14:paraId="62D2BBD4" w14:textId="475F0D97" w:rsidR="001319D5" w:rsidRDefault="001319D5" w:rsidP="00863D10">
      <w:pPr>
        <w:spacing w:after="0" w:line="240" w:lineRule="auto"/>
        <w:jc w:val="both"/>
        <w:rPr>
          <w:rFonts w:ascii="Times New Roman" w:hAnsi="Times New Roman" w:cs="Times New Roman"/>
          <w:color w:val="000000" w:themeColor="text1"/>
          <w:sz w:val="20"/>
          <w:szCs w:val="20"/>
        </w:rPr>
      </w:pPr>
      <w:r w:rsidRPr="00C757E0">
        <w:rPr>
          <w:rFonts w:ascii="Times New Roman" w:hAnsi="Times New Roman" w:cs="Times New Roman"/>
          <w:color w:val="000000" w:themeColor="text1"/>
          <w:sz w:val="20"/>
          <w:szCs w:val="20"/>
        </w:rPr>
        <w:t xml:space="preserve">In conclusion, the performance characterization and parametric analysis of wind turbine energy conversion are essential for optimizing the efficiency and reliability of wind energy systems. Through a comprehensive understanding of key parameters such as the power coefficient (Cp), rotor diameter (R), and air density, we can significantly enhance turbine performance and energy production. Theoretical foundations, including the wind turbine power equation and the Betz limit, provide a framework for evaluating turbine efficiency, while advanced techniques such as power curve analysis, annual energy production estimation, and efficiency evaluation methods offer practical insights into turbine operation. The parametric analysis highlights the influence of various factors on wind turbine performance, emphasizing the importance of rotor diameter, air density variations, wind speed distribution, and turbine height. Case studies focusing on both mono-objective and bi-objective optimization demonstrate how individual parameters and their combinations can be systematically analyzed to maximize power output while considering trade-offs. As the demand for renewable energy continues to grow, ongoing research and development in wind turbine technology will play a crucial role in enhancing energy conversion efficiency. By leveraging advanced modeling techniques, optimization algorithms, and real-world data analysis, we can further improve wind turbine designs and operational strategies. </w:t>
      </w:r>
      <w:r w:rsidR="00BB7101">
        <w:rPr>
          <w:rFonts w:ascii="Times New Roman" w:hAnsi="Times New Roman" w:cs="Times New Roman"/>
          <w:color w:val="000000" w:themeColor="text1"/>
          <w:sz w:val="20"/>
          <w:szCs w:val="20"/>
        </w:rPr>
        <w:t>Therefore</w:t>
      </w:r>
      <w:r w:rsidRPr="00C757E0">
        <w:rPr>
          <w:rFonts w:ascii="Times New Roman" w:hAnsi="Times New Roman" w:cs="Times New Roman"/>
          <w:color w:val="000000" w:themeColor="text1"/>
          <w:sz w:val="20"/>
          <w:szCs w:val="20"/>
        </w:rPr>
        <w:t>, these efforts will contribute to a more sustainable energy future by maximizing the potential of wind energy as a clean and reliable resource.</w:t>
      </w:r>
    </w:p>
    <w:p w14:paraId="4E65ADAC" w14:textId="77777777" w:rsidR="001319D5" w:rsidRPr="00C757E0" w:rsidRDefault="001319D5" w:rsidP="001319D5">
      <w:pPr>
        <w:spacing w:after="0" w:line="240" w:lineRule="auto"/>
        <w:jc w:val="both"/>
        <w:rPr>
          <w:rFonts w:ascii="Times New Roman" w:hAnsi="Times New Roman" w:cs="Times New Roman"/>
          <w:color w:val="000000" w:themeColor="text1"/>
          <w:sz w:val="20"/>
          <w:szCs w:val="20"/>
        </w:rPr>
      </w:pPr>
    </w:p>
    <w:p w14:paraId="24B2CD4B" w14:textId="6EB5A81E" w:rsidR="00DA52F4" w:rsidRPr="001E51F3" w:rsidRDefault="00DA52F4" w:rsidP="004C739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3F99FE4" w14:textId="77777777" w:rsidR="00417224" w:rsidRPr="00DB3C5A"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Hersbach, H. The ERA5 Atmospheric Reanalysis. In AGU Fall Meeting Abstracts; American Geophysical Union: Washington, DC, USA, 2016. [</w:t>
      </w:r>
      <w:hyperlink r:id="rId15" w:tgtFrame="_blank" w:history="1">
        <w:r w:rsidRPr="00DB3C5A">
          <w:rPr>
            <w:rFonts w:ascii="Times New Roman" w:hAnsi="Times New Roman" w:cs="Times New Roman"/>
            <w:color w:val="000000" w:themeColor="text1"/>
            <w:sz w:val="20"/>
            <w:szCs w:val="20"/>
          </w:rPr>
          <w:t>Google Scholar</w:t>
        </w:r>
      </w:hyperlink>
      <w:r w:rsidRPr="00DB3C5A">
        <w:rPr>
          <w:rFonts w:ascii="Times New Roman" w:hAnsi="Times New Roman" w:cs="Times New Roman"/>
          <w:color w:val="000000" w:themeColor="text1"/>
          <w:sz w:val="20"/>
          <w:szCs w:val="20"/>
        </w:rPr>
        <w:t>]</w:t>
      </w:r>
    </w:p>
    <w:p w14:paraId="6AE8FF85"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B3C5A">
        <w:rPr>
          <w:rFonts w:ascii="Times New Roman" w:hAnsi="Times New Roman" w:cs="Times New Roman"/>
          <w:color w:val="000000" w:themeColor="text1"/>
          <w:sz w:val="20"/>
          <w:szCs w:val="20"/>
        </w:rPr>
        <w:t>Olauson, J. ERA5: The new champion of wind power modelling? Renew. Energy 2018, 126, 322–331. [</w:t>
      </w:r>
      <w:hyperlink r:id="rId16" w:tgtFrame="_blank" w:history="1">
        <w:r w:rsidRPr="00DB3C5A">
          <w:rPr>
            <w:rFonts w:ascii="Times New Roman" w:hAnsi="Times New Roman" w:cs="Times New Roman"/>
            <w:color w:val="000000" w:themeColor="text1"/>
            <w:sz w:val="20"/>
            <w:szCs w:val="20"/>
          </w:rPr>
          <w:t>Google Scholar</w:t>
        </w:r>
      </w:hyperlink>
      <w:r w:rsidRPr="00DB3C5A">
        <w:rPr>
          <w:rFonts w:ascii="Times New Roman" w:hAnsi="Times New Roman" w:cs="Times New Roman"/>
          <w:color w:val="000000" w:themeColor="text1"/>
          <w:sz w:val="20"/>
          <w:szCs w:val="20"/>
        </w:rPr>
        <w:t>] [</w:t>
      </w:r>
      <w:hyperlink r:id="rId17" w:tgtFrame="_blank" w:history="1">
        <w:r w:rsidRPr="00DB3C5A">
          <w:rPr>
            <w:rFonts w:ascii="Times New Roman" w:hAnsi="Times New Roman" w:cs="Times New Roman"/>
            <w:color w:val="000000" w:themeColor="text1"/>
            <w:sz w:val="20"/>
            <w:szCs w:val="20"/>
          </w:rPr>
          <w:t>CrossRef</w:t>
        </w:r>
      </w:hyperlink>
      <w:r w:rsidRPr="00DB3C5A">
        <w:rPr>
          <w:rFonts w:ascii="Times New Roman" w:hAnsi="Times New Roman" w:cs="Times New Roman"/>
          <w:color w:val="000000" w:themeColor="text1"/>
          <w:sz w:val="20"/>
          <w:szCs w:val="20"/>
        </w:rPr>
        <w:t>] [</w:t>
      </w:r>
      <w:hyperlink r:id="rId18" w:tgtFrame="_blank" w:history="1">
        <w:r w:rsidRPr="00DB3C5A">
          <w:rPr>
            <w:rFonts w:ascii="Times New Roman" w:hAnsi="Times New Roman" w:cs="Times New Roman"/>
            <w:color w:val="000000" w:themeColor="text1"/>
            <w:sz w:val="20"/>
            <w:szCs w:val="20"/>
          </w:rPr>
          <w:t>Green Version</w:t>
        </w:r>
      </w:hyperlink>
      <w:r w:rsidRPr="00DB3C5A">
        <w:rPr>
          <w:rFonts w:ascii="Times New Roman" w:hAnsi="Times New Roman" w:cs="Times New Roman"/>
          <w:color w:val="000000" w:themeColor="text1"/>
          <w:sz w:val="20"/>
          <w:szCs w:val="20"/>
        </w:rPr>
        <w:t>]</w:t>
      </w:r>
    </w:p>
    <w:p w14:paraId="079F7B7E"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Floors, R.; Nielsen, M. Estimating Air Density Using Observations and Re-Analysis Outputs for Wind Energy Purposes. </w:t>
      </w:r>
      <w:r w:rsidRPr="00465F9B">
        <w:rPr>
          <w:rFonts w:ascii="Times New Roman" w:hAnsi="Times New Roman" w:cs="Times New Roman"/>
          <w:color w:val="000000" w:themeColor="text1"/>
        </w:rPr>
        <w:t>Energies</w:t>
      </w:r>
      <w:r w:rsidRPr="00465F9B">
        <w:rPr>
          <w:rFonts w:ascii="Times New Roman" w:hAnsi="Times New Roman" w:cs="Times New Roman"/>
          <w:color w:val="000000" w:themeColor="text1"/>
          <w:sz w:val="20"/>
          <w:szCs w:val="20"/>
        </w:rPr>
        <w:t> 2019, </w:t>
      </w:r>
      <w:r w:rsidRPr="00465F9B">
        <w:rPr>
          <w:rFonts w:ascii="Times New Roman" w:hAnsi="Times New Roman" w:cs="Times New Roman"/>
          <w:color w:val="000000" w:themeColor="text1"/>
        </w:rPr>
        <w:t>12</w:t>
      </w:r>
      <w:r w:rsidRPr="00465F9B">
        <w:rPr>
          <w:rFonts w:ascii="Times New Roman" w:hAnsi="Times New Roman" w:cs="Times New Roman"/>
          <w:color w:val="000000" w:themeColor="text1"/>
          <w:sz w:val="20"/>
          <w:szCs w:val="20"/>
        </w:rPr>
        <w:t>, 2038. [</w:t>
      </w:r>
      <w:hyperlink r:id="rId19" w:tgtFrame="_blank" w:history="1">
        <w:r w:rsidRPr="00465F9B">
          <w:rPr>
            <w:rFonts w:ascii="Times New Roman" w:hAnsi="Times New Roman" w:cs="Times New Roman"/>
            <w:color w:val="000000" w:themeColor="text1"/>
          </w:rPr>
          <w:t>Google Scholar</w:t>
        </w:r>
      </w:hyperlink>
      <w:r w:rsidRPr="00465F9B">
        <w:rPr>
          <w:rFonts w:ascii="Times New Roman" w:hAnsi="Times New Roman" w:cs="Times New Roman"/>
          <w:color w:val="000000" w:themeColor="text1"/>
          <w:sz w:val="20"/>
          <w:szCs w:val="20"/>
        </w:rPr>
        <w:t>] [</w:t>
      </w:r>
      <w:hyperlink r:id="rId20" w:tgtFrame="_blank" w:history="1">
        <w:r w:rsidRPr="00465F9B">
          <w:rPr>
            <w:rFonts w:ascii="Times New Roman" w:hAnsi="Times New Roman" w:cs="Times New Roman"/>
            <w:color w:val="000000" w:themeColor="text1"/>
          </w:rPr>
          <w:t>CrossRef</w:t>
        </w:r>
      </w:hyperlink>
      <w:r w:rsidRPr="00465F9B">
        <w:rPr>
          <w:rFonts w:ascii="Times New Roman" w:hAnsi="Times New Roman" w:cs="Times New Roman"/>
          <w:color w:val="000000" w:themeColor="text1"/>
          <w:sz w:val="20"/>
          <w:szCs w:val="20"/>
        </w:rPr>
        <w:t>]</w:t>
      </w:r>
    </w:p>
    <w:p w14:paraId="0C515317"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Guerrero-Villar, F.; Dorado-Vicente, R.; Medina-Sánchez, G.; Torres-Jiménez, E. Alternative Calibration of Cup Anemometers: A Way to Reduce the Uncertainty of Wind Power Density Estimation. </w:t>
      </w:r>
      <w:r w:rsidRPr="00465F9B">
        <w:rPr>
          <w:rFonts w:ascii="Times New Roman" w:hAnsi="Times New Roman" w:cs="Times New Roman"/>
          <w:color w:val="000000" w:themeColor="text1"/>
        </w:rPr>
        <w:t>Sensors</w:t>
      </w:r>
      <w:r w:rsidRPr="00465F9B">
        <w:rPr>
          <w:rFonts w:ascii="Times New Roman" w:hAnsi="Times New Roman" w:cs="Times New Roman"/>
          <w:color w:val="000000" w:themeColor="text1"/>
          <w:sz w:val="20"/>
          <w:szCs w:val="20"/>
        </w:rPr>
        <w:t> 2019, </w:t>
      </w:r>
      <w:r w:rsidRPr="00465F9B">
        <w:rPr>
          <w:rFonts w:ascii="Times New Roman" w:hAnsi="Times New Roman" w:cs="Times New Roman"/>
          <w:color w:val="000000" w:themeColor="text1"/>
        </w:rPr>
        <w:t>19</w:t>
      </w:r>
      <w:r w:rsidRPr="00465F9B">
        <w:rPr>
          <w:rFonts w:ascii="Times New Roman" w:hAnsi="Times New Roman" w:cs="Times New Roman"/>
          <w:color w:val="000000" w:themeColor="text1"/>
          <w:sz w:val="20"/>
          <w:szCs w:val="20"/>
        </w:rPr>
        <w:t>, 2029. [</w:t>
      </w:r>
      <w:hyperlink r:id="rId21" w:tgtFrame="_blank" w:history="1">
        <w:r w:rsidRPr="00465F9B">
          <w:rPr>
            <w:rFonts w:ascii="Times New Roman" w:hAnsi="Times New Roman" w:cs="Times New Roman"/>
            <w:color w:val="000000" w:themeColor="text1"/>
          </w:rPr>
          <w:t>Google Scholar</w:t>
        </w:r>
      </w:hyperlink>
      <w:r w:rsidRPr="00465F9B">
        <w:rPr>
          <w:rFonts w:ascii="Times New Roman" w:hAnsi="Times New Roman" w:cs="Times New Roman"/>
          <w:color w:val="000000" w:themeColor="text1"/>
          <w:sz w:val="20"/>
          <w:szCs w:val="20"/>
        </w:rPr>
        <w:t>] [</w:t>
      </w:r>
      <w:hyperlink r:id="rId22" w:tgtFrame="_blank" w:history="1">
        <w:r w:rsidRPr="00465F9B">
          <w:rPr>
            <w:rFonts w:ascii="Times New Roman" w:hAnsi="Times New Roman" w:cs="Times New Roman"/>
            <w:color w:val="000000" w:themeColor="text1"/>
          </w:rPr>
          <w:t>CrossRef</w:t>
        </w:r>
      </w:hyperlink>
      <w:r w:rsidRPr="00465F9B">
        <w:rPr>
          <w:rFonts w:ascii="Times New Roman" w:hAnsi="Times New Roman" w:cs="Times New Roman"/>
          <w:color w:val="000000" w:themeColor="text1"/>
          <w:sz w:val="20"/>
          <w:szCs w:val="20"/>
        </w:rPr>
        <w:t>]</w:t>
      </w:r>
    </w:p>
    <w:p w14:paraId="26ED4351"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Svenningsen, L. </w:t>
      </w:r>
      <w:r w:rsidRPr="00465F9B">
        <w:rPr>
          <w:rFonts w:ascii="Times New Roman" w:hAnsi="Times New Roman" w:cs="Times New Roman"/>
          <w:color w:val="000000" w:themeColor="text1"/>
        </w:rPr>
        <w:t>Power Curve Air Density Correction and Other Power Curve Options in WindPRO</w:t>
      </w:r>
      <w:r w:rsidRPr="00465F9B">
        <w:rPr>
          <w:rFonts w:ascii="Times New Roman" w:hAnsi="Times New Roman" w:cs="Times New Roman"/>
          <w:color w:val="000000" w:themeColor="text1"/>
          <w:sz w:val="20"/>
          <w:szCs w:val="20"/>
        </w:rPr>
        <w:t>; Technical report; EMD International A/S: Aalborg, Denmark, 2010; Available online: </w:t>
      </w:r>
      <w:hyperlink r:id="rId23" w:tgtFrame="_blank" w:history="1">
        <w:r w:rsidRPr="00465F9B">
          <w:rPr>
            <w:rFonts w:ascii="Times New Roman" w:hAnsi="Times New Roman" w:cs="Times New Roman"/>
            <w:color w:val="000000" w:themeColor="text1"/>
          </w:rPr>
          <w:t>www.emd.dk/files/windpro/WindPRO_Power_Curve_Options pdf</w:t>
        </w:r>
      </w:hyperlink>
      <w:r w:rsidRPr="00465F9B">
        <w:rPr>
          <w:rFonts w:ascii="Times New Roman" w:hAnsi="Times New Roman" w:cs="Times New Roman"/>
          <w:color w:val="000000" w:themeColor="text1"/>
          <w:sz w:val="20"/>
          <w:szCs w:val="20"/>
        </w:rPr>
        <w:t> (accessed on 15 May 2019).</w:t>
      </w:r>
    </w:p>
    <w:p w14:paraId="773C4979"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 xml:space="preserve">Marouani, I.; Guesmi, T.; Alshammari, B.M.; Alqunun, K.; Alzamil, A.; Alturki, M.; Hadj Abdallah, H. Integration of Renewable-Energy-Based Green Hydrogen into the Energy Future. Processes 2023, 11, 2685. https://doi.org/10.3390/pr11092685. </w:t>
      </w:r>
    </w:p>
    <w:p w14:paraId="5EDB98FF"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 xml:space="preserve">Ismail Marouani, Chefai Dhifaoui, and Taoufik Guesmi. Optimal cost of power system incorporating wind energy using here-and-now approach. ARPN Journal of Engineering and Applied Sciences. VOL. 15, NO. 13, JULY 2020 </w:t>
      </w:r>
      <w:hyperlink r:id="rId24" w:history="1">
        <w:r w:rsidRPr="00465F9B">
          <w:rPr>
            <w:rFonts w:ascii="Times New Roman" w:hAnsi="Times New Roman" w:cs="Times New Roman"/>
            <w:color w:val="000000" w:themeColor="text1"/>
            <w:sz w:val="20"/>
            <w:szCs w:val="20"/>
          </w:rPr>
          <w:t xml:space="preserve">http://www.arpnjournals.org/jeas/research_papers/rp_2020/jeas_0720_8255.pdf. </w:t>
        </w:r>
      </w:hyperlink>
    </w:p>
    <w:p w14:paraId="29895A29"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 xml:space="preserve">Marouani, I.; Guesmi, T.; Hadj Abdallah, H.; Alshammari, B.M.; Alqunun, K.; Alshammari, A.S.; Rahmani, S. Combined Economic Emission Dispatch with and without Consideration of PV and Wind Energy Using Various Optimization Techniques: A Review. Energies 2022, 15, 4472. </w:t>
      </w:r>
      <w:hyperlink r:id="rId25" w:history="1">
        <w:r w:rsidRPr="00465F9B">
          <w:rPr>
            <w:rFonts w:ascii="Times New Roman" w:hAnsi="Times New Roman" w:cs="Times New Roman"/>
            <w:color w:val="000000" w:themeColor="text1"/>
            <w:sz w:val="20"/>
            <w:szCs w:val="20"/>
          </w:rPr>
          <w:t>https://doi.org/10.3390/en15124472</w:t>
        </w:r>
      </w:hyperlink>
    </w:p>
    <w:p w14:paraId="1554A379"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Reliability of Wind Turbines Experiences of 15 years with 1,500 WTs Berthold Hahn, Michael Durstewitz, Kurt Rohrig, Institut für Solare Energieversorgungstechnik (ISET), Verein an der Universität Kassel e.V., 34119 Kassel, Germany.</w:t>
      </w:r>
    </w:p>
    <w:p w14:paraId="6B1024DB"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 xml:space="preserve"> SANDIA REPORT (20060), Unlimited Release, Printed March 2006 Wind Turbine Reliability: Understanding and Minimizing Wind Turbine Operation and Maintenance Costs - Christopher A. Walford Global Energy Concepts, Prepared by Sandia National Laboratories Albuquerque, New Mexico 87185 and Livermore, California 94550 </w:t>
      </w:r>
    </w:p>
    <w:p w14:paraId="6562E5D5"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hyperlink r:id="rId26" w:history="1">
        <w:r w:rsidRPr="00465F9B">
          <w:rPr>
            <w:rFonts w:ascii="Times New Roman" w:hAnsi="Times New Roman" w:cs="Times New Roman"/>
            <w:color w:val="000000" w:themeColor="text1"/>
            <w:sz w:val="20"/>
            <w:szCs w:val="20"/>
          </w:rPr>
          <w:t>http://www.flapturbine.com/hawt_power_change_efficiency.html</w:t>
        </w:r>
      </w:hyperlink>
      <w:r w:rsidRPr="00465F9B">
        <w:rPr>
          <w:rFonts w:ascii="Times New Roman" w:hAnsi="Times New Roman" w:cs="Times New Roman"/>
          <w:color w:val="000000" w:themeColor="text1"/>
          <w:sz w:val="20"/>
          <w:szCs w:val="20"/>
        </w:rPr>
        <w:t xml:space="preserve"> </w:t>
      </w:r>
    </w:p>
    <w:p w14:paraId="1E181B62" w14:textId="77777777" w:rsidR="00417224" w:rsidRPr="00465F9B" w:rsidRDefault="00417224" w:rsidP="0041722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hyperlink r:id="rId27" w:history="1">
        <w:r w:rsidRPr="00465F9B">
          <w:rPr>
            <w:rFonts w:ascii="Times New Roman" w:hAnsi="Times New Roman" w:cs="Times New Roman"/>
            <w:color w:val="000000" w:themeColor="text1"/>
            <w:sz w:val="20"/>
            <w:szCs w:val="20"/>
          </w:rPr>
          <w:t>http://warlock.com.au/030504.htm</w:t>
        </w:r>
      </w:hyperlink>
      <w:r w:rsidRPr="00465F9B">
        <w:rPr>
          <w:rFonts w:ascii="Times New Roman" w:hAnsi="Times New Roman" w:cs="Times New Roman"/>
          <w:color w:val="000000" w:themeColor="text1"/>
          <w:sz w:val="20"/>
          <w:szCs w:val="20"/>
        </w:rPr>
        <w:t xml:space="preserve"> </w:t>
      </w:r>
    </w:p>
    <w:p w14:paraId="40EFF21F" w14:textId="07B0550E" w:rsidR="00911ACD" w:rsidRPr="00863D10" w:rsidRDefault="00417224" w:rsidP="00863D10">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65F9B">
        <w:rPr>
          <w:rFonts w:ascii="Times New Roman" w:hAnsi="Times New Roman" w:cs="Times New Roman"/>
          <w:color w:val="000000" w:themeColor="text1"/>
          <w:sz w:val="20"/>
          <w:szCs w:val="20"/>
        </w:rPr>
        <w:t xml:space="preserve">Modeling of Wind Power Plants for Short Circuit Analysis in the Transmission Network (2008), Nader Samaan, Member, Robert Zavadil, Member, J. Charles Smith, Senior Member, and Jose Conto, Member, </w:t>
      </w:r>
      <w:r w:rsidRPr="00465F9B">
        <w:rPr>
          <w:rFonts w:ascii="Times New Roman" w:hAnsi="Times New Roman" w:cs="Times New Roman"/>
          <w:color w:val="000000" w:themeColor="text1"/>
          <w:sz w:val="20"/>
          <w:szCs w:val="20"/>
        </w:rPr>
        <w:t>IEEE,</w:t>
      </w:r>
      <w:r w:rsidRPr="00465F9B">
        <w:rPr>
          <w:rFonts w:ascii="Times New Roman" w:hAnsi="Times New Roman" w:cs="Times New Roman"/>
          <w:color w:val="000000" w:themeColor="text1"/>
          <w:sz w:val="20"/>
          <w:szCs w:val="20"/>
        </w:rPr>
        <w:t xml:space="preserve"> 978-1-4244-1904-3/08/$25.00 ©2008, IEEE</w:t>
      </w:r>
      <w:r w:rsidR="00863D10">
        <w:rPr>
          <w:rFonts w:ascii="Times New Roman" w:hAnsi="Times New Roman" w:cs="Times New Roman"/>
          <w:color w:val="000000" w:themeColor="text1"/>
          <w:sz w:val="20"/>
          <w:szCs w:val="20"/>
        </w:rPr>
        <w:t>.</w:t>
      </w:r>
      <w:r w:rsidR="00911ACD">
        <w:tab/>
      </w:r>
    </w:p>
    <w:sectPr w:rsidR="00911ACD" w:rsidRPr="00863D10" w:rsidSect="005F717A">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E1C84" w14:textId="77777777" w:rsidR="00A423BF" w:rsidRDefault="00A423BF" w:rsidP="00C556D7">
      <w:pPr>
        <w:spacing w:after="0" w:line="240" w:lineRule="auto"/>
      </w:pPr>
      <w:r>
        <w:separator/>
      </w:r>
    </w:p>
  </w:endnote>
  <w:endnote w:type="continuationSeparator" w:id="0">
    <w:p w14:paraId="1A04966C" w14:textId="77777777" w:rsidR="00A423BF" w:rsidRDefault="00A423B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B101D7">
      <w:rPr>
        <w:rFonts w:ascii="Times New Roman" w:eastAsia="Calibri" w:hAnsi="Times New Roman" w:cs="Times New Roman"/>
        <w:b/>
        <w:color w:val="1F497D"/>
        <w:sz w:val="20"/>
        <w:szCs w:val="20"/>
        <w:lang w:bidi="ml-IN"/>
      </w:rPr>
      <w:t xml:space="preserve">@International Journal Of Progressive Research In Engineering Management And Science          </w:t>
    </w:r>
    <w:r w:rsidR="006A6434" w:rsidRPr="00B101D7">
      <w:rPr>
        <w:rFonts w:ascii="Times New Roman" w:eastAsia="Calibri" w:hAnsi="Times New Roman" w:cs="Times New Roman"/>
        <w:b/>
        <w:color w:val="1F497D"/>
        <w:sz w:val="20"/>
        <w:szCs w:val="20"/>
        <w:lang w:bidi="ml-IN"/>
      </w:rPr>
      <w:t xml:space="preserve">           </w:t>
    </w:r>
    <w:r w:rsidRPr="00B101D7">
      <w:rPr>
        <w:rFonts w:ascii="Times New Roman" w:eastAsia="Calibri" w:hAnsi="Times New Roman" w:cs="Times New Roman"/>
        <w:b/>
        <w:color w:val="1F497D"/>
        <w:sz w:val="20"/>
        <w:szCs w:val="20"/>
        <w:lang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D5283" w14:textId="77777777" w:rsidR="00A423BF" w:rsidRDefault="00A423BF" w:rsidP="00C556D7">
      <w:pPr>
        <w:spacing w:after="0" w:line="240" w:lineRule="auto"/>
      </w:pPr>
      <w:r>
        <w:separator/>
      </w:r>
    </w:p>
  </w:footnote>
  <w:footnote w:type="continuationSeparator" w:id="0">
    <w:p w14:paraId="4F2C382F" w14:textId="77777777" w:rsidR="00A423BF" w:rsidRDefault="00A423B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Pr="00B101D7" w:rsidRDefault="005F717A" w:rsidP="006C74D5">
          <w:pPr>
            <w:tabs>
              <w:tab w:val="left" w:pos="4820"/>
              <w:tab w:val="right" w:pos="9360"/>
            </w:tabs>
            <w:jc w:val="center"/>
            <w:rPr>
              <w:rFonts w:ascii="Times New Roman" w:hAnsi="Times New Roman" w:cs="Times New Roman"/>
              <w:b/>
              <w:color w:val="1F497D"/>
              <w:sz w:val="22"/>
              <w:szCs w:val="22"/>
            </w:rPr>
          </w:pPr>
          <w:bookmarkStart w:id="1" w:name="_Hlk63187445"/>
          <w:r w:rsidRPr="00B101D7">
            <w:rPr>
              <w:rFonts w:ascii="Times New Roman" w:hAnsi="Times New Roman" w:cs="Times New Roman"/>
              <w:b/>
              <w:color w:val="1F497D"/>
              <w:sz w:val="22"/>
              <w:szCs w:val="22"/>
            </w:rPr>
            <w:t xml:space="preserve">INTERNATIONAL JOURNAL OF PROGRESSIVE RESEARCH IN ENGINEERING MANAGEMENT </w:t>
          </w:r>
        </w:p>
        <w:p w14:paraId="6229FD1E" w14:textId="77777777" w:rsidR="005F717A" w:rsidRPr="00B101D7" w:rsidRDefault="005F717A" w:rsidP="006C74D5">
          <w:pPr>
            <w:tabs>
              <w:tab w:val="left" w:pos="4820"/>
              <w:tab w:val="right" w:pos="9360"/>
            </w:tabs>
            <w:jc w:val="center"/>
            <w:rPr>
              <w:rFonts w:ascii="Times New Roman" w:hAnsi="Times New Roman" w:cs="Times New Roman"/>
              <w:b/>
              <w:color w:val="1F497D"/>
              <w:sz w:val="22"/>
              <w:szCs w:val="22"/>
            </w:rPr>
          </w:pPr>
          <w:r w:rsidRPr="00B101D7">
            <w:rPr>
              <w:rFonts w:ascii="Times New Roman" w:hAnsi="Times New Roman" w:cs="Times New Roman"/>
              <w:b/>
              <w:color w:val="1F497D"/>
              <w:sz w:val="22"/>
              <w:szCs w:val="22"/>
            </w:rPr>
            <w:t>AND SCIENCE (IJPREMS)</w:t>
          </w:r>
        </w:p>
        <w:p w14:paraId="68CBE0D2" w14:textId="77777777" w:rsidR="00125B8F" w:rsidRPr="00B101D7" w:rsidRDefault="00125B8F" w:rsidP="006C74D5">
          <w:pPr>
            <w:tabs>
              <w:tab w:val="left" w:pos="4820"/>
              <w:tab w:val="right" w:pos="9360"/>
            </w:tabs>
            <w:jc w:val="center"/>
            <w:rPr>
              <w:rFonts w:ascii="Times New Roman" w:hAnsi="Times New Roman" w:cs="Times New Roman"/>
              <w:bCs/>
              <w:sz w:val="16"/>
              <w:szCs w:val="24"/>
              <w:lang w:eastAsia="en-IN"/>
            </w:rPr>
          </w:pPr>
        </w:p>
        <w:p w14:paraId="16A90138" w14:textId="00EF02A2" w:rsidR="00125B8F" w:rsidRPr="00B101D7" w:rsidRDefault="00125B8F" w:rsidP="0018026F">
          <w:pPr>
            <w:tabs>
              <w:tab w:val="left" w:pos="4820"/>
              <w:tab w:val="right" w:pos="9360"/>
            </w:tabs>
            <w:jc w:val="center"/>
            <w:rPr>
              <w:rFonts w:ascii="Times New Roman" w:hAnsi="Times New Roman" w:cs="Times New Roman"/>
              <w:b/>
              <w:color w:val="1F497D"/>
              <w:sz w:val="24"/>
              <w:szCs w:val="24"/>
            </w:rPr>
          </w:pPr>
          <w:r w:rsidRPr="00B101D7">
            <w:rPr>
              <w:rFonts w:ascii="Times New Roman" w:hAnsi="Times New Roman" w:cs="Times New Roman"/>
              <w:bCs/>
              <w:sz w:val="24"/>
              <w:szCs w:val="24"/>
              <w:lang w:eastAsia="en-IN"/>
            </w:rPr>
            <w:t>Vol. 0</w:t>
          </w:r>
          <w:r w:rsidR="004808B7" w:rsidRPr="00B101D7">
            <w:rPr>
              <w:rFonts w:ascii="Times New Roman" w:hAnsi="Times New Roman" w:cs="Times New Roman"/>
              <w:bCs/>
              <w:sz w:val="24"/>
              <w:szCs w:val="24"/>
              <w:lang w:eastAsia="en-IN"/>
            </w:rPr>
            <w:t>4</w:t>
          </w:r>
          <w:r w:rsidRPr="00B101D7">
            <w:rPr>
              <w:rFonts w:ascii="Times New Roman" w:hAnsi="Times New Roman" w:cs="Times New Roman"/>
              <w:bCs/>
              <w:sz w:val="24"/>
              <w:szCs w:val="24"/>
              <w:lang w:eastAsia="en-IN"/>
            </w:rPr>
            <w:t xml:space="preserve">, Issue </w:t>
          </w:r>
          <w:r w:rsidR="0079243B" w:rsidRPr="00B101D7">
            <w:rPr>
              <w:rFonts w:ascii="Times New Roman" w:hAnsi="Times New Roman" w:cs="Times New Roman"/>
              <w:bCs/>
              <w:sz w:val="24"/>
              <w:szCs w:val="24"/>
              <w:lang w:eastAsia="en-IN"/>
            </w:rPr>
            <w:t>0</w:t>
          </w:r>
          <w:r w:rsidR="004808B7" w:rsidRPr="00B101D7">
            <w:rPr>
              <w:rFonts w:ascii="Times New Roman" w:hAnsi="Times New Roman" w:cs="Times New Roman"/>
              <w:bCs/>
              <w:sz w:val="24"/>
              <w:szCs w:val="24"/>
              <w:lang w:eastAsia="en-IN"/>
            </w:rPr>
            <w:t>1</w:t>
          </w:r>
          <w:r w:rsidRPr="00B101D7">
            <w:rPr>
              <w:rFonts w:ascii="Times New Roman" w:hAnsi="Times New Roman" w:cs="Times New Roman"/>
              <w:bCs/>
              <w:sz w:val="24"/>
              <w:szCs w:val="24"/>
              <w:lang w:eastAsia="en-IN"/>
            </w:rPr>
            <w:t xml:space="preserve">, </w:t>
          </w:r>
          <w:r w:rsidR="004808B7" w:rsidRPr="00B101D7">
            <w:rPr>
              <w:rFonts w:ascii="Times New Roman" w:hAnsi="Times New Roman" w:cs="Times New Roman"/>
              <w:bCs/>
              <w:sz w:val="24"/>
              <w:szCs w:val="24"/>
              <w:lang w:eastAsia="en-IN"/>
            </w:rPr>
            <w:t>January</w:t>
          </w:r>
          <w:r w:rsidRPr="00B101D7">
            <w:rPr>
              <w:rFonts w:ascii="Times New Roman" w:hAnsi="Times New Roman" w:cs="Times New Roman"/>
              <w:bCs/>
              <w:sz w:val="24"/>
              <w:szCs w:val="24"/>
              <w:lang w:eastAsia="en-IN"/>
            </w:rPr>
            <w:t xml:space="preserve"> 202</w:t>
          </w:r>
          <w:r w:rsidR="004808B7" w:rsidRPr="00B101D7">
            <w:rPr>
              <w:rFonts w:ascii="Times New Roman" w:hAnsi="Times New Roman" w:cs="Times New Roman"/>
              <w:bCs/>
              <w:sz w:val="24"/>
              <w:szCs w:val="24"/>
              <w:lang w:eastAsia="en-IN"/>
            </w:rPr>
            <w:t>4</w:t>
          </w:r>
          <w:r w:rsidRPr="00B101D7">
            <w:rPr>
              <w:rFonts w:ascii="Times New Roman" w:hAnsi="Times New Roman" w:cs="Times New Roman"/>
              <w:bCs/>
              <w:sz w:val="24"/>
              <w:szCs w:val="24"/>
              <w:lang w:eastAsia="en-IN"/>
            </w:rPr>
            <w:t>, pp : xx-xx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32062"/>
    <w:multiLevelType w:val="multilevel"/>
    <w:tmpl w:val="109A54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66836"/>
    <w:multiLevelType w:val="multilevel"/>
    <w:tmpl w:val="3782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87587"/>
    <w:multiLevelType w:val="hybridMultilevel"/>
    <w:tmpl w:val="1D2694F8"/>
    <w:lvl w:ilvl="0" w:tplc="705CF88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194109"/>
    <w:multiLevelType w:val="multilevel"/>
    <w:tmpl w:val="59466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6612B72"/>
    <w:multiLevelType w:val="multilevel"/>
    <w:tmpl w:val="78805FFC"/>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multilevel"/>
    <w:tmpl w:val="78805FFC"/>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1"/>
  </w:num>
  <w:num w:numId="2" w16cid:durableId="790048988">
    <w:abstractNumId w:val="8"/>
  </w:num>
  <w:num w:numId="3" w16cid:durableId="1993635357">
    <w:abstractNumId w:val="15"/>
  </w:num>
  <w:num w:numId="4" w16cid:durableId="1479104421">
    <w:abstractNumId w:val="16"/>
  </w:num>
  <w:num w:numId="5" w16cid:durableId="1066758610">
    <w:abstractNumId w:val="10"/>
  </w:num>
  <w:num w:numId="6" w16cid:durableId="590088686">
    <w:abstractNumId w:val="20"/>
  </w:num>
  <w:num w:numId="7" w16cid:durableId="924848298">
    <w:abstractNumId w:val="2"/>
  </w:num>
  <w:num w:numId="8" w16cid:durableId="781143302">
    <w:abstractNumId w:val="25"/>
  </w:num>
  <w:num w:numId="9" w16cid:durableId="851842906">
    <w:abstractNumId w:val="0"/>
  </w:num>
  <w:num w:numId="10" w16cid:durableId="350229811">
    <w:abstractNumId w:val="5"/>
  </w:num>
  <w:num w:numId="11" w16cid:durableId="2128309775">
    <w:abstractNumId w:val="23"/>
  </w:num>
  <w:num w:numId="12" w16cid:durableId="350029887">
    <w:abstractNumId w:val="19"/>
  </w:num>
  <w:num w:numId="13" w16cid:durableId="591670422">
    <w:abstractNumId w:val="14"/>
  </w:num>
  <w:num w:numId="14" w16cid:durableId="532691435">
    <w:abstractNumId w:val="4"/>
  </w:num>
  <w:num w:numId="15" w16cid:durableId="1268083021">
    <w:abstractNumId w:val="22"/>
  </w:num>
  <w:num w:numId="16" w16cid:durableId="1447193248">
    <w:abstractNumId w:val="12"/>
  </w:num>
  <w:num w:numId="17" w16cid:durableId="843742299">
    <w:abstractNumId w:val="17"/>
  </w:num>
  <w:num w:numId="18" w16cid:durableId="110824490">
    <w:abstractNumId w:val="3"/>
  </w:num>
  <w:num w:numId="19" w16cid:durableId="1376078544">
    <w:abstractNumId w:val="24"/>
  </w:num>
  <w:num w:numId="20" w16cid:durableId="888303389">
    <w:abstractNumId w:val="9"/>
  </w:num>
  <w:num w:numId="21" w16cid:durableId="164125617">
    <w:abstractNumId w:val="21"/>
  </w:num>
  <w:num w:numId="22" w16cid:durableId="1991787266">
    <w:abstractNumId w:val="18"/>
  </w:num>
  <w:num w:numId="23" w16cid:durableId="730348885">
    <w:abstractNumId w:val="1"/>
  </w:num>
  <w:num w:numId="24" w16cid:durableId="626199196">
    <w:abstractNumId w:val="7"/>
  </w:num>
  <w:num w:numId="25" w16cid:durableId="1658806928">
    <w:abstractNumId w:val="6"/>
  </w:num>
  <w:num w:numId="26" w16cid:durableId="20182669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6530"/>
    <w:rsid w:val="0000775C"/>
    <w:rsid w:val="00062B06"/>
    <w:rsid w:val="000649B0"/>
    <w:rsid w:val="00066A7A"/>
    <w:rsid w:val="0006754D"/>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19D5"/>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5641B"/>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17224"/>
    <w:rsid w:val="0044570C"/>
    <w:rsid w:val="00446FEA"/>
    <w:rsid w:val="00450069"/>
    <w:rsid w:val="004623B5"/>
    <w:rsid w:val="004808B7"/>
    <w:rsid w:val="0048549C"/>
    <w:rsid w:val="004960D6"/>
    <w:rsid w:val="00496A8A"/>
    <w:rsid w:val="004A26D4"/>
    <w:rsid w:val="004A52B3"/>
    <w:rsid w:val="004B0E1D"/>
    <w:rsid w:val="004C7399"/>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0487F"/>
    <w:rsid w:val="00714804"/>
    <w:rsid w:val="00716C32"/>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63D10"/>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23404"/>
    <w:rsid w:val="00A423BF"/>
    <w:rsid w:val="00A4268C"/>
    <w:rsid w:val="00A61FC8"/>
    <w:rsid w:val="00A66F99"/>
    <w:rsid w:val="00A71E07"/>
    <w:rsid w:val="00A730E3"/>
    <w:rsid w:val="00A846B7"/>
    <w:rsid w:val="00A921E2"/>
    <w:rsid w:val="00A95514"/>
    <w:rsid w:val="00AA1805"/>
    <w:rsid w:val="00AB0253"/>
    <w:rsid w:val="00AB1E91"/>
    <w:rsid w:val="00AC095F"/>
    <w:rsid w:val="00AD11A2"/>
    <w:rsid w:val="00AD52FF"/>
    <w:rsid w:val="00AD55FF"/>
    <w:rsid w:val="00B0156E"/>
    <w:rsid w:val="00B07F98"/>
    <w:rsid w:val="00B101D7"/>
    <w:rsid w:val="00B127F4"/>
    <w:rsid w:val="00B17F4E"/>
    <w:rsid w:val="00B21E66"/>
    <w:rsid w:val="00B60F30"/>
    <w:rsid w:val="00B71A47"/>
    <w:rsid w:val="00B76621"/>
    <w:rsid w:val="00B82E3B"/>
    <w:rsid w:val="00BA6D24"/>
    <w:rsid w:val="00BB7101"/>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EF52CD"/>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kth.diva-portal.org/smash/get/diva2:1199383/FULLTEXT01" TargetMode="External"/><Relationship Id="rId26" Type="http://schemas.openxmlformats.org/officeDocument/2006/relationships/hyperlink" Target="http://www.flapturbine.com/hawt_power_change_efficiency.html" TargetMode="External"/><Relationship Id="rId3" Type="http://schemas.openxmlformats.org/officeDocument/2006/relationships/styles" Target="styles.xml"/><Relationship Id="rId21" Type="http://schemas.openxmlformats.org/officeDocument/2006/relationships/hyperlink" Target="https://scholar.google.com/scholar_lookup?title=Alternative+Calibration+of+Cup+Anemometers:+A+Way+to+Reduce+the+Uncertainty+of+Wind+Power+Density+Estimation&amp;author=Guerrero-Villar,+F.&amp;author=Dorado-Vicente,+R.&amp;author=Medina-S%C3%A1nchez,+G.&amp;author=Torres-Jim%C3%A9nez,+E.&amp;publication_year=2019&amp;journal=Sensors&amp;volume=19&amp;pages=2029&amp;doi=10.3390/s1909202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1016/j.renene.2018.03.056" TargetMode="External"/><Relationship Id="rId25" Type="http://schemas.openxmlformats.org/officeDocument/2006/relationships/hyperlink" Target="https://doi.org/10.3390/en15124472"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cholar.google.com/scholar_lookup?title=ERA5:+The+new+champion+of+wind+power+modelling?&amp;author=Olauson,+J.&amp;publication_year=2018&amp;journal=Renew.+Energy&amp;volume=126&amp;pages=322%E2%80%93331&amp;doi=10.1016/j.renene.2018.03.056" TargetMode="External"/><Relationship Id="rId20" Type="http://schemas.openxmlformats.org/officeDocument/2006/relationships/hyperlink" Target="https://doi.org/10.3390/en1211203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arpnjournals.org/jeas/research_papers/rp_2020/jeas_0720_8255.pdf.%20Scopus"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scholar.google.com/scholar_lookup?title=The+ERA5+Atmospheric+Reanalysis&amp;author=Hersbach,+H.&amp;publication_year=2016" TargetMode="External"/><Relationship Id="rId23" Type="http://schemas.openxmlformats.org/officeDocument/2006/relationships/hyperlink" Target="http://www.emd.dk/files/windpro/WindPRO_Power_Curve_Options%20pdf" TargetMode="External"/><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scholar.google.com/scholar_lookup?title=Estimating+Air+Density+Using+Observations+and+Re-Analysis+Outputs+for+Wind+Energy+Purposes&amp;author=Floors,+R.&amp;author=Nielsen,+M.&amp;publication_year=2019&amp;journal=Energies&amp;volume=12&amp;pages=2038&amp;doi=10.3390/en12112038"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doi.org/10.3390/s19092029" TargetMode="External"/><Relationship Id="rId27" Type="http://schemas.openxmlformats.org/officeDocument/2006/relationships/hyperlink" Target="http://warlock.com.au/030504.htm"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4203</Words>
  <Characters>23961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Dell</cp:lastModifiedBy>
  <cp:revision>7</cp:revision>
  <cp:lastPrinted>2021-02-22T14:39:00Z</cp:lastPrinted>
  <dcterms:created xsi:type="dcterms:W3CDTF">2024-12-27T19:15:00Z</dcterms:created>
  <dcterms:modified xsi:type="dcterms:W3CDTF">2024-12-27T19:57:00Z</dcterms:modified>
</cp:coreProperties>
</file>