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0DC9" w14:textId="71393BE5" w:rsidR="00177B8B" w:rsidRPr="00177B8B" w:rsidRDefault="00177B8B" w:rsidP="009F6540">
      <w:pPr>
        <w:spacing w:before="54" w:after="0" w:line="276" w:lineRule="auto"/>
        <w:jc w:val="center"/>
        <w:rPr>
          <w:rFonts w:ascii="Times New Roman" w:hAnsi="Times New Roman" w:cs="Times New Roman"/>
          <w:b/>
          <w:bCs/>
          <w:color w:val="000000" w:themeColor="text1"/>
          <w:sz w:val="28"/>
          <w:szCs w:val="28"/>
        </w:rPr>
      </w:pPr>
      <w:r w:rsidRPr="00177B8B">
        <w:rPr>
          <w:rFonts w:ascii="Times New Roman" w:hAnsi="Times New Roman" w:cs="Times New Roman"/>
          <w:b/>
          <w:bCs/>
          <w:color w:val="000000" w:themeColor="text1"/>
          <w:sz w:val="28"/>
          <w:szCs w:val="28"/>
        </w:rPr>
        <w:t>WATER QUALITY ASSESSMENT FOR AGUSAN RIVER NEAR SANITARY LANDFILL IN BARANGAY POLICARPO, SAN LUIS, AGUSAN DEL SUR: BASIS FOR ENVIRONMENT MANAGEMENT PLAN</w:t>
      </w:r>
    </w:p>
    <w:p w14:paraId="736B6AC8" w14:textId="3AB8A015" w:rsidR="00DA52F4" w:rsidRPr="002A3E86" w:rsidRDefault="00CD425A"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Princess Mae C. Rivera</w:t>
      </w:r>
      <w:r w:rsidR="002A3E86">
        <w:rPr>
          <w:rFonts w:ascii="Times New Roman" w:hAnsi="Times New Roman" w:cs="Times New Roman"/>
          <w:b/>
          <w:bCs/>
          <w:color w:val="000000" w:themeColor="text1"/>
          <w:sz w:val="24"/>
          <w:szCs w:val="24"/>
          <w:vertAlign w:val="superscript"/>
        </w:rPr>
        <w:t>*1</w:t>
      </w:r>
    </w:p>
    <w:p w14:paraId="7AEC63B4" w14:textId="2BE45BF2" w:rsidR="00DA52F4" w:rsidRPr="001E51F3" w:rsidRDefault="002A3E8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177B8B" w:rsidRPr="00177B8B">
        <w:rPr>
          <w:rFonts w:ascii="Times New Roman" w:hAnsi="Times New Roman" w:cs="Times New Roman"/>
          <w:color w:val="000000" w:themeColor="text1"/>
        </w:rPr>
        <w:t>Graduate School of Development Management, University of Southeastern Philippines, Davao City, Philippines</w:t>
      </w:r>
    </w:p>
    <w:p w14:paraId="7C6E1520" w14:textId="393CB49D" w:rsidR="00DA52F4" w:rsidRPr="001E51F3" w:rsidRDefault="00DA52F4" w:rsidP="00177B8B">
      <w:pPr>
        <w:pBdr>
          <w:bottom w:val="single" w:sz="4" w:space="1" w:color="auto"/>
        </w:pBdr>
        <w:tabs>
          <w:tab w:val="left" w:pos="4275"/>
        </w:tabs>
        <w:spacing w:before="54" w:after="0" w:line="276" w:lineRule="auto"/>
        <w:rPr>
          <w:rFonts w:ascii="Times New Roman" w:hAnsi="Times New Roman" w:cs="Times New Roman"/>
          <w:color w:val="000000" w:themeColor="text1"/>
        </w:rPr>
      </w:pPr>
    </w:p>
    <w:p w14:paraId="262D7931" w14:textId="7BBCEEA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CBAF7FA" w14:textId="4374D866" w:rsidR="00296728" w:rsidRDefault="00296728" w:rsidP="0029672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96728">
        <w:rPr>
          <w:rFonts w:ascii="Times New Roman" w:hAnsi="Times New Roman" w:cs="Times New Roman"/>
          <w:color w:val="000000" w:themeColor="text1"/>
          <w:sz w:val="20"/>
          <w:szCs w:val="20"/>
        </w:rPr>
        <w:t xml:space="preserve">This study evaluates the water quality of the Agusan River near the sanitary landfill in Barangay Policarpo, San Luis, Agusan del Sur, to develop an Environmental Management Plan (EMP). The Agusan River serves as the sole water source for the local community, which relies on it for domestic and agricultural needs. Proximity to the landfill raises concerns about potential contamination from leachates containing heavy metals, nitrates, and pathogens. Water quality parameters such as Biochemical Oxygen Demand (BOD), Total Suspended Solids (TSS), pH, Fecal Coliform, Chemical Oxygen Demand (COD), color, and temperature were analyzed following standard methods and compared against the Department of Environment and Natural Resources (DENR) water quality </w:t>
      </w:r>
      <w:proofErr w:type="spellStart"/>
      <w:proofErr w:type="gramStart"/>
      <w:r w:rsidRPr="00296728">
        <w:rPr>
          <w:rFonts w:ascii="Times New Roman" w:hAnsi="Times New Roman" w:cs="Times New Roman"/>
          <w:color w:val="000000" w:themeColor="text1"/>
          <w:sz w:val="20"/>
          <w:szCs w:val="20"/>
        </w:rPr>
        <w:t>guidelines.Findings</w:t>
      </w:r>
      <w:proofErr w:type="spellEnd"/>
      <w:proofErr w:type="gramEnd"/>
      <w:r w:rsidRPr="00296728">
        <w:rPr>
          <w:rFonts w:ascii="Times New Roman" w:hAnsi="Times New Roman" w:cs="Times New Roman"/>
          <w:color w:val="000000" w:themeColor="text1"/>
          <w:sz w:val="20"/>
          <w:szCs w:val="20"/>
        </w:rPr>
        <w:t xml:space="preserve"> highlight the impact of landfill proximity on water quality, emphasizing the urgent need for sustainable management practices. The study identifies specific risks to public health and the aquatic ecosystem and proposes a comprehensive EMP aimed at mitigating pollution and preserving the Agusan River as a vital resource for the community. This research contributes valuable baseline data for environmental monitoring and serves as a foundation for future studies on water quality in similar rural settings.</w:t>
      </w:r>
    </w:p>
    <w:p w14:paraId="041EEF91" w14:textId="77777777" w:rsidR="00296728" w:rsidRDefault="00296728" w:rsidP="0029672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50D97EC" w:rsidR="00296728" w:rsidRPr="001E51F3" w:rsidRDefault="00296728" w:rsidP="00296728">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296728"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296728">
        <w:rPr>
          <w:rFonts w:ascii="Times New Roman" w:hAnsi="Times New Roman" w:cs="Times New Roman"/>
          <w:color w:val="000000" w:themeColor="text1"/>
          <w:sz w:val="20"/>
          <w:szCs w:val="20"/>
        </w:rPr>
        <w:t>Keywords: Agusan River, sanitary landfill, water quality assessment, Environmental Management Plan, Biochemical Oxygen Demand (BOD), Fecal Coliform, rural water resources, pollution mitigation, DENR guidelines.</w:t>
      </w:r>
    </w:p>
    <w:p w14:paraId="075684D6" w14:textId="37066754"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E40C5A3" w14:textId="77777777" w:rsidR="00296728" w:rsidRPr="00296728" w:rsidRDefault="00296728" w:rsidP="00296728">
      <w:pPr>
        <w:spacing w:before="54" w:after="0" w:line="276" w:lineRule="auto"/>
        <w:jc w:val="both"/>
        <w:rPr>
          <w:rFonts w:ascii="Times New Roman" w:hAnsi="Times New Roman" w:cs="Times New Roman"/>
          <w:bCs/>
          <w:color w:val="000000" w:themeColor="text1"/>
          <w:sz w:val="20"/>
          <w:szCs w:val="24"/>
        </w:rPr>
      </w:pPr>
      <w:r w:rsidRPr="00296728">
        <w:rPr>
          <w:rFonts w:ascii="Times New Roman" w:hAnsi="Times New Roman" w:cs="Times New Roman"/>
          <w:bCs/>
          <w:color w:val="000000" w:themeColor="text1"/>
          <w:sz w:val="20"/>
          <w:szCs w:val="24"/>
        </w:rPr>
        <w:t>The study focuses on assessing the water quality of the Agusan River near the sanitary landfill in Barangay Policarpo, San Luis, Agusan del Sur. The river is the sole water source for the community, which relies on it for drinking, cooking, and agriculture due to the absence of a formal plumbing system. Proximity to the landfill poses a significant risk of contamination from leachates containing harmful substances like heavy metals and pathogens.</w:t>
      </w:r>
    </w:p>
    <w:p w14:paraId="5CAE12A1" w14:textId="77777777" w:rsidR="00296728" w:rsidRDefault="00296728" w:rsidP="00296728">
      <w:pPr>
        <w:spacing w:before="54" w:after="0" w:line="276" w:lineRule="auto"/>
        <w:jc w:val="both"/>
        <w:rPr>
          <w:rFonts w:ascii="Times New Roman" w:hAnsi="Times New Roman" w:cs="Times New Roman"/>
          <w:bCs/>
          <w:color w:val="000000" w:themeColor="text1"/>
          <w:sz w:val="20"/>
          <w:szCs w:val="24"/>
        </w:rPr>
      </w:pPr>
      <w:r w:rsidRPr="00296728">
        <w:rPr>
          <w:rFonts w:ascii="Times New Roman" w:hAnsi="Times New Roman" w:cs="Times New Roman"/>
          <w:bCs/>
          <w:color w:val="000000" w:themeColor="text1"/>
          <w:sz w:val="20"/>
          <w:szCs w:val="24"/>
        </w:rPr>
        <w:t>The research aims to evaluate water quality parameters, such as Biochemical Oxygen Demand (BOD), Total Suspended Solids (TSS), pH, and Fecal Coliform, to understand the extent of contamination. The findings will provide critical baseline data for formulating an Environmental Management Plan (EMP) to mitigate risks, protect public health, and promote sustainable water resource management. This study highlights the importance of continuous monitoring in areas where communities depend solely on natural water sources, especially those near pollution-prone sites.</w:t>
      </w:r>
    </w:p>
    <w:p w14:paraId="01806DF1" w14:textId="662537BF" w:rsidR="00BC05C5" w:rsidRPr="00296728" w:rsidRDefault="00DA52F4" w:rsidP="00296728">
      <w:pPr>
        <w:pStyle w:val="ListParagraph"/>
        <w:numPr>
          <w:ilvl w:val="0"/>
          <w:numId w:val="21"/>
        </w:numPr>
        <w:spacing w:before="54" w:after="0" w:line="276" w:lineRule="auto"/>
        <w:rPr>
          <w:rFonts w:ascii="Times New Roman" w:hAnsi="Times New Roman" w:cs="Times New Roman"/>
          <w:bCs/>
          <w:color w:val="000000" w:themeColor="text1"/>
          <w:sz w:val="20"/>
          <w:szCs w:val="24"/>
        </w:rPr>
      </w:pPr>
      <w:r w:rsidRPr="00296728">
        <w:rPr>
          <w:rFonts w:ascii="Times New Roman" w:hAnsi="Times New Roman" w:cs="Times New Roman"/>
          <w:b/>
          <w:bCs/>
          <w:color w:val="000000" w:themeColor="text1"/>
          <w:sz w:val="24"/>
          <w:szCs w:val="24"/>
        </w:rPr>
        <w:t>METHODOLOGY</w:t>
      </w:r>
    </w:p>
    <w:p w14:paraId="11B36A39" w14:textId="77777777" w:rsidR="004842BD" w:rsidRDefault="004842BD" w:rsidP="009F6540">
      <w:pPr>
        <w:spacing w:before="54" w:after="0" w:line="276" w:lineRule="auto"/>
        <w:jc w:val="both"/>
        <w:rPr>
          <w:rFonts w:ascii="Times New Roman" w:hAnsi="Times New Roman" w:cs="Times New Roman"/>
          <w:color w:val="000000" w:themeColor="text1"/>
          <w:sz w:val="20"/>
          <w:szCs w:val="20"/>
        </w:rPr>
      </w:pPr>
      <w:r w:rsidRPr="004842BD">
        <w:rPr>
          <w:rFonts w:ascii="Times New Roman" w:hAnsi="Times New Roman" w:cs="Times New Roman"/>
          <w:color w:val="000000" w:themeColor="text1"/>
          <w:sz w:val="20"/>
          <w:szCs w:val="20"/>
        </w:rPr>
        <w:t>This chapter outlines the research methods, data sources, instruments of data gathering, the procedures to be followed, and the statistical treatment to be applied in the study.</w:t>
      </w:r>
    </w:p>
    <w:p w14:paraId="0A8B9337" w14:textId="3F8A77B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2A3E86">
        <w:rPr>
          <w:rFonts w:ascii="Times New Roman" w:hAnsi="Times New Roman" w:cs="Times New Roman"/>
          <w:b/>
          <w:bCs/>
          <w:color w:val="000000" w:themeColor="text1"/>
          <w:sz w:val="20"/>
          <w:szCs w:val="20"/>
        </w:rPr>
        <w:t>Research</w:t>
      </w:r>
      <w:r w:rsidR="004842BD">
        <w:rPr>
          <w:rFonts w:ascii="Times New Roman" w:hAnsi="Times New Roman" w:cs="Times New Roman"/>
          <w:b/>
          <w:bCs/>
          <w:color w:val="000000" w:themeColor="text1"/>
          <w:sz w:val="20"/>
          <w:szCs w:val="20"/>
        </w:rPr>
        <w:t xml:space="preserve"> Design</w:t>
      </w:r>
    </w:p>
    <w:p w14:paraId="4D61798B" w14:textId="77777777" w:rsidR="004842BD" w:rsidRDefault="004842BD" w:rsidP="009F6540">
      <w:pPr>
        <w:spacing w:before="54" w:after="0" w:line="276" w:lineRule="auto"/>
        <w:jc w:val="both"/>
        <w:rPr>
          <w:rFonts w:ascii="Times New Roman" w:hAnsi="Times New Roman" w:cs="Times New Roman"/>
          <w:color w:val="000000" w:themeColor="text1"/>
          <w:sz w:val="20"/>
          <w:szCs w:val="20"/>
        </w:rPr>
      </w:pPr>
      <w:r w:rsidRPr="004842BD">
        <w:rPr>
          <w:rFonts w:ascii="Times New Roman" w:hAnsi="Times New Roman" w:cs="Times New Roman"/>
          <w:color w:val="000000" w:themeColor="text1"/>
          <w:sz w:val="20"/>
          <w:szCs w:val="20"/>
        </w:rPr>
        <w:t>This study will use a descriptive quantitative research design in looking into the quality of water from the Agusan River at Barangay Policarpo, San Luis Sanitary Landfill. The focus will be given to the physicochemical analysis of the river. Laboratory analysis, not manipulated, will be conducted to obtain the parameters of water quality to be compared to the Water Quality Guidelines of the DENR, specifically DAO 2016-08 and DAO 2021-19.</w:t>
      </w:r>
    </w:p>
    <w:p w14:paraId="6955C9ED" w14:textId="77777777" w:rsidR="004842BD"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4842BD" w:rsidRPr="004842BD">
        <w:rPr>
          <w:rFonts w:ascii="Times New Roman" w:hAnsi="Times New Roman" w:cs="Times New Roman"/>
          <w:b/>
          <w:bCs/>
          <w:color w:val="000000" w:themeColor="text1"/>
          <w:sz w:val="20"/>
          <w:szCs w:val="20"/>
        </w:rPr>
        <w:t>Sources of Data</w:t>
      </w:r>
    </w:p>
    <w:p w14:paraId="54912A50" w14:textId="0CD1503A" w:rsidR="00AA06E0" w:rsidRDefault="004842BD" w:rsidP="009F6540">
      <w:pPr>
        <w:spacing w:before="54" w:after="0" w:line="276" w:lineRule="auto"/>
        <w:jc w:val="both"/>
        <w:rPr>
          <w:rFonts w:ascii="Times New Roman" w:hAnsi="Times New Roman" w:cs="Times New Roman"/>
          <w:color w:val="000000" w:themeColor="text1"/>
          <w:sz w:val="20"/>
          <w:szCs w:val="20"/>
        </w:rPr>
      </w:pPr>
      <w:r w:rsidRPr="004842BD">
        <w:rPr>
          <w:rFonts w:ascii="Times New Roman" w:hAnsi="Times New Roman" w:cs="Times New Roman"/>
          <w:color w:val="000000" w:themeColor="text1"/>
          <w:sz w:val="20"/>
          <w:szCs w:val="20"/>
        </w:rPr>
        <w:t>Water samples will be collected from the Agusan River near Barangay Policarpo, San Luis Sanitary Landfill because this river flows directly below the landfill. Sample analyses will be performed at the laboratory, DENR-accredited for accuracy and reliability in water quality analysis.</w:t>
      </w:r>
    </w:p>
    <w:p w14:paraId="3CE39709" w14:textId="10EA6CF4" w:rsidR="00FF5BE0" w:rsidRPr="00FF5BE0" w:rsidRDefault="004842BD" w:rsidP="00FF5BE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842BD">
        <w:rPr>
          <w:rFonts w:ascii="Times New Roman" w:hAnsi="Times New Roman" w:cs="Times New Roman"/>
          <w:b/>
          <w:bCs/>
          <w:color w:val="000000" w:themeColor="text1"/>
          <w:sz w:val="20"/>
          <w:szCs w:val="20"/>
        </w:rPr>
        <w:t>Data Gathering Instrument</w:t>
      </w:r>
    </w:p>
    <w:p w14:paraId="60111E72" w14:textId="792DC207" w:rsidR="00AA06E0" w:rsidRPr="004842BD" w:rsidRDefault="004842BD" w:rsidP="004842BD">
      <w:pPr>
        <w:spacing w:before="54" w:after="0" w:line="276" w:lineRule="auto"/>
        <w:jc w:val="both"/>
        <w:rPr>
          <w:rFonts w:ascii="Times New Roman" w:hAnsi="Times New Roman" w:cs="Times New Roman"/>
          <w:bCs/>
          <w:color w:val="000000" w:themeColor="text1"/>
          <w:sz w:val="20"/>
          <w:szCs w:val="20"/>
        </w:rPr>
      </w:pPr>
      <w:r w:rsidRPr="004842BD">
        <w:rPr>
          <w:rFonts w:ascii="Times New Roman" w:hAnsi="Times New Roman" w:cs="Times New Roman"/>
          <w:bCs/>
          <w:color w:val="000000" w:themeColor="text1"/>
          <w:sz w:val="20"/>
          <w:szCs w:val="20"/>
        </w:rPr>
        <w:t>Using Grab sampling procedures detailed by Standard Methods for the Examination of Water and Wastewater (SMEWW) by Baird et al. will be followed to collect the water samples. Sterile containers of glass or plastic material will be used to hold the samples in a safe way. These samples will then be tested to a DENR-accredited laboratory for the study of water quality analysis. Its physicochemical properties shall identify the degree of contamination.</w:t>
      </w:r>
    </w:p>
    <w:p w14:paraId="3035FEEE" w14:textId="4D14D839" w:rsidR="004842BD" w:rsidRPr="004842BD" w:rsidRDefault="004842BD" w:rsidP="004842BD">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4842BD">
        <w:rPr>
          <w:rFonts w:ascii="Times New Roman" w:hAnsi="Times New Roman" w:cs="Times New Roman"/>
          <w:b/>
          <w:color w:val="000000" w:themeColor="text1"/>
          <w:sz w:val="20"/>
          <w:szCs w:val="20"/>
        </w:rPr>
        <w:lastRenderedPageBreak/>
        <w:t>Procedure of the Study</w:t>
      </w:r>
    </w:p>
    <w:p w14:paraId="0C71C9C6" w14:textId="77777777" w:rsidR="004842BD" w:rsidRPr="004842BD" w:rsidRDefault="004842BD" w:rsidP="004842BD">
      <w:pPr>
        <w:spacing w:before="54" w:after="0" w:line="276" w:lineRule="auto"/>
        <w:jc w:val="both"/>
        <w:rPr>
          <w:rFonts w:ascii="Times New Roman" w:hAnsi="Times New Roman" w:cs="Times New Roman"/>
          <w:bCs/>
          <w:color w:val="000000" w:themeColor="text1"/>
          <w:sz w:val="20"/>
          <w:szCs w:val="20"/>
        </w:rPr>
      </w:pPr>
      <w:r w:rsidRPr="004842BD">
        <w:rPr>
          <w:rFonts w:ascii="Times New Roman" w:hAnsi="Times New Roman" w:cs="Times New Roman"/>
          <w:bCs/>
          <w:color w:val="000000" w:themeColor="text1"/>
          <w:sz w:val="20"/>
          <w:szCs w:val="20"/>
        </w:rPr>
        <w:t>A sampling station must first be identified along the Agusan River, preferably close to Barangay Policarpo, San Luis Sanitary Landfill. Prior to sampling, the researcher shall contact Barangay Policarpo's local government for permission. An existing grab sampling method will be applied to collect the water sample based on the procedure used by SMEWW. The samples will be collected oppositely to the river current between the surface and the bottom of the river. Samples will then be transferred to an accredited laboratory facility of DENR at for analysis. The samples will be tested by the laboratory using the appropriate testing equipment and methodologies. Results will then be compared to the DAO 2016-08 and DAO 2021-19 set standards for water quality to establish parameters that exceed accepted limits.</w:t>
      </w:r>
    </w:p>
    <w:p w14:paraId="4C3450F3" w14:textId="1AFDBCEF" w:rsidR="004842BD" w:rsidRPr="000723B1" w:rsidRDefault="004842BD" w:rsidP="004842BD">
      <w:pPr>
        <w:spacing w:before="54" w:after="0" w:line="276" w:lineRule="auto"/>
        <w:jc w:val="both"/>
        <w:rPr>
          <w:rFonts w:ascii="Times New Roman" w:hAnsi="Times New Roman" w:cs="Times New Roman"/>
          <w:bCs/>
          <w:color w:val="000000" w:themeColor="text1"/>
          <w:sz w:val="20"/>
          <w:szCs w:val="20"/>
        </w:rPr>
      </w:pPr>
      <w:r w:rsidRPr="004842BD">
        <w:rPr>
          <w:rFonts w:ascii="Times New Roman" w:hAnsi="Times New Roman" w:cs="Times New Roman"/>
          <w:bCs/>
          <w:color w:val="000000" w:themeColor="text1"/>
          <w:sz w:val="20"/>
          <w:szCs w:val="20"/>
        </w:rPr>
        <w:t>The researcher will request historical monitoring data from EMB XIII for the Agusan River to compare past water quality results with the present findings. Based on such findings, the study will advance recommendations and environmental policies directed towards not allowing the river to deteriorate more.</w:t>
      </w:r>
    </w:p>
    <w:p w14:paraId="040AB8E6" w14:textId="45B8BB10" w:rsidR="000723B1" w:rsidRPr="000723B1" w:rsidRDefault="000723B1" w:rsidP="000723B1">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0723B1">
        <w:rPr>
          <w:rFonts w:ascii="Times New Roman" w:hAnsi="Times New Roman" w:cs="Times New Roman"/>
          <w:b/>
          <w:color w:val="000000" w:themeColor="text1"/>
          <w:sz w:val="20"/>
          <w:szCs w:val="20"/>
        </w:rPr>
        <w:t>Statistical Analysis</w:t>
      </w:r>
    </w:p>
    <w:p w14:paraId="6FE163A7" w14:textId="75EADE04" w:rsidR="004842BD" w:rsidRPr="004842BD" w:rsidRDefault="000723B1" w:rsidP="004842BD">
      <w:pPr>
        <w:spacing w:before="54" w:after="0" w:line="276" w:lineRule="auto"/>
        <w:jc w:val="both"/>
        <w:rPr>
          <w:rFonts w:ascii="Times New Roman" w:hAnsi="Times New Roman" w:cs="Times New Roman"/>
          <w:bCs/>
          <w:color w:val="000000" w:themeColor="text1"/>
          <w:sz w:val="20"/>
          <w:szCs w:val="20"/>
        </w:rPr>
      </w:pPr>
      <w:r w:rsidRPr="000723B1">
        <w:rPr>
          <w:rFonts w:ascii="Times New Roman" w:hAnsi="Times New Roman" w:cs="Times New Roman"/>
          <w:bCs/>
          <w:color w:val="000000" w:themeColor="text1"/>
          <w:sz w:val="20"/>
          <w:szCs w:val="20"/>
        </w:rPr>
        <w:t>The study will use the descriptive statistical analysis to explain the laboratory findings. This analysis will help in determining how the water quality parameters of the Agusan River near the Barangay Policarpo, San Luis Sanitary Landfill compare with the limits for Class C water bodies as defined by DAO 2016-08 and DAO 2021-19. Use descriptive statistics to summarize the average, range, and distribution of the parameters to determine the acceptability of river water quality for the protection of aquatic life, agriculture, and related uses.</w:t>
      </w:r>
    </w:p>
    <w:p w14:paraId="78E51081" w14:textId="050BFE0B" w:rsidR="006A6434" w:rsidRPr="00596E16" w:rsidRDefault="006A6434" w:rsidP="00AA06E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361A50A" w14:textId="77777777" w:rsidR="00596E16" w:rsidRP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This study employs a systematic framework to evaluate the water quality of the Agusan River near the sanitary landfill in Barangay Policarpo, San Luis, Agusan del Sur, and to develop an Environmental Management Plan (EMP) based on the findings. The conceptual model focuses on understanding the relationship between landfill leachates and their impact on key water quality parameters. It is structured to integrate scientific assessment with regulatory standards to ensure a comprehensive analysis of the river’s condition.</w:t>
      </w:r>
    </w:p>
    <w:p w14:paraId="5D11D2BB" w14:textId="77777777" w:rsid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The water quality assessment revolves around measuring critical parameters such as Biochemical Oxygen Demand (BOD), Total Suspended Solids (TSS), pH, Fecal Coliform, Chemical Oxygen Demand (COD), color, and temperature. These parameters were selected because they provide a holistic view of the river's physicochemical and biological characteristics. Using the grab sampling method, water samples were collected from locations near the landfill to capture both surface and subsurface conditions. The samples were then analyzed in a DENR-accredited laboratory using standardized methods as outlined in the Standard Methods for the Examination of Water and Wastewater (SMEWW).</w:t>
      </w:r>
    </w:p>
    <w:p w14:paraId="0EF96FA2" w14:textId="77777777" w:rsidR="00596E16" w:rsidRDefault="00596E16" w:rsidP="00596E16">
      <w:pPr>
        <w:jc w:val="both"/>
        <w:rPr>
          <w:rFonts w:ascii="Times New Roman" w:hAnsi="Times New Roman" w:cs="Times New Roman"/>
          <w:sz w:val="20"/>
          <w:szCs w:val="20"/>
        </w:rPr>
      </w:pPr>
    </w:p>
    <w:p w14:paraId="761E4AD6" w14:textId="3B503476" w:rsidR="00596E16" w:rsidRPr="00596E16" w:rsidRDefault="00596E16" w:rsidP="00596E16">
      <w:pPr>
        <w:jc w:val="both"/>
        <w:rPr>
          <w:rFonts w:ascii="Times New Roman" w:hAnsi="Times New Roman" w:cs="Times New Roman"/>
          <w:sz w:val="20"/>
          <w:szCs w:val="20"/>
        </w:rPr>
      </w:pPr>
      <w:r w:rsidRPr="00596E16">
        <w:rPr>
          <w:rFonts w:ascii="Times New Roman" w:hAnsi="Times New Roman" w:cs="Times New Roman"/>
          <w:sz w:val="20"/>
          <w:szCs w:val="20"/>
        </w:rPr>
        <w:t>Table 1.</w:t>
      </w:r>
    </w:p>
    <w:p w14:paraId="0329F4EC" w14:textId="77777777" w:rsidR="00596E16" w:rsidRPr="00596E16" w:rsidRDefault="00596E16" w:rsidP="00596E16">
      <w:pPr>
        <w:jc w:val="both"/>
        <w:rPr>
          <w:rFonts w:ascii="Times New Roman" w:hAnsi="Times New Roman" w:cs="Times New Roman"/>
          <w:sz w:val="20"/>
          <w:szCs w:val="20"/>
        </w:rPr>
      </w:pPr>
      <w:r w:rsidRPr="00596E16">
        <w:rPr>
          <w:rFonts w:ascii="Times New Roman" w:hAnsi="Times New Roman" w:cs="Times New Roman"/>
          <w:sz w:val="20"/>
          <w:szCs w:val="20"/>
        </w:rPr>
        <w:t>DENR Water Body Classification and Intended Beneficial Use</w:t>
      </w:r>
    </w:p>
    <w:tbl>
      <w:tblPr>
        <w:tblStyle w:val="TableGrid"/>
        <w:tblW w:w="0" w:type="auto"/>
        <w:tblLook w:val="04A0" w:firstRow="1" w:lastRow="0" w:firstColumn="1" w:lastColumn="0" w:noHBand="0" w:noVBand="1"/>
      </w:tblPr>
      <w:tblGrid>
        <w:gridCol w:w="2515"/>
        <w:gridCol w:w="6835"/>
      </w:tblGrid>
      <w:tr w:rsidR="00596E16" w:rsidRPr="00596E16" w14:paraId="3FEA390A" w14:textId="77777777" w:rsidTr="00D65455">
        <w:tc>
          <w:tcPr>
            <w:tcW w:w="2515" w:type="dxa"/>
          </w:tcPr>
          <w:p w14:paraId="7BA5BAE7"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Classification</w:t>
            </w:r>
          </w:p>
        </w:tc>
        <w:tc>
          <w:tcPr>
            <w:tcW w:w="6835" w:type="dxa"/>
          </w:tcPr>
          <w:p w14:paraId="20002077"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Intended Beneficial Use</w:t>
            </w:r>
          </w:p>
        </w:tc>
      </w:tr>
      <w:tr w:rsidR="00596E16" w:rsidRPr="00596E16" w14:paraId="5C78B397" w14:textId="77777777" w:rsidTr="00D65455">
        <w:tc>
          <w:tcPr>
            <w:tcW w:w="2515" w:type="dxa"/>
          </w:tcPr>
          <w:p w14:paraId="179B1D3C"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 AA</w:t>
            </w:r>
          </w:p>
        </w:tc>
        <w:tc>
          <w:tcPr>
            <w:tcW w:w="6835" w:type="dxa"/>
          </w:tcPr>
          <w:p w14:paraId="34BD5027"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Public Water Supply Class I – Intended primarily for waters</w:t>
            </w:r>
          </w:p>
          <w:p w14:paraId="5DB8BB56"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having watersheds, which are uninhabited and/or otherwise</w:t>
            </w:r>
          </w:p>
          <w:p w14:paraId="12F7C3E9"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declared as protected areas, and which require only approved</w:t>
            </w:r>
          </w:p>
          <w:p w14:paraId="46238A2D"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disinfection to meet the latest PNSDW.</w:t>
            </w:r>
          </w:p>
        </w:tc>
      </w:tr>
      <w:tr w:rsidR="00596E16" w:rsidRPr="00596E16" w14:paraId="76B22956" w14:textId="77777777" w:rsidTr="00D65455">
        <w:tc>
          <w:tcPr>
            <w:tcW w:w="2515" w:type="dxa"/>
          </w:tcPr>
          <w:p w14:paraId="1D8EA07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 A</w:t>
            </w:r>
          </w:p>
        </w:tc>
        <w:tc>
          <w:tcPr>
            <w:tcW w:w="6835" w:type="dxa"/>
          </w:tcPr>
          <w:p w14:paraId="03AFC630"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Public Water Supply Class II – Intended as sources of water</w:t>
            </w:r>
          </w:p>
          <w:p w14:paraId="0952CCB3"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supply requiring conventional treatment (coagulation,</w:t>
            </w:r>
          </w:p>
          <w:p w14:paraId="4883976A"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sedimentation, filtration, and disinfection) to meet the latest</w:t>
            </w:r>
          </w:p>
          <w:p w14:paraId="7B5493AC"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PNSDW.</w:t>
            </w:r>
          </w:p>
        </w:tc>
      </w:tr>
      <w:tr w:rsidR="00596E16" w:rsidRPr="00596E16" w14:paraId="7268BE09" w14:textId="77777777" w:rsidTr="00D65455">
        <w:tc>
          <w:tcPr>
            <w:tcW w:w="2515" w:type="dxa"/>
          </w:tcPr>
          <w:p w14:paraId="2BE8D230"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 B</w:t>
            </w:r>
          </w:p>
        </w:tc>
        <w:tc>
          <w:tcPr>
            <w:tcW w:w="6835" w:type="dxa"/>
          </w:tcPr>
          <w:p w14:paraId="1DD43E5A"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Recreational Water Class I – Intended for primary contact recreation (bathing, swimming, etc.)</w:t>
            </w:r>
          </w:p>
        </w:tc>
      </w:tr>
      <w:tr w:rsidR="00596E16" w:rsidRPr="00596E16" w14:paraId="6EA37609" w14:textId="77777777" w:rsidTr="00D65455">
        <w:tc>
          <w:tcPr>
            <w:tcW w:w="2515" w:type="dxa"/>
          </w:tcPr>
          <w:p w14:paraId="374F5A14"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 C</w:t>
            </w:r>
          </w:p>
        </w:tc>
        <w:tc>
          <w:tcPr>
            <w:tcW w:w="6835" w:type="dxa"/>
          </w:tcPr>
          <w:p w14:paraId="7A3F8003"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1. Fishery Water for the propagation and growth of fish and</w:t>
            </w:r>
          </w:p>
          <w:p w14:paraId="711EEF9E" w14:textId="77777777" w:rsidR="00596E16" w:rsidRPr="00596E16" w:rsidRDefault="00596E16" w:rsidP="00D65455">
            <w:pPr>
              <w:widowControl w:val="0"/>
              <w:rPr>
                <w:rFonts w:ascii="Times New Roman" w:hAnsi="Times New Roman" w:cs="Times New Roman"/>
              </w:rPr>
            </w:pPr>
          </w:p>
          <w:p w14:paraId="4ADB7C68"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other aquatic resources</w:t>
            </w:r>
          </w:p>
          <w:p w14:paraId="61406CEF"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2. Recreational Water Class II – For boating, fishing, or similar</w:t>
            </w:r>
          </w:p>
          <w:p w14:paraId="7F9FEDC7" w14:textId="77777777" w:rsidR="00596E16" w:rsidRPr="00596E16" w:rsidRDefault="00596E16" w:rsidP="00D65455">
            <w:pPr>
              <w:widowControl w:val="0"/>
              <w:rPr>
                <w:rFonts w:ascii="Times New Roman" w:hAnsi="Times New Roman" w:cs="Times New Roman"/>
              </w:rPr>
            </w:pPr>
            <w:r w:rsidRPr="00596E16">
              <w:rPr>
                <w:rFonts w:ascii="Times New Roman" w:hAnsi="Times New Roman" w:cs="Times New Roman"/>
              </w:rPr>
              <w:t>activities</w:t>
            </w:r>
          </w:p>
          <w:p w14:paraId="3571ED25"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3. For agriculture, irrigation, and livestock watering</w:t>
            </w:r>
          </w:p>
        </w:tc>
      </w:tr>
      <w:tr w:rsidR="00596E16" w:rsidRPr="00596E16" w14:paraId="44947CB4" w14:textId="77777777" w:rsidTr="00D65455">
        <w:tc>
          <w:tcPr>
            <w:tcW w:w="2515" w:type="dxa"/>
          </w:tcPr>
          <w:p w14:paraId="0FF4300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Class D</w:t>
            </w:r>
          </w:p>
        </w:tc>
        <w:tc>
          <w:tcPr>
            <w:tcW w:w="6835" w:type="dxa"/>
          </w:tcPr>
          <w:p w14:paraId="25E45B6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Navigable waters</w:t>
            </w:r>
          </w:p>
        </w:tc>
      </w:tr>
    </w:tbl>
    <w:p w14:paraId="0F80D4E5" w14:textId="77777777" w:rsidR="00596E16" w:rsidRPr="00596E16" w:rsidRDefault="00596E16" w:rsidP="00596E16">
      <w:pPr>
        <w:jc w:val="both"/>
        <w:rPr>
          <w:rFonts w:ascii="Times New Roman" w:hAnsi="Times New Roman" w:cs="Times New Roman"/>
          <w:i/>
          <w:iCs/>
          <w:sz w:val="20"/>
          <w:szCs w:val="20"/>
        </w:rPr>
      </w:pPr>
      <w:r w:rsidRPr="00596E16">
        <w:rPr>
          <w:rFonts w:ascii="Times New Roman" w:hAnsi="Times New Roman" w:cs="Times New Roman"/>
          <w:i/>
          <w:iCs/>
          <w:sz w:val="20"/>
          <w:szCs w:val="20"/>
        </w:rPr>
        <w:t>Source: DAO 2016-08 and DAO 2021-19</w:t>
      </w:r>
    </w:p>
    <w:p w14:paraId="5C73FDF3" w14:textId="77777777" w:rsidR="00596E16" w:rsidRPr="00596E16" w:rsidRDefault="00596E16" w:rsidP="00596E16">
      <w:pPr>
        <w:jc w:val="both"/>
        <w:rPr>
          <w:rFonts w:ascii="Times New Roman" w:hAnsi="Times New Roman" w:cs="Times New Roman"/>
          <w:sz w:val="20"/>
          <w:szCs w:val="20"/>
        </w:rPr>
      </w:pPr>
      <w:r w:rsidRPr="00596E16">
        <w:rPr>
          <w:rFonts w:ascii="Times New Roman" w:hAnsi="Times New Roman" w:cs="Times New Roman"/>
          <w:sz w:val="20"/>
          <w:szCs w:val="20"/>
        </w:rPr>
        <w:t>Moreover, Table 2 shows the water quality guidelines for each parameter in every water body classification.</w:t>
      </w:r>
    </w:p>
    <w:tbl>
      <w:tblPr>
        <w:tblStyle w:val="TableGrid"/>
        <w:tblW w:w="0" w:type="auto"/>
        <w:tblLook w:val="04A0" w:firstRow="1" w:lastRow="0" w:firstColumn="1" w:lastColumn="0" w:noHBand="0" w:noVBand="1"/>
      </w:tblPr>
      <w:tblGrid>
        <w:gridCol w:w="1404"/>
        <w:gridCol w:w="1306"/>
        <w:gridCol w:w="1297"/>
        <w:gridCol w:w="1297"/>
        <w:gridCol w:w="1297"/>
        <w:gridCol w:w="1297"/>
        <w:gridCol w:w="1307"/>
      </w:tblGrid>
      <w:tr w:rsidR="00596E16" w:rsidRPr="00596E16" w14:paraId="22C0C010" w14:textId="77777777" w:rsidTr="00D65455">
        <w:trPr>
          <w:trHeight w:val="661"/>
        </w:trPr>
        <w:tc>
          <w:tcPr>
            <w:tcW w:w="1404" w:type="dxa"/>
            <w:vMerge w:val="restart"/>
          </w:tcPr>
          <w:p w14:paraId="68E24C49" w14:textId="77777777" w:rsidR="00596E16" w:rsidRPr="00596E16" w:rsidRDefault="00596E16" w:rsidP="00D65455">
            <w:pPr>
              <w:jc w:val="both"/>
              <w:rPr>
                <w:rFonts w:ascii="Times New Roman" w:hAnsi="Times New Roman" w:cs="Times New Roman"/>
              </w:rPr>
            </w:pPr>
          </w:p>
          <w:p w14:paraId="4C9573C5" w14:textId="77777777" w:rsidR="00596E16" w:rsidRPr="00596E16" w:rsidRDefault="00596E16" w:rsidP="00D65455">
            <w:pPr>
              <w:jc w:val="both"/>
              <w:rPr>
                <w:rFonts w:ascii="Times New Roman" w:hAnsi="Times New Roman" w:cs="Times New Roman"/>
              </w:rPr>
            </w:pPr>
          </w:p>
          <w:p w14:paraId="1C8731F2"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Parameters</w:t>
            </w:r>
          </w:p>
        </w:tc>
        <w:tc>
          <w:tcPr>
            <w:tcW w:w="1306" w:type="dxa"/>
            <w:vMerge w:val="restart"/>
          </w:tcPr>
          <w:p w14:paraId="0993E18A" w14:textId="77777777" w:rsidR="00596E16" w:rsidRPr="00596E16" w:rsidRDefault="00596E16" w:rsidP="00D65455">
            <w:pPr>
              <w:jc w:val="both"/>
              <w:rPr>
                <w:rFonts w:ascii="Times New Roman" w:hAnsi="Times New Roman" w:cs="Times New Roman"/>
              </w:rPr>
            </w:pPr>
          </w:p>
          <w:p w14:paraId="09402FB2" w14:textId="77777777" w:rsidR="00596E16" w:rsidRPr="00596E16" w:rsidRDefault="00596E16" w:rsidP="00D65455">
            <w:pPr>
              <w:jc w:val="both"/>
              <w:rPr>
                <w:rFonts w:ascii="Times New Roman" w:hAnsi="Times New Roman" w:cs="Times New Roman"/>
              </w:rPr>
            </w:pPr>
          </w:p>
          <w:p w14:paraId="7E727ADB"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Unit</w:t>
            </w:r>
          </w:p>
        </w:tc>
        <w:tc>
          <w:tcPr>
            <w:tcW w:w="6495" w:type="dxa"/>
            <w:gridSpan w:val="5"/>
          </w:tcPr>
          <w:p w14:paraId="08E0106F" w14:textId="77777777" w:rsidR="00596E16" w:rsidRPr="00596E16" w:rsidRDefault="00596E16" w:rsidP="00D65455">
            <w:pPr>
              <w:jc w:val="both"/>
              <w:rPr>
                <w:rFonts w:ascii="Times New Roman" w:hAnsi="Times New Roman" w:cs="Times New Roman"/>
              </w:rPr>
            </w:pPr>
          </w:p>
          <w:p w14:paraId="16E322F5" w14:textId="77777777" w:rsidR="00596E16" w:rsidRPr="00596E16" w:rsidRDefault="00596E16" w:rsidP="00D65455">
            <w:pPr>
              <w:jc w:val="center"/>
              <w:rPr>
                <w:rFonts w:ascii="Times New Roman" w:hAnsi="Times New Roman" w:cs="Times New Roman"/>
              </w:rPr>
            </w:pPr>
            <w:r w:rsidRPr="00596E16">
              <w:rPr>
                <w:rFonts w:ascii="Times New Roman" w:hAnsi="Times New Roman" w:cs="Times New Roman"/>
              </w:rPr>
              <w:t>Water Body Classification</w:t>
            </w:r>
          </w:p>
        </w:tc>
      </w:tr>
      <w:tr w:rsidR="00596E16" w:rsidRPr="00596E16" w14:paraId="056827B6" w14:textId="77777777" w:rsidTr="00D65455">
        <w:trPr>
          <w:trHeight w:val="377"/>
        </w:trPr>
        <w:tc>
          <w:tcPr>
            <w:tcW w:w="1404" w:type="dxa"/>
            <w:vMerge/>
          </w:tcPr>
          <w:p w14:paraId="5794DBFC" w14:textId="77777777" w:rsidR="00596E16" w:rsidRPr="00596E16" w:rsidRDefault="00596E16" w:rsidP="00D65455">
            <w:pPr>
              <w:jc w:val="both"/>
              <w:rPr>
                <w:rFonts w:ascii="Times New Roman" w:hAnsi="Times New Roman" w:cs="Times New Roman"/>
              </w:rPr>
            </w:pPr>
          </w:p>
        </w:tc>
        <w:tc>
          <w:tcPr>
            <w:tcW w:w="1306" w:type="dxa"/>
            <w:vMerge/>
          </w:tcPr>
          <w:p w14:paraId="04C838E7" w14:textId="77777777" w:rsidR="00596E16" w:rsidRPr="00596E16" w:rsidRDefault="00596E16" w:rsidP="00D65455">
            <w:pPr>
              <w:jc w:val="both"/>
              <w:rPr>
                <w:rFonts w:ascii="Times New Roman" w:hAnsi="Times New Roman" w:cs="Times New Roman"/>
              </w:rPr>
            </w:pPr>
          </w:p>
        </w:tc>
        <w:tc>
          <w:tcPr>
            <w:tcW w:w="1297" w:type="dxa"/>
          </w:tcPr>
          <w:p w14:paraId="103BAE0B"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AA</w:t>
            </w:r>
          </w:p>
        </w:tc>
        <w:tc>
          <w:tcPr>
            <w:tcW w:w="1297" w:type="dxa"/>
          </w:tcPr>
          <w:p w14:paraId="5C90915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A</w:t>
            </w:r>
          </w:p>
        </w:tc>
        <w:tc>
          <w:tcPr>
            <w:tcW w:w="1297" w:type="dxa"/>
          </w:tcPr>
          <w:p w14:paraId="3124C36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B</w:t>
            </w:r>
          </w:p>
        </w:tc>
        <w:tc>
          <w:tcPr>
            <w:tcW w:w="1297" w:type="dxa"/>
          </w:tcPr>
          <w:p w14:paraId="6A68DF24"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w:t>
            </w:r>
          </w:p>
        </w:tc>
        <w:tc>
          <w:tcPr>
            <w:tcW w:w="1307" w:type="dxa"/>
          </w:tcPr>
          <w:p w14:paraId="5445660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D</w:t>
            </w:r>
          </w:p>
        </w:tc>
      </w:tr>
      <w:tr w:rsidR="00596E16" w:rsidRPr="00596E16" w14:paraId="75D80329" w14:textId="77777777" w:rsidTr="00D65455">
        <w:trPr>
          <w:trHeight w:val="661"/>
        </w:trPr>
        <w:tc>
          <w:tcPr>
            <w:tcW w:w="1404" w:type="dxa"/>
          </w:tcPr>
          <w:p w14:paraId="07C82CB0"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Biological Oxygen</w:t>
            </w:r>
          </w:p>
          <w:p w14:paraId="25671EED"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Demand (BOD)</w:t>
            </w:r>
          </w:p>
        </w:tc>
        <w:tc>
          <w:tcPr>
            <w:tcW w:w="1306" w:type="dxa"/>
          </w:tcPr>
          <w:p w14:paraId="001A2C6A"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mg/L</w:t>
            </w:r>
          </w:p>
        </w:tc>
        <w:tc>
          <w:tcPr>
            <w:tcW w:w="1297" w:type="dxa"/>
          </w:tcPr>
          <w:p w14:paraId="0726887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w:t>
            </w:r>
          </w:p>
        </w:tc>
        <w:tc>
          <w:tcPr>
            <w:tcW w:w="1297" w:type="dxa"/>
          </w:tcPr>
          <w:p w14:paraId="6C4E32A4"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3</w:t>
            </w:r>
          </w:p>
        </w:tc>
        <w:tc>
          <w:tcPr>
            <w:tcW w:w="1297" w:type="dxa"/>
          </w:tcPr>
          <w:p w14:paraId="0EF9BE00"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w:t>
            </w:r>
          </w:p>
        </w:tc>
        <w:tc>
          <w:tcPr>
            <w:tcW w:w="1297" w:type="dxa"/>
          </w:tcPr>
          <w:p w14:paraId="1DFAB715"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7</w:t>
            </w:r>
          </w:p>
        </w:tc>
        <w:tc>
          <w:tcPr>
            <w:tcW w:w="1307" w:type="dxa"/>
          </w:tcPr>
          <w:p w14:paraId="364E5322"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15</w:t>
            </w:r>
          </w:p>
        </w:tc>
      </w:tr>
      <w:tr w:rsidR="00596E16" w:rsidRPr="00596E16" w14:paraId="6189B00E" w14:textId="77777777" w:rsidTr="00D65455">
        <w:trPr>
          <w:trHeight w:val="624"/>
        </w:trPr>
        <w:tc>
          <w:tcPr>
            <w:tcW w:w="1404" w:type="dxa"/>
          </w:tcPr>
          <w:p w14:paraId="7AFE247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Total Suspended</w:t>
            </w:r>
          </w:p>
          <w:p w14:paraId="02CAE57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Solid (TSS)</w:t>
            </w:r>
          </w:p>
        </w:tc>
        <w:tc>
          <w:tcPr>
            <w:tcW w:w="1306" w:type="dxa"/>
          </w:tcPr>
          <w:p w14:paraId="3CD2E605"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mg/L</w:t>
            </w:r>
          </w:p>
        </w:tc>
        <w:tc>
          <w:tcPr>
            <w:tcW w:w="1297" w:type="dxa"/>
          </w:tcPr>
          <w:p w14:paraId="01CF201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25</w:t>
            </w:r>
          </w:p>
        </w:tc>
        <w:tc>
          <w:tcPr>
            <w:tcW w:w="1297" w:type="dxa"/>
          </w:tcPr>
          <w:p w14:paraId="020EEDC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50</w:t>
            </w:r>
          </w:p>
        </w:tc>
        <w:tc>
          <w:tcPr>
            <w:tcW w:w="1297" w:type="dxa"/>
          </w:tcPr>
          <w:p w14:paraId="11C46920"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w:t>
            </w:r>
          </w:p>
        </w:tc>
        <w:tc>
          <w:tcPr>
            <w:tcW w:w="1297" w:type="dxa"/>
          </w:tcPr>
          <w:p w14:paraId="3701B0D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80</w:t>
            </w:r>
          </w:p>
        </w:tc>
        <w:tc>
          <w:tcPr>
            <w:tcW w:w="1307" w:type="dxa"/>
          </w:tcPr>
          <w:p w14:paraId="56E9C725"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110</w:t>
            </w:r>
          </w:p>
        </w:tc>
      </w:tr>
      <w:tr w:rsidR="00596E16" w:rsidRPr="00596E16" w14:paraId="436DA2BE" w14:textId="77777777" w:rsidTr="00596E16">
        <w:trPr>
          <w:trHeight w:val="335"/>
        </w:trPr>
        <w:tc>
          <w:tcPr>
            <w:tcW w:w="1404" w:type="dxa"/>
          </w:tcPr>
          <w:p w14:paraId="7A33EC3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pH (Range)</w:t>
            </w:r>
          </w:p>
        </w:tc>
        <w:tc>
          <w:tcPr>
            <w:tcW w:w="1306" w:type="dxa"/>
          </w:tcPr>
          <w:p w14:paraId="34F9DFBC" w14:textId="77777777" w:rsidR="00596E16" w:rsidRPr="00596E16" w:rsidRDefault="00596E16" w:rsidP="00D65455">
            <w:pPr>
              <w:jc w:val="both"/>
              <w:rPr>
                <w:rFonts w:ascii="Times New Roman" w:hAnsi="Times New Roman" w:cs="Times New Roman"/>
              </w:rPr>
            </w:pPr>
          </w:p>
        </w:tc>
        <w:tc>
          <w:tcPr>
            <w:tcW w:w="1297" w:type="dxa"/>
          </w:tcPr>
          <w:p w14:paraId="7108FC8C"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6.5-8.5</w:t>
            </w:r>
          </w:p>
        </w:tc>
        <w:tc>
          <w:tcPr>
            <w:tcW w:w="1297" w:type="dxa"/>
          </w:tcPr>
          <w:p w14:paraId="00CD6B1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6.5-8.5</w:t>
            </w:r>
          </w:p>
        </w:tc>
        <w:tc>
          <w:tcPr>
            <w:tcW w:w="1297" w:type="dxa"/>
          </w:tcPr>
          <w:p w14:paraId="639312D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6.5-8.5</w:t>
            </w:r>
          </w:p>
        </w:tc>
        <w:tc>
          <w:tcPr>
            <w:tcW w:w="1297" w:type="dxa"/>
          </w:tcPr>
          <w:p w14:paraId="1C47DEF7"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6.5-9.0</w:t>
            </w:r>
          </w:p>
        </w:tc>
        <w:tc>
          <w:tcPr>
            <w:tcW w:w="1307" w:type="dxa"/>
          </w:tcPr>
          <w:p w14:paraId="0C41628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6.5-9.0</w:t>
            </w:r>
          </w:p>
        </w:tc>
      </w:tr>
      <w:tr w:rsidR="00596E16" w:rsidRPr="00596E16" w14:paraId="24A95597" w14:textId="77777777" w:rsidTr="00D65455">
        <w:trPr>
          <w:trHeight w:val="624"/>
        </w:trPr>
        <w:tc>
          <w:tcPr>
            <w:tcW w:w="1404" w:type="dxa"/>
          </w:tcPr>
          <w:p w14:paraId="60093AB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Color</w:t>
            </w:r>
          </w:p>
        </w:tc>
        <w:tc>
          <w:tcPr>
            <w:tcW w:w="1306" w:type="dxa"/>
          </w:tcPr>
          <w:p w14:paraId="5D1EB40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TCU</w:t>
            </w:r>
          </w:p>
        </w:tc>
        <w:tc>
          <w:tcPr>
            <w:tcW w:w="1297" w:type="dxa"/>
          </w:tcPr>
          <w:p w14:paraId="7DED752A"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w:t>
            </w:r>
          </w:p>
        </w:tc>
        <w:tc>
          <w:tcPr>
            <w:tcW w:w="1297" w:type="dxa"/>
          </w:tcPr>
          <w:p w14:paraId="19B4B96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50</w:t>
            </w:r>
          </w:p>
        </w:tc>
        <w:tc>
          <w:tcPr>
            <w:tcW w:w="1297" w:type="dxa"/>
          </w:tcPr>
          <w:p w14:paraId="453A7D7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50</w:t>
            </w:r>
          </w:p>
        </w:tc>
        <w:tc>
          <w:tcPr>
            <w:tcW w:w="1297" w:type="dxa"/>
          </w:tcPr>
          <w:p w14:paraId="6FEC032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75</w:t>
            </w:r>
          </w:p>
        </w:tc>
        <w:tc>
          <w:tcPr>
            <w:tcW w:w="1307" w:type="dxa"/>
          </w:tcPr>
          <w:p w14:paraId="4C42404B"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150</w:t>
            </w:r>
          </w:p>
        </w:tc>
      </w:tr>
      <w:tr w:rsidR="00596E16" w:rsidRPr="00596E16" w14:paraId="6769254D" w14:textId="77777777" w:rsidTr="00D65455">
        <w:trPr>
          <w:trHeight w:val="661"/>
        </w:trPr>
        <w:tc>
          <w:tcPr>
            <w:tcW w:w="1404" w:type="dxa"/>
          </w:tcPr>
          <w:p w14:paraId="0F453B41"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Fecal Coliform</w:t>
            </w:r>
          </w:p>
        </w:tc>
        <w:tc>
          <w:tcPr>
            <w:tcW w:w="1306" w:type="dxa"/>
          </w:tcPr>
          <w:p w14:paraId="6DFEE555"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MPN/100ml</w:t>
            </w:r>
          </w:p>
        </w:tc>
        <w:tc>
          <w:tcPr>
            <w:tcW w:w="1297" w:type="dxa"/>
          </w:tcPr>
          <w:p w14:paraId="66B0DAF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20</w:t>
            </w:r>
          </w:p>
        </w:tc>
        <w:tc>
          <w:tcPr>
            <w:tcW w:w="1297" w:type="dxa"/>
          </w:tcPr>
          <w:p w14:paraId="29CD6E4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50</w:t>
            </w:r>
          </w:p>
        </w:tc>
        <w:tc>
          <w:tcPr>
            <w:tcW w:w="1297" w:type="dxa"/>
          </w:tcPr>
          <w:p w14:paraId="490C823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100</w:t>
            </w:r>
          </w:p>
        </w:tc>
        <w:tc>
          <w:tcPr>
            <w:tcW w:w="1297" w:type="dxa"/>
          </w:tcPr>
          <w:p w14:paraId="7FED664D"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200</w:t>
            </w:r>
          </w:p>
        </w:tc>
        <w:tc>
          <w:tcPr>
            <w:tcW w:w="1307" w:type="dxa"/>
          </w:tcPr>
          <w:p w14:paraId="517A99B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400</w:t>
            </w:r>
          </w:p>
        </w:tc>
      </w:tr>
      <w:tr w:rsidR="00596E16" w:rsidRPr="00596E16" w14:paraId="562EFFB4" w14:textId="77777777" w:rsidTr="00D65455">
        <w:trPr>
          <w:trHeight w:val="661"/>
        </w:trPr>
        <w:tc>
          <w:tcPr>
            <w:tcW w:w="1404" w:type="dxa"/>
          </w:tcPr>
          <w:p w14:paraId="47C8F0E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Chemical Oxygen</w:t>
            </w:r>
          </w:p>
          <w:p w14:paraId="02CEF0BE"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Demand (COD)</w:t>
            </w:r>
          </w:p>
        </w:tc>
        <w:tc>
          <w:tcPr>
            <w:tcW w:w="1306" w:type="dxa"/>
          </w:tcPr>
          <w:p w14:paraId="57F6512F"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mg/L</w:t>
            </w:r>
          </w:p>
        </w:tc>
        <w:tc>
          <w:tcPr>
            <w:tcW w:w="1297" w:type="dxa"/>
          </w:tcPr>
          <w:p w14:paraId="1F955FB4"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NDA</w:t>
            </w:r>
          </w:p>
        </w:tc>
        <w:tc>
          <w:tcPr>
            <w:tcW w:w="1297" w:type="dxa"/>
          </w:tcPr>
          <w:p w14:paraId="40854EE3"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60</w:t>
            </w:r>
          </w:p>
        </w:tc>
        <w:tc>
          <w:tcPr>
            <w:tcW w:w="1297" w:type="dxa"/>
          </w:tcPr>
          <w:p w14:paraId="553033C7"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60</w:t>
            </w:r>
          </w:p>
        </w:tc>
        <w:tc>
          <w:tcPr>
            <w:tcW w:w="1297" w:type="dxa"/>
          </w:tcPr>
          <w:p w14:paraId="353F46EA"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100</w:t>
            </w:r>
          </w:p>
        </w:tc>
        <w:tc>
          <w:tcPr>
            <w:tcW w:w="1307" w:type="dxa"/>
          </w:tcPr>
          <w:p w14:paraId="57904EE1"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200</w:t>
            </w:r>
          </w:p>
        </w:tc>
      </w:tr>
      <w:tr w:rsidR="00596E16" w:rsidRPr="00596E16" w14:paraId="4B5B3595" w14:textId="77777777" w:rsidTr="00D65455">
        <w:trPr>
          <w:trHeight w:val="624"/>
        </w:trPr>
        <w:tc>
          <w:tcPr>
            <w:tcW w:w="1404" w:type="dxa"/>
          </w:tcPr>
          <w:p w14:paraId="641480CB"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Temperature</w:t>
            </w:r>
          </w:p>
        </w:tc>
        <w:tc>
          <w:tcPr>
            <w:tcW w:w="1306" w:type="dxa"/>
          </w:tcPr>
          <w:p w14:paraId="019DD4E0"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°C</w:t>
            </w:r>
          </w:p>
        </w:tc>
        <w:tc>
          <w:tcPr>
            <w:tcW w:w="1297" w:type="dxa"/>
          </w:tcPr>
          <w:p w14:paraId="1EFC42C9"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NDA</w:t>
            </w:r>
          </w:p>
        </w:tc>
        <w:tc>
          <w:tcPr>
            <w:tcW w:w="1297" w:type="dxa"/>
          </w:tcPr>
          <w:p w14:paraId="4E9ACF58"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26-30</w:t>
            </w:r>
          </w:p>
        </w:tc>
        <w:tc>
          <w:tcPr>
            <w:tcW w:w="1297" w:type="dxa"/>
          </w:tcPr>
          <w:p w14:paraId="24113C66"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26-30</w:t>
            </w:r>
          </w:p>
        </w:tc>
        <w:tc>
          <w:tcPr>
            <w:tcW w:w="1297" w:type="dxa"/>
          </w:tcPr>
          <w:p w14:paraId="4446D38C"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25-31</w:t>
            </w:r>
          </w:p>
        </w:tc>
        <w:tc>
          <w:tcPr>
            <w:tcW w:w="1307" w:type="dxa"/>
          </w:tcPr>
          <w:p w14:paraId="6C2E6811" w14:textId="77777777" w:rsidR="00596E16" w:rsidRPr="00596E16" w:rsidRDefault="00596E16" w:rsidP="00D65455">
            <w:pPr>
              <w:jc w:val="both"/>
              <w:rPr>
                <w:rFonts w:ascii="Times New Roman" w:hAnsi="Times New Roman" w:cs="Times New Roman"/>
              </w:rPr>
            </w:pPr>
            <w:r w:rsidRPr="00596E16">
              <w:rPr>
                <w:rFonts w:ascii="Times New Roman" w:hAnsi="Times New Roman" w:cs="Times New Roman"/>
              </w:rPr>
              <w:t>25-32</w:t>
            </w:r>
          </w:p>
        </w:tc>
      </w:tr>
    </w:tbl>
    <w:p w14:paraId="2CBA1598" w14:textId="71FF6287" w:rsidR="00596E16" w:rsidRPr="00596E16" w:rsidRDefault="00596E16" w:rsidP="00596E16">
      <w:pPr>
        <w:jc w:val="both"/>
        <w:rPr>
          <w:rFonts w:ascii="Times New Roman" w:hAnsi="Times New Roman" w:cs="Times New Roman"/>
          <w:i/>
          <w:iCs/>
          <w:sz w:val="20"/>
          <w:szCs w:val="20"/>
        </w:rPr>
      </w:pPr>
      <w:r w:rsidRPr="00596E16">
        <w:rPr>
          <w:rFonts w:ascii="Times New Roman" w:hAnsi="Times New Roman" w:cs="Times New Roman"/>
          <w:i/>
          <w:iCs/>
          <w:sz w:val="20"/>
          <w:szCs w:val="20"/>
        </w:rPr>
        <w:t>Source: DAO 2016-08 and DAO 2021-19</w:t>
      </w:r>
    </w:p>
    <w:p w14:paraId="7486F2B1" w14:textId="77777777" w:rsidR="00596E16" w:rsidRP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The collected data were compared against the DENR Water Quality Guidelines (DAO 2016-08 and DAO 2021-19) for Class C water bodies, which serve as the regulatory benchmark for the study. Parameters exceeding the permissible limits indicate contamination and potential risks to public health and the aquatic ecosystem. To enhance the depth of analysis, historical water quality data from the Environmental Management Bureau (EMB) Region XIII were integrated, enabling the study to identify temporal trends in water quality and assess whether the landfill’s activities have exacerbated pollution levels over time.</w:t>
      </w:r>
    </w:p>
    <w:p w14:paraId="01B34569" w14:textId="77777777" w:rsidR="00596E16" w:rsidRP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Descriptive statistical methods were employed to analyze the data. This approach summarized the mean, range, and distribution of the measured parameters, providing insights into spatial and temporal variations in water quality. The findings highlighted areas of concern, such as elevated BOD and Fecal Coliform levels, which directly impact the river's suitability for aquatic life, agriculture, and domestic use.</w:t>
      </w:r>
    </w:p>
    <w:p w14:paraId="599F0EAC" w14:textId="77777777" w:rsidR="00596E16" w:rsidRP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The modeling process extends to risk assessment, identifying specific threats posed by contaminated water to the local community and ecosystem. These findings informed the development of a comprehensive Environmental Management Plan (EMP). The EMP includes measures such as the installation of leachate containment systems, riparian zone rehabilitation, and regular water quality monitoring to mitigate pollution and promote sustainable management practices. Community engagement is also emphasized, as the active participation of local residents is vital for the plan’s success.</w:t>
      </w:r>
    </w:p>
    <w:p w14:paraId="15E42CD0" w14:textId="750492B0" w:rsidR="00596E16" w:rsidRPr="00596E16" w:rsidRDefault="00596E16" w:rsidP="00596E16">
      <w:pPr>
        <w:spacing w:before="54"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Overall, this study’s modeling and analysis approach integrates scientific rigor with practical application, ensuring that the proposed solutions are both evidence-based and actionable. The framework serves not only to address immediate concerns but also to lay the groundwork for long-term environmental sustainability in Barangay Policarpo.</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56B070B" w14:textId="78212F36" w:rsidR="006C11CA" w:rsidRPr="001E51F3" w:rsidRDefault="00596E16"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Baird, R. B., Eaton, A. D., &amp; Clesceri, L. S. (2017). Standard methods for the          examination of water and wastewater (23rd ed.). American Public Health Association.</w:t>
      </w:r>
    </w:p>
    <w:p w14:paraId="375A43EB" w14:textId="470E907F" w:rsidR="003C7998" w:rsidRDefault="00596E16"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Department of Environment and Natural Resources. (2016). Administrative order no. 2016-08: Water quality guidelines and general effluent standards of 2016. Retrieved from DENR</w:t>
      </w:r>
      <w:r w:rsidRPr="00596E16">
        <w:rPr>
          <w:rFonts w:ascii="Times New Roman" w:hAnsi="Times New Roman" w:cs="Times New Roman"/>
          <w:color w:val="000000" w:themeColor="text1"/>
          <w:sz w:val="20"/>
          <w:szCs w:val="20"/>
        </w:rPr>
        <w:t xml:space="preserve"> </w:t>
      </w:r>
      <w:r w:rsidR="003C7998" w:rsidRPr="003C7998">
        <w:rPr>
          <w:rFonts w:ascii="Times New Roman" w:hAnsi="Times New Roman" w:cs="Times New Roman"/>
          <w:color w:val="000000" w:themeColor="text1"/>
          <w:sz w:val="20"/>
          <w:szCs w:val="20"/>
        </w:rPr>
        <w:t xml:space="preserve">Admin. (2021). Hollow block. Constructionor.Com. </w:t>
      </w:r>
      <w:hyperlink r:id="rId10" w:history="1">
        <w:r w:rsidR="003C7998" w:rsidRPr="003C7998">
          <w:rPr>
            <w:rStyle w:val="Hyperlink"/>
            <w:rFonts w:ascii="Times New Roman" w:hAnsi="Times New Roman"/>
            <w:color w:val="auto"/>
            <w:sz w:val="20"/>
            <w:szCs w:val="20"/>
          </w:rPr>
          <w:t>https://constructionor.com/hollow-block/</w:t>
        </w:r>
      </w:hyperlink>
    </w:p>
    <w:p w14:paraId="00BACEE8"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Department of Environment and Natural Resources. (2021). Administrative order no. 2021-19: Updated water quality guidelines and general effluent standards. Retrieved from DENR</w:t>
      </w:r>
    </w:p>
    <w:p w14:paraId="19A05627"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Divya, K., &amp; Solomon, J. (2015). Assessment of water quality parameters and their impact on the health of water bodies: A review. Environmental Monitoring and Assessment, 187(6), 399. https://doi.org/10.1007/s10661-015-4462-0</w:t>
      </w:r>
    </w:p>
    <w:p w14:paraId="3715CEAA"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 xml:space="preserve">Gholizadeh, M., Mohammadi, A., &amp; Shafiei, S. (2016). Water quality assessment using physicochemical and </w:t>
      </w:r>
      <w:r w:rsidRPr="00596E16">
        <w:rPr>
          <w:rFonts w:ascii="Times New Roman" w:hAnsi="Times New Roman" w:cs="Times New Roman"/>
          <w:color w:val="000000" w:themeColor="text1"/>
          <w:sz w:val="20"/>
          <w:szCs w:val="20"/>
        </w:rPr>
        <w:lastRenderedPageBreak/>
        <w:t xml:space="preserve">bacteriological indicators in the </w:t>
      </w:r>
      <w:proofErr w:type="spellStart"/>
      <w:r w:rsidRPr="00596E16">
        <w:rPr>
          <w:rFonts w:ascii="Times New Roman" w:hAnsi="Times New Roman" w:cs="Times New Roman"/>
          <w:color w:val="000000" w:themeColor="text1"/>
          <w:sz w:val="20"/>
          <w:szCs w:val="20"/>
        </w:rPr>
        <w:t>Zayandeh</w:t>
      </w:r>
      <w:proofErr w:type="spellEnd"/>
      <w:r w:rsidRPr="00596E16">
        <w:rPr>
          <w:rFonts w:ascii="Times New Roman" w:hAnsi="Times New Roman" w:cs="Times New Roman"/>
          <w:color w:val="000000" w:themeColor="text1"/>
          <w:sz w:val="20"/>
          <w:szCs w:val="20"/>
        </w:rPr>
        <w:t xml:space="preserve"> Roud River. Environmental Monitoring and Assessment, 188(5), 245. https://doi.org/10.1007/s10661-016-5233-4</w:t>
      </w:r>
    </w:p>
    <w:p w14:paraId="5AA63373"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96E16">
        <w:rPr>
          <w:rFonts w:ascii="Times New Roman" w:hAnsi="Times New Roman" w:cs="Times New Roman"/>
          <w:color w:val="000000" w:themeColor="text1"/>
          <w:sz w:val="20"/>
          <w:szCs w:val="20"/>
        </w:rPr>
        <w:t>Malbas</w:t>
      </w:r>
      <w:proofErr w:type="spellEnd"/>
      <w:r w:rsidRPr="00596E16">
        <w:rPr>
          <w:rFonts w:ascii="Times New Roman" w:hAnsi="Times New Roman" w:cs="Times New Roman"/>
          <w:color w:val="000000" w:themeColor="text1"/>
          <w:sz w:val="20"/>
          <w:szCs w:val="20"/>
        </w:rPr>
        <w:t>, R. A., &amp; Floren, F. M. (2018). Water quality assessment of Agusan River in Butuan City: A baseline study. Philippine Journal of Environmental Science, 14(2), 123-135.</w:t>
      </w:r>
    </w:p>
    <w:p w14:paraId="3510A349"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National Water Resources Board. (2015). Water quality management and monitoring guidelines. Retrieved from NWRB</w:t>
      </w:r>
    </w:p>
    <w:p w14:paraId="5A54FF8F"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Philippine Statistics Authority. (2020). Statistical indicators on water resources in the Philippines. Retrieved from PSA</w:t>
      </w:r>
    </w:p>
    <w:p w14:paraId="09DCFB33"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Summers, A. (2020). The influence of pH on aquatic ecosystems. Environmental Science &amp; Policy, 107, 41-48. https://doi.org/10.1016/j.envsci.2020.02.006</w:t>
      </w:r>
    </w:p>
    <w:p w14:paraId="7D9D9CBB"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
    <w:p w14:paraId="22929D88"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U.S. Environmental Protection Agency. (2018). Water quality standards handbook: Second edition. Retrieved from EPA</w:t>
      </w:r>
    </w:p>
    <w:p w14:paraId="6DB23DF3"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World Health Organization. (2022). Guidelines for drinking-water quality: Fourth edition incorporating the first addendum. Retrieved from WHO</w:t>
      </w:r>
    </w:p>
    <w:p w14:paraId="69FF816B" w14:textId="77777777" w:rsidR="00596E16"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 xml:space="preserve">Zhou, J., &amp; Zheng, J. (2020). Seasonal variation of water quality and its relation to land use patterns in the </w:t>
      </w:r>
      <w:proofErr w:type="spellStart"/>
      <w:r w:rsidRPr="00596E16">
        <w:rPr>
          <w:rFonts w:ascii="Times New Roman" w:hAnsi="Times New Roman" w:cs="Times New Roman"/>
          <w:color w:val="000000" w:themeColor="text1"/>
          <w:sz w:val="20"/>
          <w:szCs w:val="20"/>
        </w:rPr>
        <w:t>Dongting</w:t>
      </w:r>
      <w:proofErr w:type="spellEnd"/>
      <w:r w:rsidRPr="00596E16">
        <w:rPr>
          <w:rFonts w:ascii="Times New Roman" w:hAnsi="Times New Roman" w:cs="Times New Roman"/>
          <w:color w:val="000000" w:themeColor="text1"/>
          <w:sz w:val="20"/>
          <w:szCs w:val="20"/>
        </w:rPr>
        <w:t xml:space="preserve"> Lake region, China. Science of The Total Environment, 699, 134238. https://doi.org/10.1016/j.scitotenv.2019.134238</w:t>
      </w:r>
    </w:p>
    <w:p w14:paraId="01EE51B7" w14:textId="1A4F39A7" w:rsidR="003C7998" w:rsidRPr="00596E16" w:rsidRDefault="00596E16" w:rsidP="00596E1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6E16">
        <w:rPr>
          <w:rFonts w:ascii="Times New Roman" w:hAnsi="Times New Roman" w:cs="Times New Roman"/>
          <w:color w:val="000000" w:themeColor="text1"/>
          <w:sz w:val="20"/>
          <w:szCs w:val="20"/>
        </w:rPr>
        <w:t>Garcia, J. R., &amp; Ramos, R. S. (2020). Analyzing agricultural runoff and its impact on water quality in Agusan del Sur. Journal of Water Resource and Protection, 12(5), 279-291. https://doi.org/10.4236/jwarp.2020.125017</w:t>
      </w:r>
    </w:p>
    <w:sectPr w:rsidR="003C7998" w:rsidRPr="00596E1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A70C" w14:textId="77777777" w:rsidR="00B50F6D" w:rsidRDefault="00B50F6D" w:rsidP="00C556D7">
      <w:pPr>
        <w:spacing w:after="0" w:line="240" w:lineRule="auto"/>
      </w:pPr>
      <w:r>
        <w:separator/>
      </w:r>
    </w:p>
  </w:endnote>
  <w:endnote w:type="continuationSeparator" w:id="0">
    <w:p w14:paraId="3345EA71" w14:textId="77777777" w:rsidR="00B50F6D" w:rsidRDefault="00B50F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9176D">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0F565" w14:textId="77777777" w:rsidR="00B50F6D" w:rsidRDefault="00B50F6D" w:rsidP="00C556D7">
      <w:pPr>
        <w:spacing w:after="0" w:line="240" w:lineRule="auto"/>
      </w:pPr>
      <w:r>
        <w:separator/>
      </w:r>
    </w:p>
  </w:footnote>
  <w:footnote w:type="continuationSeparator" w:id="0">
    <w:p w14:paraId="4D3B160F" w14:textId="77777777" w:rsidR="00B50F6D" w:rsidRDefault="00B50F6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PH" w:eastAsia="en-PH"/>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BB0EABC"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107918">
            <w:rPr>
              <w:rFonts w:ascii="Times New Roman" w:hAnsi="Times New Roman" w:cs="Times New Roman"/>
              <w:bCs/>
              <w:sz w:val="24"/>
              <w:szCs w:val="24"/>
              <w:lang w:val="fr-FR" w:eastAsia="en-IN"/>
            </w:rPr>
            <w:t>0</w:t>
          </w:r>
          <w:r w:rsidR="0049176D">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2A3E86">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0972ABD2"/>
    <w:lvl w:ilvl="0">
      <w:start w:val="1"/>
      <w:numFmt w:val="decimal"/>
      <w:lvlText w:val="%1."/>
      <w:lvlJc w:val="left"/>
      <w:pPr>
        <w:ind w:left="360" w:hanging="360"/>
      </w:pPr>
      <w:rPr>
        <w:rFonts w:hint="default"/>
        <w:b/>
        <w:bCs w:val="0"/>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77467">
    <w:abstractNumId w:val="8"/>
  </w:num>
  <w:num w:numId="2" w16cid:durableId="1650817208">
    <w:abstractNumId w:val="5"/>
  </w:num>
  <w:num w:numId="3" w16cid:durableId="1899706120">
    <w:abstractNumId w:val="11"/>
  </w:num>
  <w:num w:numId="4" w16cid:durableId="804397455">
    <w:abstractNumId w:val="12"/>
  </w:num>
  <w:num w:numId="5" w16cid:durableId="576478540">
    <w:abstractNumId w:val="7"/>
  </w:num>
  <w:num w:numId="6" w16cid:durableId="1732918766">
    <w:abstractNumId w:val="15"/>
  </w:num>
  <w:num w:numId="7" w16cid:durableId="1584298096">
    <w:abstractNumId w:val="1"/>
  </w:num>
  <w:num w:numId="8" w16cid:durableId="2059933418">
    <w:abstractNumId w:val="20"/>
  </w:num>
  <w:num w:numId="9" w16cid:durableId="16397421">
    <w:abstractNumId w:val="0"/>
  </w:num>
  <w:num w:numId="10" w16cid:durableId="1814180995">
    <w:abstractNumId w:val="4"/>
  </w:num>
  <w:num w:numId="11" w16cid:durableId="1992949934">
    <w:abstractNumId w:val="18"/>
  </w:num>
  <w:num w:numId="12" w16cid:durableId="1644119605">
    <w:abstractNumId w:val="14"/>
  </w:num>
  <w:num w:numId="13" w16cid:durableId="292908527">
    <w:abstractNumId w:val="10"/>
  </w:num>
  <w:num w:numId="14" w16cid:durableId="447896295">
    <w:abstractNumId w:val="3"/>
  </w:num>
  <w:num w:numId="15" w16cid:durableId="836581331">
    <w:abstractNumId w:val="17"/>
  </w:num>
  <w:num w:numId="16" w16cid:durableId="1189832111">
    <w:abstractNumId w:val="9"/>
  </w:num>
  <w:num w:numId="17" w16cid:durableId="1247307798">
    <w:abstractNumId w:val="13"/>
  </w:num>
  <w:num w:numId="18" w16cid:durableId="655961884">
    <w:abstractNumId w:val="2"/>
  </w:num>
  <w:num w:numId="19" w16cid:durableId="385300827">
    <w:abstractNumId w:val="19"/>
  </w:num>
  <w:num w:numId="20" w16cid:durableId="2122451270">
    <w:abstractNumId w:val="6"/>
  </w:num>
  <w:num w:numId="21" w16cid:durableId="187989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3B1"/>
    <w:rsid w:val="00081E20"/>
    <w:rsid w:val="000846F5"/>
    <w:rsid w:val="00091059"/>
    <w:rsid w:val="00094D76"/>
    <w:rsid w:val="00095D77"/>
    <w:rsid w:val="000A3933"/>
    <w:rsid w:val="000A5BB0"/>
    <w:rsid w:val="000B1932"/>
    <w:rsid w:val="000C2D11"/>
    <w:rsid w:val="000D7425"/>
    <w:rsid w:val="000D79A3"/>
    <w:rsid w:val="000E5718"/>
    <w:rsid w:val="000F2747"/>
    <w:rsid w:val="000F2DCD"/>
    <w:rsid w:val="0010160E"/>
    <w:rsid w:val="00107918"/>
    <w:rsid w:val="00115146"/>
    <w:rsid w:val="00125B8F"/>
    <w:rsid w:val="00127B8C"/>
    <w:rsid w:val="00130820"/>
    <w:rsid w:val="0013642C"/>
    <w:rsid w:val="00140E84"/>
    <w:rsid w:val="0014571A"/>
    <w:rsid w:val="00157BEC"/>
    <w:rsid w:val="001669B3"/>
    <w:rsid w:val="00167C79"/>
    <w:rsid w:val="0017211F"/>
    <w:rsid w:val="00177B8B"/>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96728"/>
    <w:rsid w:val="002A3E8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C7998"/>
    <w:rsid w:val="003D2120"/>
    <w:rsid w:val="003E2ECA"/>
    <w:rsid w:val="003E49D7"/>
    <w:rsid w:val="003E7930"/>
    <w:rsid w:val="003F6899"/>
    <w:rsid w:val="003F6F2B"/>
    <w:rsid w:val="00414F4A"/>
    <w:rsid w:val="004161D7"/>
    <w:rsid w:val="0044570C"/>
    <w:rsid w:val="00446FEA"/>
    <w:rsid w:val="00450069"/>
    <w:rsid w:val="004623B5"/>
    <w:rsid w:val="004842BD"/>
    <w:rsid w:val="0048549C"/>
    <w:rsid w:val="0049176D"/>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6E16"/>
    <w:rsid w:val="005A48C2"/>
    <w:rsid w:val="005B122B"/>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ED9"/>
    <w:rsid w:val="00971033"/>
    <w:rsid w:val="009A49D4"/>
    <w:rsid w:val="009C713B"/>
    <w:rsid w:val="009E4D95"/>
    <w:rsid w:val="009E7E3D"/>
    <w:rsid w:val="009F6540"/>
    <w:rsid w:val="00A0162A"/>
    <w:rsid w:val="00A05625"/>
    <w:rsid w:val="00A4268C"/>
    <w:rsid w:val="00A53008"/>
    <w:rsid w:val="00A61FC8"/>
    <w:rsid w:val="00A66F99"/>
    <w:rsid w:val="00A71E07"/>
    <w:rsid w:val="00A730E3"/>
    <w:rsid w:val="00A846B7"/>
    <w:rsid w:val="00A921E2"/>
    <w:rsid w:val="00A95514"/>
    <w:rsid w:val="00AA06E0"/>
    <w:rsid w:val="00AA1805"/>
    <w:rsid w:val="00AB1E91"/>
    <w:rsid w:val="00AC095F"/>
    <w:rsid w:val="00AD11A2"/>
    <w:rsid w:val="00AD52FF"/>
    <w:rsid w:val="00AD55FF"/>
    <w:rsid w:val="00B0156E"/>
    <w:rsid w:val="00B07F98"/>
    <w:rsid w:val="00B127F4"/>
    <w:rsid w:val="00B17F4E"/>
    <w:rsid w:val="00B21E66"/>
    <w:rsid w:val="00B50F6D"/>
    <w:rsid w:val="00B60F30"/>
    <w:rsid w:val="00B71A47"/>
    <w:rsid w:val="00B76621"/>
    <w:rsid w:val="00B82E3B"/>
    <w:rsid w:val="00BA6D24"/>
    <w:rsid w:val="00BC05C5"/>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2B91"/>
    <w:rsid w:val="00CA6977"/>
    <w:rsid w:val="00CD425A"/>
    <w:rsid w:val="00CD7165"/>
    <w:rsid w:val="00CE4576"/>
    <w:rsid w:val="00CE4A54"/>
    <w:rsid w:val="00CE5A19"/>
    <w:rsid w:val="00D25854"/>
    <w:rsid w:val="00D3084A"/>
    <w:rsid w:val="00D74DDA"/>
    <w:rsid w:val="00DA52F4"/>
    <w:rsid w:val="00DD6B36"/>
    <w:rsid w:val="00DD7C7C"/>
    <w:rsid w:val="00DE18E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5BE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onstructionor.com/hollow-block/"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FC0B-9614-47DC-A44C-FDC1AD2E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Princess Mae Rivera</cp:lastModifiedBy>
  <cp:revision>3</cp:revision>
  <cp:lastPrinted>2021-02-22T14:39:00Z</cp:lastPrinted>
  <dcterms:created xsi:type="dcterms:W3CDTF">2023-05-24T03:04:00Z</dcterms:created>
  <dcterms:modified xsi:type="dcterms:W3CDTF">2024-12-23T12:56:00Z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9d262cff048bc1a0528660754f14196d91fa85849e15b85611e7a27083e273e4</vt:lpwstr>
  </property>
</Properties>
</file>