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3C3D92ED" w:rsidR="00DA52F4" w:rsidRPr="001E51F3" w:rsidRDefault="002105D5"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sz w:val="28"/>
          <w:szCs w:val="28"/>
        </w:rPr>
        <w:t>HYDRO</w:t>
      </w:r>
      <w:r w:rsidRPr="002105D5">
        <w:rPr>
          <w:rFonts w:ascii="Times New Roman" w:hAnsi="Times New Roman" w:cs="Times New Roman"/>
          <w:b/>
          <w:bCs/>
          <w:sz w:val="28"/>
          <w:szCs w:val="28"/>
        </w:rPr>
        <w:t>CHEMICAL PARAMETERS OF TWO RI</w:t>
      </w:r>
      <w:r>
        <w:rPr>
          <w:rFonts w:ascii="Times New Roman" w:hAnsi="Times New Roman" w:cs="Times New Roman"/>
          <w:b/>
          <w:bCs/>
          <w:sz w:val="28"/>
          <w:szCs w:val="28"/>
        </w:rPr>
        <w:t>VERS IN AKOLE TALUKA OF AHILYANAGAR</w:t>
      </w:r>
      <w:r w:rsidRPr="002105D5">
        <w:rPr>
          <w:rFonts w:ascii="Times New Roman" w:hAnsi="Times New Roman" w:cs="Times New Roman"/>
          <w:b/>
          <w:bCs/>
          <w:sz w:val="28"/>
          <w:szCs w:val="28"/>
        </w:rPr>
        <w:t xml:space="preserve"> DISTRICT OF MAHARASHTRA STATE</w:t>
      </w:r>
    </w:p>
    <w:p w14:paraId="1383893A" w14:textId="66AE4AA1" w:rsidR="002105D5" w:rsidRPr="00030CFD" w:rsidRDefault="002105D5" w:rsidP="002105D5">
      <w:pPr>
        <w:spacing w:line="240" w:lineRule="auto"/>
        <w:jc w:val="center"/>
        <w:rPr>
          <w:rFonts w:ascii="Times New Roman" w:hAnsi="Times New Roman" w:cs="Times New Roman"/>
          <w:b/>
          <w:sz w:val="24"/>
          <w:szCs w:val="24"/>
        </w:rPr>
      </w:pPr>
      <w:r w:rsidRPr="00030CFD">
        <w:rPr>
          <w:rFonts w:ascii="Times New Roman" w:hAnsi="Times New Roman" w:cs="Times New Roman"/>
          <w:b/>
          <w:sz w:val="24"/>
          <w:szCs w:val="24"/>
        </w:rPr>
        <w:t>Rupendra</w:t>
      </w:r>
      <w:r>
        <w:rPr>
          <w:rFonts w:ascii="Times New Roman" w:hAnsi="Times New Roman" w:cs="Times New Roman"/>
          <w:b/>
          <w:sz w:val="24"/>
          <w:szCs w:val="24"/>
        </w:rPr>
        <w:t xml:space="preserve"> Bhagde</w:t>
      </w:r>
      <w:r w:rsidRPr="00030CFD">
        <w:rPr>
          <w:rFonts w:ascii="Times New Roman" w:hAnsi="Times New Roman" w:cs="Times New Roman"/>
          <w:b/>
          <w:sz w:val="24"/>
          <w:szCs w:val="24"/>
        </w:rPr>
        <w:t>, Nikita Hile, Pooja</w:t>
      </w:r>
      <w:r>
        <w:rPr>
          <w:rFonts w:ascii="Times New Roman" w:hAnsi="Times New Roman" w:cs="Times New Roman"/>
          <w:b/>
          <w:sz w:val="24"/>
          <w:szCs w:val="24"/>
        </w:rPr>
        <w:t xml:space="preserve"> </w:t>
      </w:r>
      <w:r w:rsidRPr="00030CFD">
        <w:rPr>
          <w:rFonts w:ascii="Times New Roman" w:hAnsi="Times New Roman" w:cs="Times New Roman"/>
          <w:b/>
          <w:sz w:val="24"/>
          <w:szCs w:val="24"/>
        </w:rPr>
        <w:t>Daware, Tanuja</w:t>
      </w:r>
      <w:r>
        <w:rPr>
          <w:rFonts w:ascii="Times New Roman" w:hAnsi="Times New Roman" w:cs="Times New Roman"/>
          <w:b/>
          <w:sz w:val="24"/>
          <w:szCs w:val="24"/>
        </w:rPr>
        <w:t xml:space="preserve"> </w:t>
      </w:r>
      <w:r w:rsidRPr="00030CFD">
        <w:rPr>
          <w:rFonts w:ascii="Times New Roman" w:hAnsi="Times New Roman" w:cs="Times New Roman"/>
          <w:b/>
          <w:sz w:val="24"/>
          <w:szCs w:val="24"/>
        </w:rPr>
        <w:t>Sahane</w:t>
      </w:r>
      <w:r>
        <w:rPr>
          <w:rFonts w:ascii="Times New Roman" w:hAnsi="Times New Roman" w:cs="Times New Roman"/>
          <w:b/>
          <w:sz w:val="24"/>
          <w:szCs w:val="24"/>
        </w:rPr>
        <w:t>, Supriya</w:t>
      </w:r>
      <w:r w:rsidRPr="00030CFD">
        <w:rPr>
          <w:rFonts w:ascii="Times New Roman" w:hAnsi="Times New Roman" w:cs="Times New Roman"/>
          <w:b/>
          <w:sz w:val="24"/>
          <w:szCs w:val="24"/>
        </w:rPr>
        <w:t xml:space="preserve"> Mhase, Shubham Ambre and Ranjit Raut</w:t>
      </w:r>
      <w:r>
        <w:rPr>
          <w:rFonts w:ascii="Times New Roman" w:hAnsi="Times New Roman" w:cs="Times New Roman"/>
          <w:b/>
          <w:sz w:val="24"/>
          <w:szCs w:val="24"/>
        </w:rPr>
        <w:t>*</w:t>
      </w:r>
    </w:p>
    <w:p w14:paraId="3572253F" w14:textId="77777777" w:rsidR="002105D5" w:rsidRPr="002105D5" w:rsidRDefault="002105D5" w:rsidP="002105D5">
      <w:pPr>
        <w:spacing w:after="0" w:line="240" w:lineRule="auto"/>
        <w:jc w:val="center"/>
        <w:rPr>
          <w:rFonts w:ascii="Times New Roman" w:hAnsi="Times New Roman" w:cs="Times New Roman"/>
        </w:rPr>
      </w:pPr>
      <w:r w:rsidRPr="002105D5">
        <w:rPr>
          <w:rFonts w:ascii="Times New Roman" w:hAnsi="Times New Roman" w:cs="Times New Roman"/>
        </w:rPr>
        <w:t>Department of Zoology, S.N. Arts, D.J.M. Commerce and B.N. Sarada College (Autonomous), Sangamner, District Ahilyanagar, Maharashtra, India.</w:t>
      </w:r>
    </w:p>
    <w:p w14:paraId="770BACF6" w14:textId="77777777" w:rsidR="002105D5" w:rsidRPr="002105D5" w:rsidRDefault="002105D5" w:rsidP="002105D5">
      <w:pPr>
        <w:spacing w:after="0" w:line="240" w:lineRule="auto"/>
        <w:jc w:val="center"/>
        <w:rPr>
          <w:rFonts w:ascii="Times New Roman" w:hAnsi="Times New Roman" w:cs="Times New Roman"/>
        </w:rPr>
      </w:pPr>
      <w:r w:rsidRPr="002105D5">
        <w:rPr>
          <w:rFonts w:ascii="Times New Roman" w:hAnsi="Times New Roman" w:cs="Times New Roman"/>
        </w:rPr>
        <w:t>*Department of Zoology, Yogeshwari Mahavidyalaya Ambajogai, District Beed, Maharashtra, India.</w:t>
      </w:r>
    </w:p>
    <w:p w14:paraId="7C6E1520" w14:textId="36648C1D" w:rsidR="00DA52F4" w:rsidRPr="002105D5" w:rsidRDefault="002105D5" w:rsidP="002105D5">
      <w:pPr>
        <w:pBdr>
          <w:bottom w:val="single" w:sz="4" w:space="1" w:color="auto"/>
        </w:pBdr>
        <w:spacing w:before="54" w:after="0" w:line="276" w:lineRule="auto"/>
        <w:jc w:val="center"/>
        <w:rPr>
          <w:rFonts w:ascii="Times New Roman" w:hAnsi="Times New Roman" w:cs="Times New Roman"/>
          <w:color w:val="0000FF"/>
          <w:sz w:val="24"/>
          <w:szCs w:val="24"/>
          <w:u w:val="single"/>
        </w:rPr>
      </w:pPr>
      <w:r>
        <w:rPr>
          <w:rFonts w:ascii="Times New Roman" w:hAnsi="Times New Roman" w:cs="Times New Roman"/>
        </w:rPr>
        <w:t>*</w:t>
      </w:r>
      <w:r w:rsidRPr="002105D5">
        <w:rPr>
          <w:rFonts w:ascii="Times New Roman" w:hAnsi="Times New Roman" w:cs="Times New Roman"/>
        </w:rPr>
        <w:t xml:space="preserve">Email: </w:t>
      </w:r>
      <w:hyperlink r:id="rId9" w:history="1">
        <w:r w:rsidRPr="002105D5">
          <w:rPr>
            <w:rStyle w:val="Hyperlink"/>
            <w:rFonts w:ascii="Times New Roman" w:hAnsi="Times New Roman"/>
          </w:rPr>
          <w:t>ranjitrraut@gmail.com</w:t>
        </w:r>
      </w:hyperlink>
    </w:p>
    <w:p w14:paraId="262D7931" w14:textId="3E25CB03" w:rsidR="00DA52F4" w:rsidRPr="001E51F3" w:rsidRDefault="002105D5"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237CE715" w14:textId="3D33CCB8" w:rsidR="002105D5" w:rsidRPr="005F60BA" w:rsidRDefault="002105D5" w:rsidP="002105D5">
      <w:pPr>
        <w:spacing w:line="276" w:lineRule="auto"/>
        <w:jc w:val="both"/>
        <w:rPr>
          <w:rFonts w:ascii="Times New Roman" w:hAnsi="Times New Roman" w:cs="Times New Roman"/>
          <w:sz w:val="20"/>
          <w:szCs w:val="20"/>
        </w:rPr>
      </w:pPr>
      <w:r w:rsidRPr="005F60BA">
        <w:rPr>
          <w:rFonts w:ascii="Times New Roman" w:hAnsi="Times New Roman" w:cs="Times New Roman"/>
          <w:sz w:val="20"/>
          <w:szCs w:val="20"/>
        </w:rPr>
        <w:t>Rivers are lifeline for the agriculture and all other many sectors in our country espe</w:t>
      </w:r>
      <w:r>
        <w:rPr>
          <w:rFonts w:ascii="Times New Roman" w:hAnsi="Times New Roman" w:cs="Times New Roman"/>
          <w:sz w:val="20"/>
          <w:szCs w:val="20"/>
        </w:rPr>
        <w:t>cially in rural areas of Ahilyanagar</w:t>
      </w:r>
      <w:r w:rsidRPr="005F60BA">
        <w:rPr>
          <w:rFonts w:ascii="Times New Roman" w:hAnsi="Times New Roman" w:cs="Times New Roman"/>
          <w:sz w:val="20"/>
          <w:szCs w:val="20"/>
        </w:rPr>
        <w:t xml:space="preserve"> district of M</w:t>
      </w:r>
      <w:r>
        <w:rPr>
          <w:rFonts w:ascii="Times New Roman" w:hAnsi="Times New Roman" w:cs="Times New Roman"/>
          <w:sz w:val="20"/>
          <w:szCs w:val="20"/>
        </w:rPr>
        <w:t>aharashtra S</w:t>
      </w:r>
      <w:r w:rsidRPr="005F60BA">
        <w:rPr>
          <w:rFonts w:ascii="Times New Roman" w:hAnsi="Times New Roman" w:cs="Times New Roman"/>
          <w:sz w:val="20"/>
          <w:szCs w:val="20"/>
        </w:rPr>
        <w:t>tate</w:t>
      </w:r>
      <w:r w:rsidR="00734248">
        <w:rPr>
          <w:rFonts w:ascii="Times New Roman" w:hAnsi="Times New Roman" w:cs="Times New Roman"/>
          <w:sz w:val="20"/>
          <w:szCs w:val="20"/>
        </w:rPr>
        <w:t>. W</w:t>
      </w:r>
      <w:r w:rsidRPr="005F60BA">
        <w:rPr>
          <w:rFonts w:ascii="Times New Roman" w:hAnsi="Times New Roman" w:cs="Times New Roman"/>
          <w:sz w:val="20"/>
          <w:szCs w:val="20"/>
        </w:rPr>
        <w:t>hich is totally having  agro based economy therefore present work was undertaken</w:t>
      </w:r>
      <w:r w:rsidR="00734248">
        <w:rPr>
          <w:rFonts w:ascii="Times New Roman" w:hAnsi="Times New Roman" w:cs="Times New Roman"/>
          <w:sz w:val="20"/>
          <w:szCs w:val="20"/>
        </w:rPr>
        <w:t xml:space="preserve"> to observe the difference in hydrochemical parameters </w:t>
      </w:r>
      <w:r w:rsidRPr="005F60BA">
        <w:rPr>
          <w:rFonts w:ascii="Times New Roman" w:hAnsi="Times New Roman" w:cs="Times New Roman"/>
          <w:sz w:val="20"/>
          <w:szCs w:val="20"/>
        </w:rPr>
        <w:t>of the water s</w:t>
      </w:r>
      <w:r>
        <w:rPr>
          <w:rFonts w:ascii="Times New Roman" w:hAnsi="Times New Roman" w:cs="Times New Roman"/>
          <w:sz w:val="20"/>
          <w:szCs w:val="20"/>
        </w:rPr>
        <w:t>amples from Mula and Kurkundi</w:t>
      </w:r>
      <w:r w:rsidRPr="005F60BA">
        <w:rPr>
          <w:rFonts w:ascii="Times New Roman" w:hAnsi="Times New Roman" w:cs="Times New Roman"/>
          <w:sz w:val="20"/>
          <w:szCs w:val="20"/>
        </w:rPr>
        <w:t xml:space="preserve"> rivers </w:t>
      </w:r>
      <w:r w:rsidR="00734248">
        <w:rPr>
          <w:rFonts w:ascii="Times New Roman" w:hAnsi="Times New Roman" w:cs="Times New Roman"/>
          <w:sz w:val="20"/>
          <w:szCs w:val="20"/>
        </w:rPr>
        <w:t>from Akole Taluka</w:t>
      </w:r>
      <w:r w:rsidRPr="005F60BA">
        <w:rPr>
          <w:rFonts w:ascii="Times New Roman" w:hAnsi="Times New Roman" w:cs="Times New Roman"/>
          <w:sz w:val="20"/>
          <w:szCs w:val="20"/>
        </w:rPr>
        <w:t>.</w:t>
      </w:r>
      <w:r w:rsidR="00184630">
        <w:rPr>
          <w:rFonts w:ascii="Times New Roman" w:hAnsi="Times New Roman" w:cs="Times New Roman"/>
          <w:sz w:val="20"/>
          <w:szCs w:val="20"/>
        </w:rPr>
        <w:t xml:space="preserve"> </w:t>
      </w:r>
      <w:r w:rsidR="00A1776A">
        <w:rPr>
          <w:rFonts w:ascii="Times New Roman" w:hAnsi="Times New Roman" w:cs="Times New Roman"/>
          <w:sz w:val="20"/>
          <w:szCs w:val="20"/>
        </w:rPr>
        <w:t>It was observed that in Mula</w:t>
      </w:r>
      <w:r w:rsidR="00184630" w:rsidRPr="005F60BA">
        <w:rPr>
          <w:rFonts w:ascii="Times New Roman" w:hAnsi="Times New Roman" w:cs="Times New Roman"/>
          <w:sz w:val="20"/>
          <w:szCs w:val="20"/>
        </w:rPr>
        <w:t xml:space="preserve"> river the alkalinity </w:t>
      </w:r>
      <w:r w:rsidR="00184630">
        <w:rPr>
          <w:rFonts w:ascii="Times New Roman" w:hAnsi="Times New Roman" w:cs="Times New Roman"/>
          <w:sz w:val="20"/>
          <w:szCs w:val="20"/>
        </w:rPr>
        <w:t xml:space="preserve">was observed </w:t>
      </w:r>
      <w:r w:rsidR="00A1776A">
        <w:rPr>
          <w:rFonts w:ascii="Times New Roman" w:hAnsi="Times New Roman" w:cs="Times New Roman"/>
          <w:sz w:val="20"/>
          <w:szCs w:val="20"/>
        </w:rPr>
        <w:t>270 to 410</w:t>
      </w:r>
      <w:r w:rsidR="00184630">
        <w:rPr>
          <w:rFonts w:ascii="Times New Roman" w:hAnsi="Times New Roman" w:cs="Times New Roman"/>
          <w:sz w:val="20"/>
          <w:szCs w:val="20"/>
        </w:rPr>
        <w:t xml:space="preserve"> </w:t>
      </w:r>
      <w:r w:rsidR="00184630" w:rsidRPr="005F60BA">
        <w:rPr>
          <w:rFonts w:ascii="Times New Roman" w:hAnsi="Times New Roman" w:cs="Times New Roman"/>
          <w:sz w:val="20"/>
          <w:szCs w:val="20"/>
        </w:rPr>
        <w:t>mg/L</w:t>
      </w:r>
      <w:r w:rsidR="00184630">
        <w:rPr>
          <w:rFonts w:ascii="Times New Roman" w:hAnsi="Times New Roman" w:cs="Times New Roman"/>
          <w:sz w:val="20"/>
          <w:szCs w:val="20"/>
        </w:rPr>
        <w:t xml:space="preserve">, </w:t>
      </w:r>
      <w:r w:rsidR="00184630" w:rsidRPr="005F60BA">
        <w:rPr>
          <w:rFonts w:ascii="Times New Roman" w:hAnsi="Times New Roman" w:cs="Times New Roman"/>
          <w:sz w:val="20"/>
          <w:szCs w:val="20"/>
        </w:rPr>
        <w:t>acidity</w:t>
      </w:r>
      <w:r w:rsidR="00184630">
        <w:rPr>
          <w:rFonts w:ascii="Times New Roman" w:hAnsi="Times New Roman" w:cs="Times New Roman"/>
          <w:sz w:val="20"/>
          <w:szCs w:val="20"/>
        </w:rPr>
        <w:t xml:space="preserve"> was</w:t>
      </w:r>
      <w:r w:rsidR="00A1776A">
        <w:rPr>
          <w:rFonts w:ascii="Times New Roman" w:hAnsi="Times New Roman" w:cs="Times New Roman"/>
          <w:sz w:val="20"/>
          <w:szCs w:val="20"/>
        </w:rPr>
        <w:t xml:space="preserve"> 15</w:t>
      </w:r>
      <w:r w:rsidR="00184630">
        <w:rPr>
          <w:rFonts w:ascii="Times New Roman" w:hAnsi="Times New Roman" w:cs="Times New Roman"/>
          <w:sz w:val="20"/>
          <w:szCs w:val="20"/>
        </w:rPr>
        <w:t xml:space="preserve"> t</w:t>
      </w:r>
      <w:r w:rsidR="00A1776A">
        <w:rPr>
          <w:rFonts w:ascii="Times New Roman" w:hAnsi="Times New Roman" w:cs="Times New Roman"/>
          <w:sz w:val="20"/>
          <w:szCs w:val="20"/>
        </w:rPr>
        <w:t>o 20</w:t>
      </w:r>
      <w:r w:rsidR="00184630">
        <w:rPr>
          <w:rFonts w:ascii="Times New Roman" w:hAnsi="Times New Roman" w:cs="Times New Roman"/>
          <w:sz w:val="20"/>
          <w:szCs w:val="20"/>
        </w:rPr>
        <w:t xml:space="preserve"> mg/L,</w:t>
      </w:r>
      <w:r w:rsidR="00184630" w:rsidRPr="005F60BA">
        <w:rPr>
          <w:rFonts w:ascii="Times New Roman" w:hAnsi="Times New Roman" w:cs="Times New Roman"/>
          <w:sz w:val="20"/>
          <w:szCs w:val="20"/>
        </w:rPr>
        <w:t xml:space="preserve"> dissolved oxygen</w:t>
      </w:r>
      <w:r w:rsidR="00734248">
        <w:rPr>
          <w:rFonts w:ascii="Times New Roman" w:hAnsi="Times New Roman" w:cs="Times New Roman"/>
          <w:sz w:val="20"/>
          <w:szCs w:val="20"/>
        </w:rPr>
        <w:t xml:space="preserve"> (DO)</w:t>
      </w:r>
      <w:r w:rsidR="00184630">
        <w:rPr>
          <w:rFonts w:ascii="Times New Roman" w:hAnsi="Times New Roman" w:cs="Times New Roman"/>
          <w:sz w:val="20"/>
          <w:szCs w:val="20"/>
        </w:rPr>
        <w:t xml:space="preserve"> was </w:t>
      </w:r>
      <w:r w:rsidR="00A1776A">
        <w:rPr>
          <w:rFonts w:ascii="Times New Roman" w:hAnsi="Times New Roman" w:cs="Times New Roman"/>
          <w:sz w:val="20"/>
          <w:szCs w:val="20"/>
        </w:rPr>
        <w:t>4.2 to 6.0</w:t>
      </w:r>
      <w:r w:rsidR="00184630">
        <w:rPr>
          <w:rFonts w:ascii="Times New Roman" w:hAnsi="Times New Roman" w:cs="Times New Roman"/>
          <w:sz w:val="20"/>
          <w:szCs w:val="20"/>
        </w:rPr>
        <w:t xml:space="preserve"> </w:t>
      </w:r>
      <w:r w:rsidR="00184630" w:rsidRPr="005F60BA">
        <w:rPr>
          <w:rFonts w:ascii="Times New Roman" w:hAnsi="Times New Roman" w:cs="Times New Roman"/>
          <w:sz w:val="20"/>
          <w:szCs w:val="20"/>
        </w:rPr>
        <w:t>mg/L</w:t>
      </w:r>
      <w:r w:rsidR="00184630">
        <w:rPr>
          <w:rFonts w:ascii="Times New Roman" w:hAnsi="Times New Roman" w:cs="Times New Roman"/>
          <w:sz w:val="20"/>
          <w:szCs w:val="20"/>
        </w:rPr>
        <w:t>,</w:t>
      </w:r>
      <w:r w:rsidR="00734248">
        <w:rPr>
          <w:rFonts w:ascii="Times New Roman" w:hAnsi="Times New Roman" w:cs="Times New Roman"/>
          <w:sz w:val="20"/>
          <w:szCs w:val="20"/>
        </w:rPr>
        <w:t xml:space="preserve"> carbon-di-</w:t>
      </w:r>
      <w:r w:rsidR="00184630" w:rsidRPr="005F60BA">
        <w:rPr>
          <w:rFonts w:ascii="Times New Roman" w:hAnsi="Times New Roman" w:cs="Times New Roman"/>
          <w:sz w:val="20"/>
          <w:szCs w:val="20"/>
        </w:rPr>
        <w:t>oxide</w:t>
      </w:r>
      <w:r w:rsidR="00734248">
        <w:rPr>
          <w:rFonts w:ascii="Times New Roman" w:hAnsi="Times New Roman" w:cs="Times New Roman"/>
          <w:sz w:val="20"/>
          <w:szCs w:val="20"/>
        </w:rPr>
        <w:t xml:space="preserve"> (CO</w:t>
      </w:r>
      <w:r w:rsidR="00734248">
        <w:rPr>
          <w:rFonts w:ascii="Times New Roman" w:hAnsi="Times New Roman" w:cs="Times New Roman"/>
          <w:sz w:val="20"/>
          <w:szCs w:val="20"/>
          <w:vertAlign w:val="subscript"/>
        </w:rPr>
        <w:t>2</w:t>
      </w:r>
      <w:r w:rsidR="00734248">
        <w:rPr>
          <w:rFonts w:ascii="Times New Roman" w:hAnsi="Times New Roman" w:cs="Times New Roman"/>
          <w:sz w:val="20"/>
          <w:szCs w:val="20"/>
        </w:rPr>
        <w:t>)</w:t>
      </w:r>
      <w:r w:rsidR="00184630">
        <w:rPr>
          <w:rFonts w:ascii="Times New Roman" w:hAnsi="Times New Roman" w:cs="Times New Roman"/>
          <w:sz w:val="20"/>
          <w:szCs w:val="20"/>
        </w:rPr>
        <w:t xml:space="preserve"> </w:t>
      </w:r>
      <w:r w:rsidR="00A1776A">
        <w:rPr>
          <w:rFonts w:ascii="Times New Roman" w:hAnsi="Times New Roman" w:cs="Times New Roman"/>
          <w:sz w:val="20"/>
          <w:szCs w:val="20"/>
        </w:rPr>
        <w:t>31.9</w:t>
      </w:r>
      <w:r w:rsidR="00184630" w:rsidRPr="005F60BA">
        <w:rPr>
          <w:rFonts w:ascii="Times New Roman" w:hAnsi="Times New Roman" w:cs="Times New Roman"/>
          <w:sz w:val="20"/>
          <w:szCs w:val="20"/>
        </w:rPr>
        <w:t xml:space="preserve"> to 38.2 mg/L</w:t>
      </w:r>
      <w:r w:rsidR="00184630">
        <w:rPr>
          <w:rFonts w:ascii="Times New Roman" w:hAnsi="Times New Roman" w:cs="Times New Roman"/>
          <w:sz w:val="20"/>
          <w:szCs w:val="20"/>
        </w:rPr>
        <w:t xml:space="preserve">, </w:t>
      </w:r>
      <w:r w:rsidR="00184630" w:rsidRPr="005F60BA">
        <w:rPr>
          <w:rFonts w:ascii="Times New Roman" w:hAnsi="Times New Roman" w:cs="Times New Roman"/>
          <w:sz w:val="20"/>
          <w:szCs w:val="20"/>
        </w:rPr>
        <w:t xml:space="preserve">hardness </w:t>
      </w:r>
      <w:r w:rsidR="00184630">
        <w:rPr>
          <w:rFonts w:ascii="Times New Roman" w:hAnsi="Times New Roman" w:cs="Times New Roman"/>
          <w:sz w:val="20"/>
          <w:szCs w:val="20"/>
        </w:rPr>
        <w:t xml:space="preserve">was </w:t>
      </w:r>
      <w:r w:rsidR="009F13DA">
        <w:rPr>
          <w:rFonts w:ascii="Times New Roman" w:hAnsi="Times New Roman" w:cs="Times New Roman"/>
          <w:sz w:val="20"/>
          <w:szCs w:val="20"/>
        </w:rPr>
        <w:t>90.4</w:t>
      </w:r>
      <w:r w:rsidR="00184630" w:rsidRPr="005F60BA">
        <w:rPr>
          <w:rFonts w:ascii="Times New Roman" w:hAnsi="Times New Roman" w:cs="Times New Roman"/>
          <w:sz w:val="20"/>
          <w:szCs w:val="20"/>
        </w:rPr>
        <w:t xml:space="preserve"> to 99.5</w:t>
      </w:r>
      <w:r w:rsidR="00184630">
        <w:rPr>
          <w:rFonts w:ascii="Times New Roman" w:hAnsi="Times New Roman" w:cs="Times New Roman"/>
          <w:sz w:val="20"/>
          <w:szCs w:val="20"/>
        </w:rPr>
        <w:t xml:space="preserve"> mg/L</w:t>
      </w:r>
      <w:r w:rsidR="00184630" w:rsidRPr="005F60BA">
        <w:rPr>
          <w:rFonts w:ascii="Times New Roman" w:hAnsi="Times New Roman" w:cs="Times New Roman"/>
          <w:sz w:val="20"/>
          <w:szCs w:val="20"/>
        </w:rPr>
        <w:t>, pH</w:t>
      </w:r>
      <w:r w:rsidR="00184630">
        <w:rPr>
          <w:rFonts w:ascii="Times New Roman" w:hAnsi="Times New Roman" w:cs="Times New Roman"/>
          <w:sz w:val="20"/>
          <w:szCs w:val="20"/>
        </w:rPr>
        <w:t xml:space="preserve"> was 6.</w:t>
      </w:r>
      <w:r w:rsidR="009F13DA">
        <w:rPr>
          <w:rFonts w:ascii="Times New Roman" w:hAnsi="Times New Roman" w:cs="Times New Roman"/>
          <w:sz w:val="20"/>
          <w:szCs w:val="20"/>
        </w:rPr>
        <w:t>4</w:t>
      </w:r>
      <w:r w:rsidR="00184630">
        <w:rPr>
          <w:rFonts w:ascii="Times New Roman" w:hAnsi="Times New Roman" w:cs="Times New Roman"/>
          <w:sz w:val="20"/>
          <w:szCs w:val="20"/>
        </w:rPr>
        <w:t xml:space="preserve"> to </w:t>
      </w:r>
      <w:r w:rsidR="009F13DA">
        <w:rPr>
          <w:rFonts w:ascii="Times New Roman" w:hAnsi="Times New Roman" w:cs="Times New Roman"/>
          <w:sz w:val="20"/>
          <w:szCs w:val="20"/>
        </w:rPr>
        <w:t>7.4</w:t>
      </w:r>
      <w:r w:rsidR="00184630" w:rsidRPr="005F60BA">
        <w:rPr>
          <w:rFonts w:ascii="Times New Roman" w:hAnsi="Times New Roman" w:cs="Times New Roman"/>
          <w:sz w:val="20"/>
          <w:szCs w:val="20"/>
        </w:rPr>
        <w:t>,</w:t>
      </w:r>
      <w:r w:rsidR="00184630">
        <w:rPr>
          <w:rFonts w:ascii="Times New Roman" w:hAnsi="Times New Roman" w:cs="Times New Roman"/>
          <w:sz w:val="20"/>
          <w:szCs w:val="20"/>
        </w:rPr>
        <w:t xml:space="preserve"> </w:t>
      </w:r>
      <w:r w:rsidR="00184630" w:rsidRPr="005F60BA">
        <w:rPr>
          <w:rFonts w:ascii="Times New Roman" w:hAnsi="Times New Roman" w:cs="Times New Roman"/>
          <w:sz w:val="20"/>
          <w:szCs w:val="20"/>
        </w:rPr>
        <w:t xml:space="preserve">temperature </w:t>
      </w:r>
      <w:r w:rsidR="00184630">
        <w:rPr>
          <w:rFonts w:ascii="Times New Roman" w:hAnsi="Times New Roman" w:cs="Times New Roman"/>
          <w:sz w:val="20"/>
          <w:szCs w:val="20"/>
        </w:rPr>
        <w:t xml:space="preserve">was </w:t>
      </w:r>
      <w:r w:rsidR="00184630" w:rsidRPr="005F60BA">
        <w:rPr>
          <w:rFonts w:ascii="Times New Roman" w:hAnsi="Times New Roman" w:cs="Times New Roman"/>
          <w:sz w:val="20"/>
          <w:szCs w:val="20"/>
        </w:rPr>
        <w:t>23 to 27</w:t>
      </w:r>
      <w:r w:rsidR="00184630">
        <w:rPr>
          <w:rFonts w:ascii="Times New Roman" w:hAnsi="Times New Roman" w:cs="Times New Roman"/>
          <w:sz w:val="20"/>
          <w:szCs w:val="20"/>
        </w:rPr>
        <w:t xml:space="preserve"> ˚</w:t>
      </w:r>
      <w:r w:rsidR="00184630" w:rsidRPr="005F60BA">
        <w:rPr>
          <w:rFonts w:ascii="Times New Roman" w:hAnsi="Times New Roman" w:cs="Times New Roman"/>
          <w:sz w:val="20"/>
          <w:szCs w:val="20"/>
        </w:rPr>
        <w:t xml:space="preserve">C </w:t>
      </w:r>
      <w:r w:rsidR="00184630">
        <w:rPr>
          <w:rFonts w:ascii="Times New Roman" w:hAnsi="Times New Roman" w:cs="Times New Roman"/>
          <w:sz w:val="20"/>
          <w:szCs w:val="20"/>
        </w:rPr>
        <w:t>and</w:t>
      </w:r>
      <w:r w:rsidR="00184630" w:rsidRPr="005F60BA">
        <w:rPr>
          <w:rFonts w:ascii="Times New Roman" w:hAnsi="Times New Roman" w:cs="Times New Roman"/>
          <w:sz w:val="20"/>
          <w:szCs w:val="20"/>
        </w:rPr>
        <w:t xml:space="preserve"> TDS</w:t>
      </w:r>
      <w:r w:rsidR="00184630">
        <w:rPr>
          <w:rFonts w:ascii="Times New Roman" w:hAnsi="Times New Roman" w:cs="Times New Roman"/>
          <w:sz w:val="20"/>
          <w:szCs w:val="20"/>
        </w:rPr>
        <w:t xml:space="preserve"> was</w:t>
      </w:r>
      <w:r w:rsidR="009F13DA">
        <w:rPr>
          <w:rFonts w:ascii="Times New Roman" w:hAnsi="Times New Roman" w:cs="Times New Roman"/>
          <w:sz w:val="20"/>
          <w:szCs w:val="20"/>
        </w:rPr>
        <w:t xml:space="preserve"> 284 to 304</w:t>
      </w:r>
      <w:r w:rsidR="00184630" w:rsidRPr="005F60BA">
        <w:rPr>
          <w:rFonts w:ascii="Times New Roman" w:hAnsi="Times New Roman" w:cs="Times New Roman"/>
          <w:sz w:val="20"/>
          <w:szCs w:val="20"/>
        </w:rPr>
        <w:t>.</w:t>
      </w:r>
      <w:r w:rsidR="00184630">
        <w:rPr>
          <w:rFonts w:ascii="Times New Roman" w:hAnsi="Times New Roman" w:cs="Times New Roman"/>
          <w:sz w:val="20"/>
          <w:szCs w:val="20"/>
        </w:rPr>
        <w:t xml:space="preserve"> </w:t>
      </w:r>
      <w:r w:rsidR="00734248">
        <w:rPr>
          <w:rFonts w:ascii="Times New Roman" w:hAnsi="Times New Roman" w:cs="Times New Roman"/>
          <w:sz w:val="20"/>
          <w:szCs w:val="20"/>
        </w:rPr>
        <w:t xml:space="preserve"> From Kurkundi river</w:t>
      </w:r>
      <w:r w:rsidRPr="005F60BA">
        <w:rPr>
          <w:rFonts w:ascii="Times New Roman" w:hAnsi="Times New Roman" w:cs="Times New Roman"/>
          <w:sz w:val="20"/>
          <w:szCs w:val="20"/>
        </w:rPr>
        <w:t xml:space="preserve"> the alkalinity </w:t>
      </w:r>
      <w:r>
        <w:rPr>
          <w:rFonts w:ascii="Times New Roman" w:hAnsi="Times New Roman" w:cs="Times New Roman"/>
          <w:sz w:val="20"/>
          <w:szCs w:val="20"/>
        </w:rPr>
        <w:t xml:space="preserve">was observed </w:t>
      </w:r>
      <w:r w:rsidRPr="005F60BA">
        <w:rPr>
          <w:rFonts w:ascii="Times New Roman" w:hAnsi="Times New Roman" w:cs="Times New Roman"/>
          <w:sz w:val="20"/>
          <w:szCs w:val="20"/>
        </w:rPr>
        <w:t>230 to 385</w:t>
      </w:r>
      <w:r>
        <w:rPr>
          <w:rFonts w:ascii="Times New Roman" w:hAnsi="Times New Roman" w:cs="Times New Roman"/>
          <w:sz w:val="20"/>
          <w:szCs w:val="20"/>
        </w:rPr>
        <w:t xml:space="preserve"> </w:t>
      </w:r>
      <w:r w:rsidRPr="005F60BA">
        <w:rPr>
          <w:rFonts w:ascii="Times New Roman" w:hAnsi="Times New Roman" w:cs="Times New Roman"/>
          <w:sz w:val="20"/>
          <w:szCs w:val="20"/>
        </w:rPr>
        <w:t>mg/L</w:t>
      </w:r>
      <w:r w:rsidR="00184630">
        <w:rPr>
          <w:rFonts w:ascii="Times New Roman" w:hAnsi="Times New Roman" w:cs="Times New Roman"/>
          <w:sz w:val="20"/>
          <w:szCs w:val="20"/>
        </w:rPr>
        <w:t xml:space="preserve">, </w:t>
      </w:r>
      <w:r w:rsidRPr="005F60BA">
        <w:rPr>
          <w:rFonts w:ascii="Times New Roman" w:hAnsi="Times New Roman" w:cs="Times New Roman"/>
          <w:sz w:val="20"/>
          <w:szCs w:val="20"/>
        </w:rPr>
        <w:t>acidity</w:t>
      </w:r>
      <w:r>
        <w:rPr>
          <w:rFonts w:ascii="Times New Roman" w:hAnsi="Times New Roman" w:cs="Times New Roman"/>
          <w:sz w:val="20"/>
          <w:szCs w:val="20"/>
        </w:rPr>
        <w:t xml:space="preserve"> was</w:t>
      </w:r>
      <w:r w:rsidR="00184630">
        <w:rPr>
          <w:rFonts w:ascii="Times New Roman" w:hAnsi="Times New Roman" w:cs="Times New Roman"/>
          <w:sz w:val="20"/>
          <w:szCs w:val="20"/>
        </w:rPr>
        <w:t xml:space="preserve"> 10 t</w:t>
      </w:r>
      <w:r w:rsidRPr="005F60BA">
        <w:rPr>
          <w:rFonts w:ascii="Times New Roman" w:hAnsi="Times New Roman" w:cs="Times New Roman"/>
          <w:sz w:val="20"/>
          <w:szCs w:val="20"/>
        </w:rPr>
        <w:t>o 25</w:t>
      </w:r>
      <w:r w:rsidR="00184630">
        <w:rPr>
          <w:rFonts w:ascii="Times New Roman" w:hAnsi="Times New Roman" w:cs="Times New Roman"/>
          <w:sz w:val="20"/>
          <w:szCs w:val="20"/>
        </w:rPr>
        <w:t xml:space="preserve"> mg/L,</w:t>
      </w:r>
      <w:r w:rsidRPr="005F60BA">
        <w:rPr>
          <w:rFonts w:ascii="Times New Roman" w:hAnsi="Times New Roman" w:cs="Times New Roman"/>
          <w:sz w:val="20"/>
          <w:szCs w:val="20"/>
        </w:rPr>
        <w:t xml:space="preserve"> dissolved oxygen</w:t>
      </w:r>
      <w:r w:rsidR="00184630">
        <w:rPr>
          <w:rFonts w:ascii="Times New Roman" w:hAnsi="Times New Roman" w:cs="Times New Roman"/>
          <w:sz w:val="20"/>
          <w:szCs w:val="20"/>
        </w:rPr>
        <w:t xml:space="preserve"> was </w:t>
      </w:r>
      <w:r w:rsidRPr="005F60BA">
        <w:rPr>
          <w:rFonts w:ascii="Times New Roman" w:hAnsi="Times New Roman" w:cs="Times New Roman"/>
          <w:sz w:val="20"/>
          <w:szCs w:val="20"/>
        </w:rPr>
        <w:t>3.5 to 6.6</w:t>
      </w:r>
      <w:r w:rsidR="00184630">
        <w:rPr>
          <w:rFonts w:ascii="Times New Roman" w:hAnsi="Times New Roman" w:cs="Times New Roman"/>
          <w:sz w:val="20"/>
          <w:szCs w:val="20"/>
        </w:rPr>
        <w:t xml:space="preserve"> </w:t>
      </w:r>
      <w:r w:rsidRPr="005F60BA">
        <w:rPr>
          <w:rFonts w:ascii="Times New Roman" w:hAnsi="Times New Roman" w:cs="Times New Roman"/>
          <w:sz w:val="20"/>
          <w:szCs w:val="20"/>
        </w:rPr>
        <w:t>mg/L</w:t>
      </w:r>
      <w:r w:rsidR="00184630">
        <w:rPr>
          <w:rFonts w:ascii="Times New Roman" w:hAnsi="Times New Roman" w:cs="Times New Roman"/>
          <w:sz w:val="20"/>
          <w:szCs w:val="20"/>
        </w:rPr>
        <w:t>,</w:t>
      </w:r>
      <w:r w:rsidRPr="005F60BA">
        <w:rPr>
          <w:rFonts w:ascii="Times New Roman" w:hAnsi="Times New Roman" w:cs="Times New Roman"/>
          <w:sz w:val="20"/>
          <w:szCs w:val="20"/>
        </w:rPr>
        <w:t xml:space="preserve"> carbon di oxide</w:t>
      </w:r>
      <w:r w:rsidR="00184630">
        <w:rPr>
          <w:rFonts w:ascii="Times New Roman" w:hAnsi="Times New Roman" w:cs="Times New Roman"/>
          <w:sz w:val="20"/>
          <w:szCs w:val="20"/>
        </w:rPr>
        <w:t xml:space="preserve"> </w:t>
      </w:r>
      <w:r w:rsidR="00A1776A">
        <w:rPr>
          <w:rFonts w:ascii="Times New Roman" w:hAnsi="Times New Roman" w:cs="Times New Roman"/>
          <w:sz w:val="20"/>
          <w:szCs w:val="20"/>
        </w:rPr>
        <w:t>31.5 to 35.6</w:t>
      </w:r>
      <w:r w:rsidRPr="005F60BA">
        <w:rPr>
          <w:rFonts w:ascii="Times New Roman" w:hAnsi="Times New Roman" w:cs="Times New Roman"/>
          <w:sz w:val="20"/>
          <w:szCs w:val="20"/>
        </w:rPr>
        <w:t xml:space="preserve"> mg/L</w:t>
      </w:r>
      <w:r w:rsidR="00184630">
        <w:rPr>
          <w:rFonts w:ascii="Times New Roman" w:hAnsi="Times New Roman" w:cs="Times New Roman"/>
          <w:sz w:val="20"/>
          <w:szCs w:val="20"/>
        </w:rPr>
        <w:t xml:space="preserve">, </w:t>
      </w:r>
      <w:r w:rsidRPr="005F60BA">
        <w:rPr>
          <w:rFonts w:ascii="Times New Roman" w:hAnsi="Times New Roman" w:cs="Times New Roman"/>
          <w:sz w:val="20"/>
          <w:szCs w:val="20"/>
        </w:rPr>
        <w:t xml:space="preserve">hardness </w:t>
      </w:r>
      <w:r w:rsidR="00184630">
        <w:rPr>
          <w:rFonts w:ascii="Times New Roman" w:hAnsi="Times New Roman" w:cs="Times New Roman"/>
          <w:sz w:val="20"/>
          <w:szCs w:val="20"/>
        </w:rPr>
        <w:t xml:space="preserve">was </w:t>
      </w:r>
      <w:r w:rsidR="009F13DA">
        <w:rPr>
          <w:rFonts w:ascii="Times New Roman" w:hAnsi="Times New Roman" w:cs="Times New Roman"/>
          <w:sz w:val="20"/>
          <w:szCs w:val="20"/>
        </w:rPr>
        <w:t>72 to 98.2</w:t>
      </w:r>
      <w:r w:rsidR="00184630">
        <w:rPr>
          <w:rFonts w:ascii="Times New Roman" w:hAnsi="Times New Roman" w:cs="Times New Roman"/>
          <w:sz w:val="20"/>
          <w:szCs w:val="20"/>
        </w:rPr>
        <w:t xml:space="preserve"> mg/L</w:t>
      </w:r>
      <w:r w:rsidRPr="005F60BA">
        <w:rPr>
          <w:rFonts w:ascii="Times New Roman" w:hAnsi="Times New Roman" w:cs="Times New Roman"/>
          <w:sz w:val="20"/>
          <w:szCs w:val="20"/>
        </w:rPr>
        <w:t>, pH</w:t>
      </w:r>
      <w:r w:rsidR="00184630">
        <w:rPr>
          <w:rFonts w:ascii="Times New Roman" w:hAnsi="Times New Roman" w:cs="Times New Roman"/>
          <w:sz w:val="20"/>
          <w:szCs w:val="20"/>
        </w:rPr>
        <w:t xml:space="preserve"> was 6.9 to 7.3</w:t>
      </w:r>
      <w:r w:rsidRPr="005F60BA">
        <w:rPr>
          <w:rFonts w:ascii="Times New Roman" w:hAnsi="Times New Roman" w:cs="Times New Roman"/>
          <w:sz w:val="20"/>
          <w:szCs w:val="20"/>
        </w:rPr>
        <w:t>,</w:t>
      </w:r>
      <w:r w:rsidR="00184630">
        <w:rPr>
          <w:rFonts w:ascii="Times New Roman" w:hAnsi="Times New Roman" w:cs="Times New Roman"/>
          <w:sz w:val="20"/>
          <w:szCs w:val="20"/>
        </w:rPr>
        <w:t xml:space="preserve"> </w:t>
      </w:r>
      <w:r w:rsidRPr="005F60BA">
        <w:rPr>
          <w:rFonts w:ascii="Times New Roman" w:hAnsi="Times New Roman" w:cs="Times New Roman"/>
          <w:sz w:val="20"/>
          <w:szCs w:val="20"/>
        </w:rPr>
        <w:t xml:space="preserve">temperature </w:t>
      </w:r>
      <w:r w:rsidR="00184630">
        <w:rPr>
          <w:rFonts w:ascii="Times New Roman" w:hAnsi="Times New Roman" w:cs="Times New Roman"/>
          <w:sz w:val="20"/>
          <w:szCs w:val="20"/>
        </w:rPr>
        <w:t xml:space="preserve">was </w:t>
      </w:r>
      <w:r w:rsidR="009F13DA">
        <w:rPr>
          <w:rFonts w:ascii="Times New Roman" w:hAnsi="Times New Roman" w:cs="Times New Roman"/>
          <w:sz w:val="20"/>
          <w:szCs w:val="20"/>
        </w:rPr>
        <w:t>25</w:t>
      </w:r>
      <w:r w:rsidRPr="005F60BA">
        <w:rPr>
          <w:rFonts w:ascii="Times New Roman" w:hAnsi="Times New Roman" w:cs="Times New Roman"/>
          <w:sz w:val="20"/>
          <w:szCs w:val="20"/>
        </w:rPr>
        <w:t xml:space="preserve"> to 27</w:t>
      </w:r>
      <w:r w:rsidR="00184630">
        <w:rPr>
          <w:rFonts w:ascii="Times New Roman" w:hAnsi="Times New Roman" w:cs="Times New Roman"/>
          <w:sz w:val="20"/>
          <w:szCs w:val="20"/>
        </w:rPr>
        <w:t xml:space="preserve"> ˚</w:t>
      </w:r>
      <w:r w:rsidRPr="005F60BA">
        <w:rPr>
          <w:rFonts w:ascii="Times New Roman" w:hAnsi="Times New Roman" w:cs="Times New Roman"/>
          <w:sz w:val="20"/>
          <w:szCs w:val="20"/>
        </w:rPr>
        <w:t xml:space="preserve">C </w:t>
      </w:r>
      <w:r w:rsidR="00184630">
        <w:rPr>
          <w:rFonts w:ascii="Times New Roman" w:hAnsi="Times New Roman" w:cs="Times New Roman"/>
          <w:sz w:val="20"/>
          <w:szCs w:val="20"/>
        </w:rPr>
        <w:t>and</w:t>
      </w:r>
      <w:r w:rsidRPr="005F60BA">
        <w:rPr>
          <w:rFonts w:ascii="Times New Roman" w:hAnsi="Times New Roman" w:cs="Times New Roman"/>
          <w:sz w:val="20"/>
          <w:szCs w:val="20"/>
        </w:rPr>
        <w:t xml:space="preserve"> TDS</w:t>
      </w:r>
      <w:r w:rsidR="00184630">
        <w:rPr>
          <w:rFonts w:ascii="Times New Roman" w:hAnsi="Times New Roman" w:cs="Times New Roman"/>
          <w:sz w:val="20"/>
          <w:szCs w:val="20"/>
        </w:rPr>
        <w:t xml:space="preserve"> was</w:t>
      </w:r>
      <w:r w:rsidRPr="005F60BA">
        <w:rPr>
          <w:rFonts w:ascii="Times New Roman" w:hAnsi="Times New Roman" w:cs="Times New Roman"/>
          <w:sz w:val="20"/>
          <w:szCs w:val="20"/>
        </w:rPr>
        <w:t xml:space="preserve"> 265 to 310.</w:t>
      </w:r>
      <w:r w:rsidR="00734248">
        <w:rPr>
          <w:rFonts w:ascii="Times New Roman" w:hAnsi="Times New Roman" w:cs="Times New Roman"/>
          <w:sz w:val="20"/>
          <w:szCs w:val="20"/>
        </w:rPr>
        <w:t xml:space="preserve"> This study was undertaken from January 2024 to April 2024.</w:t>
      </w:r>
    </w:p>
    <w:p w14:paraId="5501AD32" w14:textId="1C09E2F2"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734248">
        <w:rPr>
          <w:rFonts w:ascii="Times New Roman" w:hAnsi="Times New Roman" w:cs="Times New Roman"/>
          <w:color w:val="000000" w:themeColor="text1"/>
          <w:sz w:val="20"/>
          <w:szCs w:val="20"/>
        </w:rPr>
        <w:t xml:space="preserve"> Ahilyanagar</w:t>
      </w:r>
      <w:r w:rsidR="00490D31">
        <w:rPr>
          <w:rFonts w:ascii="Times New Roman" w:hAnsi="Times New Roman" w:cs="Times New Roman"/>
          <w:color w:val="000000" w:themeColor="text1"/>
          <w:sz w:val="20"/>
          <w:szCs w:val="20"/>
        </w:rPr>
        <w:t xml:space="preserve">, </w:t>
      </w:r>
      <w:r w:rsidR="00490D31" w:rsidRPr="005F60BA">
        <w:rPr>
          <w:rFonts w:ascii="Times New Roman" w:hAnsi="Times New Roman" w:cs="Times New Roman"/>
          <w:sz w:val="20"/>
          <w:szCs w:val="20"/>
        </w:rPr>
        <w:t>Mula</w:t>
      </w:r>
      <w:r w:rsidR="002105D5" w:rsidRPr="005F60BA">
        <w:rPr>
          <w:rFonts w:ascii="Times New Roman" w:hAnsi="Times New Roman" w:cs="Times New Roman"/>
          <w:sz w:val="20"/>
          <w:szCs w:val="20"/>
        </w:rPr>
        <w:t xml:space="preserve">, Kurkundi, </w:t>
      </w:r>
      <w:r w:rsidR="00734248">
        <w:rPr>
          <w:rFonts w:ascii="Times New Roman" w:hAnsi="Times New Roman" w:cs="Times New Roman"/>
          <w:sz w:val="20"/>
          <w:szCs w:val="20"/>
        </w:rPr>
        <w:t>hydrochemical</w:t>
      </w:r>
      <w:r w:rsidR="002105D5" w:rsidRPr="005F60BA">
        <w:rPr>
          <w:rFonts w:ascii="Times New Roman" w:hAnsi="Times New Roman" w:cs="Times New Roman"/>
          <w:sz w:val="20"/>
          <w:szCs w:val="20"/>
        </w:rPr>
        <w:t xml:space="preserve"> parameters</w:t>
      </w:r>
      <w:r w:rsidR="00734248">
        <w:rPr>
          <w:rFonts w:ascii="Times New Roman" w:hAnsi="Times New Roman" w:cs="Times New Roman"/>
          <w:sz w:val="20"/>
          <w:szCs w:val="20"/>
        </w:rPr>
        <w:t>, agriculture</w:t>
      </w:r>
    </w:p>
    <w:p w14:paraId="075684D6" w14:textId="026C186F"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63329908" w14:textId="77777777" w:rsidR="00926A9A" w:rsidRDefault="00926A9A" w:rsidP="00926A9A">
      <w:pPr>
        <w:spacing w:before="54" w:after="0" w:line="276" w:lineRule="auto"/>
        <w:jc w:val="both"/>
        <w:rPr>
          <w:rFonts w:ascii="Times New Roman" w:hAnsi="Times New Roman" w:cs="Times New Roman"/>
          <w:sz w:val="20"/>
          <w:szCs w:val="20"/>
        </w:rPr>
      </w:pPr>
      <w:r w:rsidRPr="00926A9A">
        <w:rPr>
          <w:rFonts w:ascii="Times New Roman" w:hAnsi="Times New Roman" w:cs="Times New Roman"/>
          <w:sz w:val="20"/>
          <w:szCs w:val="20"/>
        </w:rPr>
        <w:t>In the hilly and remote areas of Akole taluka of Ahilyanagar district of Maharashtra State agriculture is the only and major source of livelihood and earning. It is very rainy area and rice is a major crop of that area. Paddy fields require high amount of water therefore it is very important to study its physicochemical properties. Water of Mula and Pravara rivers along with Krushnavanti and Kurkundi rivers have importance. Some literature is available on physicochemical parameters of Mula and Pravara river water but there is paucity of literature on Krushnavanti and Kurkundi river waters especially during post pandemic era therefore the present investigation work was undertaken. Magadum et al., (2017) assessed the physicochemical parameters and water quality of Vishwamitri river in Gujarat, India [1]. Few researchers in Maharashtra have studied on physicochemical parameters of river water in Maharashtra. Ashtanakar et al., (2023) evaluated the physicochemical parameters of Verna river in Wardha district of Maharashtra State and found the seasonal variations in physicochemical parameters [2]. Chaudhari (2020) have studied the physicochemical parameters of Godavari river Brahmagiri Nasik in Maharashtra State [3]. Dwivedi (2017) have studied the physicochemical characteristics of water in river Mandakini [4]. Salve et al., (2022) analyzed seasonal variations of physicochemical parameters from Godavari river basin at Kamalpur, Taluka Shrirampur, District Ahmednagar [5]. Solanki and Shrivastva (2021) also studied the Narmada water and found that most of the physicochemical characteristic of water samples are within the WHO limit [6]. Shrivastava et al., (2024) studied the physical and chemical parameters of Murna river water and found spatial variation in water quality across different sampling sites [7].</w:t>
      </w:r>
    </w:p>
    <w:p w14:paraId="4AF2FBB0" w14:textId="77777777" w:rsidR="00926A9A" w:rsidRPr="00926A9A" w:rsidRDefault="00926A9A" w:rsidP="00926A9A">
      <w:pPr>
        <w:spacing w:before="54" w:after="0" w:line="276" w:lineRule="auto"/>
        <w:jc w:val="both"/>
        <w:rPr>
          <w:rFonts w:ascii="Times New Roman" w:hAnsi="Times New Roman" w:cs="Times New Roman"/>
          <w:sz w:val="20"/>
          <w:szCs w:val="20"/>
        </w:rPr>
      </w:pPr>
    </w:p>
    <w:p w14:paraId="7A033264" w14:textId="4E1E5322" w:rsidR="00DA52F4" w:rsidRPr="00926A9A" w:rsidRDefault="00DA52F4" w:rsidP="00926A9A">
      <w:pPr>
        <w:pStyle w:val="ListParagraph"/>
        <w:numPr>
          <w:ilvl w:val="0"/>
          <w:numId w:val="21"/>
        </w:numPr>
        <w:spacing w:before="54" w:after="0" w:line="276" w:lineRule="auto"/>
        <w:jc w:val="both"/>
        <w:rPr>
          <w:rFonts w:ascii="Times New Roman" w:hAnsi="Times New Roman" w:cs="Times New Roman"/>
          <w:sz w:val="20"/>
          <w:szCs w:val="20"/>
        </w:rPr>
      </w:pPr>
      <w:r w:rsidRPr="00926A9A">
        <w:rPr>
          <w:rFonts w:ascii="Times New Roman" w:hAnsi="Times New Roman" w:cs="Times New Roman"/>
          <w:b/>
          <w:bCs/>
          <w:color w:val="000000" w:themeColor="text1"/>
          <w:sz w:val="24"/>
          <w:szCs w:val="24"/>
        </w:rPr>
        <w:t>METHODOLOGY</w:t>
      </w:r>
    </w:p>
    <w:p w14:paraId="009B15F2" w14:textId="0045DBD5" w:rsidR="00DA52F4" w:rsidRDefault="00926A9A" w:rsidP="009F6540">
      <w:pPr>
        <w:spacing w:before="54" w:after="0" w:line="276" w:lineRule="auto"/>
        <w:jc w:val="both"/>
        <w:rPr>
          <w:rFonts w:ascii="Times New Roman" w:hAnsi="Times New Roman" w:cs="Times New Roman"/>
          <w:sz w:val="20"/>
          <w:szCs w:val="20"/>
        </w:rPr>
      </w:pPr>
      <w:r w:rsidRPr="00543076">
        <w:rPr>
          <w:rFonts w:ascii="Times New Roman" w:hAnsi="Times New Roman" w:cs="Times New Roman"/>
          <w:sz w:val="20"/>
          <w:szCs w:val="20"/>
        </w:rPr>
        <w:t xml:space="preserve">Water samples were collected </w:t>
      </w:r>
      <w:r w:rsidR="00C0727D">
        <w:rPr>
          <w:rFonts w:ascii="Times New Roman" w:hAnsi="Times New Roman" w:cs="Times New Roman"/>
          <w:sz w:val="20"/>
          <w:szCs w:val="20"/>
        </w:rPr>
        <w:t xml:space="preserve">in January to April 2024 </w:t>
      </w:r>
      <w:r w:rsidRPr="00543076">
        <w:rPr>
          <w:rFonts w:ascii="Times New Roman" w:hAnsi="Times New Roman" w:cs="Times New Roman"/>
          <w:sz w:val="20"/>
          <w:szCs w:val="20"/>
        </w:rPr>
        <w:t xml:space="preserve">from Mula river and Kurkundi rivers and were analyzed using standard methods [8]. </w:t>
      </w:r>
      <w:r w:rsidR="006472E3">
        <w:rPr>
          <w:rFonts w:ascii="Times New Roman" w:hAnsi="Times New Roman" w:cs="Times New Roman"/>
          <w:sz w:val="20"/>
          <w:szCs w:val="20"/>
        </w:rPr>
        <w:t xml:space="preserve">The </w:t>
      </w:r>
      <w:r w:rsidRPr="00543076">
        <w:rPr>
          <w:rFonts w:ascii="Times New Roman" w:hAnsi="Times New Roman" w:cs="Times New Roman"/>
          <w:sz w:val="20"/>
          <w:szCs w:val="20"/>
        </w:rPr>
        <w:t>pH was measured by using digital pH meter, temperature was recorded using thermometer, alkalinity, acidity, CO2 and hardness were estimated by titrimetric methods, the dissolved oxygen was measured using Winkler’s method</w:t>
      </w:r>
      <w:r w:rsidRPr="00543076">
        <w:rPr>
          <w:rFonts w:ascii="Times New Roman" w:hAnsi="Times New Roman" w:cs="Times New Roman"/>
          <w:b/>
          <w:bCs/>
          <w:sz w:val="20"/>
          <w:szCs w:val="20"/>
        </w:rPr>
        <w:t xml:space="preserve"> </w:t>
      </w:r>
      <w:r w:rsidRPr="00543076">
        <w:rPr>
          <w:rFonts w:ascii="Times New Roman" w:hAnsi="Times New Roman" w:cs="Times New Roman"/>
          <w:sz w:val="20"/>
          <w:szCs w:val="20"/>
        </w:rPr>
        <w:t>and the TDS was measured using digital TDS meter [9].</w:t>
      </w:r>
    </w:p>
    <w:p w14:paraId="25433C94" w14:textId="77777777" w:rsidR="00A476E5" w:rsidRDefault="00A476E5" w:rsidP="009F6540">
      <w:pPr>
        <w:spacing w:before="54" w:after="0" w:line="276" w:lineRule="auto"/>
        <w:jc w:val="both"/>
        <w:rPr>
          <w:rFonts w:ascii="Times New Roman" w:hAnsi="Times New Roman" w:cs="Times New Roman"/>
          <w:sz w:val="20"/>
          <w:szCs w:val="20"/>
        </w:rPr>
      </w:pPr>
    </w:p>
    <w:p w14:paraId="3B15BA6C" w14:textId="262C3E8C" w:rsidR="00A476E5" w:rsidRDefault="00A476E5" w:rsidP="00A476E5">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A476E5">
        <w:rPr>
          <w:rFonts w:ascii="Times New Roman" w:hAnsi="Times New Roman" w:cs="Times New Roman"/>
          <w:b/>
          <w:bCs/>
          <w:color w:val="000000" w:themeColor="text1"/>
          <w:sz w:val="24"/>
          <w:szCs w:val="24"/>
        </w:rPr>
        <w:t>RESULTS AND DISCUSSION</w:t>
      </w:r>
    </w:p>
    <w:p w14:paraId="1F77B93B" w14:textId="61D8FD6C" w:rsidR="00A476E5" w:rsidRPr="00A476E5" w:rsidRDefault="00A476E5" w:rsidP="00A476E5">
      <w:pPr>
        <w:spacing w:before="54" w:after="0" w:line="276" w:lineRule="auto"/>
        <w:jc w:val="both"/>
        <w:rPr>
          <w:rFonts w:ascii="Times New Roman" w:hAnsi="Times New Roman" w:cs="Times New Roman"/>
          <w:bCs/>
          <w:color w:val="000000" w:themeColor="text1"/>
          <w:sz w:val="20"/>
          <w:szCs w:val="20"/>
        </w:rPr>
      </w:pPr>
      <w:r w:rsidRPr="00A476E5">
        <w:rPr>
          <w:rFonts w:ascii="Times New Roman" w:hAnsi="Times New Roman" w:cs="Times New Roman"/>
          <w:bCs/>
          <w:color w:val="000000" w:themeColor="text1"/>
          <w:sz w:val="20"/>
          <w:szCs w:val="20"/>
        </w:rPr>
        <w:t>The observations</w:t>
      </w:r>
      <w:r>
        <w:rPr>
          <w:rFonts w:ascii="Times New Roman" w:hAnsi="Times New Roman" w:cs="Times New Roman"/>
          <w:bCs/>
          <w:color w:val="000000" w:themeColor="text1"/>
          <w:sz w:val="20"/>
          <w:szCs w:val="20"/>
        </w:rPr>
        <w:t xml:space="preserve"> and results</w:t>
      </w:r>
      <w:r w:rsidRPr="00A476E5">
        <w:rPr>
          <w:rFonts w:ascii="Times New Roman" w:hAnsi="Times New Roman" w:cs="Times New Roman"/>
          <w:bCs/>
          <w:color w:val="000000" w:themeColor="text1"/>
          <w:sz w:val="20"/>
          <w:szCs w:val="20"/>
        </w:rPr>
        <w:t xml:space="preserve"> found during the study period were combinely sho</w:t>
      </w:r>
      <w:r w:rsidR="006472E3">
        <w:rPr>
          <w:rFonts w:ascii="Times New Roman" w:hAnsi="Times New Roman" w:cs="Times New Roman"/>
          <w:bCs/>
          <w:color w:val="000000" w:themeColor="text1"/>
          <w:sz w:val="20"/>
          <w:szCs w:val="20"/>
        </w:rPr>
        <w:t>wn in the following Tables no. 1</w:t>
      </w:r>
      <w:r w:rsidRPr="00A476E5">
        <w:rPr>
          <w:rFonts w:ascii="Times New Roman" w:hAnsi="Times New Roman" w:cs="Times New Roman"/>
          <w:bCs/>
          <w:color w:val="000000" w:themeColor="text1"/>
          <w:sz w:val="20"/>
          <w:szCs w:val="20"/>
        </w:rPr>
        <w:t xml:space="preserve"> </w:t>
      </w:r>
      <w:r w:rsidR="006472E3">
        <w:rPr>
          <w:rFonts w:ascii="Times New Roman" w:hAnsi="Times New Roman" w:cs="Times New Roman"/>
          <w:bCs/>
          <w:color w:val="000000" w:themeColor="text1"/>
          <w:sz w:val="20"/>
          <w:szCs w:val="20"/>
        </w:rPr>
        <w:t>and</w:t>
      </w:r>
      <w:r w:rsidRPr="00A476E5">
        <w:rPr>
          <w:rFonts w:ascii="Times New Roman" w:hAnsi="Times New Roman" w:cs="Times New Roman"/>
          <w:bCs/>
          <w:color w:val="000000" w:themeColor="text1"/>
          <w:sz w:val="20"/>
          <w:szCs w:val="20"/>
        </w:rPr>
        <w:t xml:space="preserve"> 2.</w:t>
      </w:r>
    </w:p>
    <w:p w14:paraId="066B106B" w14:textId="77777777" w:rsidR="00A476E5" w:rsidRDefault="00A476E5" w:rsidP="009F6540">
      <w:pPr>
        <w:spacing w:before="54" w:after="0" w:line="276" w:lineRule="auto"/>
        <w:jc w:val="center"/>
        <w:rPr>
          <w:rFonts w:ascii="Times New Roman" w:hAnsi="Times New Roman" w:cs="Times New Roman"/>
          <w:noProof/>
          <w:color w:val="000000" w:themeColor="text1"/>
          <w:sz w:val="20"/>
          <w:szCs w:val="20"/>
          <w:lang w:val="en-IN" w:eastAsia="en-IN"/>
        </w:rPr>
      </w:pPr>
    </w:p>
    <w:p w14:paraId="0A4CAF2D" w14:textId="77777777" w:rsidR="00A476E5" w:rsidRDefault="00A476E5" w:rsidP="009F6540">
      <w:pPr>
        <w:spacing w:before="54" w:after="0" w:line="276" w:lineRule="auto"/>
        <w:jc w:val="center"/>
        <w:rPr>
          <w:rFonts w:ascii="Times New Roman" w:hAnsi="Times New Roman" w:cs="Times New Roman"/>
          <w:noProof/>
          <w:color w:val="000000" w:themeColor="text1"/>
          <w:sz w:val="20"/>
          <w:szCs w:val="20"/>
          <w:lang w:val="en-IN" w:eastAsia="en-IN"/>
        </w:rPr>
      </w:pPr>
    </w:p>
    <w:p w14:paraId="3AE90952" w14:textId="77777777" w:rsidR="00A476E5" w:rsidRDefault="00A476E5" w:rsidP="009F6540">
      <w:pPr>
        <w:spacing w:before="54" w:after="0" w:line="276" w:lineRule="auto"/>
        <w:jc w:val="center"/>
        <w:rPr>
          <w:rFonts w:ascii="Times New Roman" w:hAnsi="Times New Roman" w:cs="Times New Roman"/>
          <w:noProof/>
          <w:color w:val="000000" w:themeColor="text1"/>
          <w:sz w:val="20"/>
          <w:szCs w:val="20"/>
          <w:lang w:val="en-IN" w:eastAsia="en-IN"/>
        </w:rPr>
      </w:pPr>
    </w:p>
    <w:p w14:paraId="3E015C1E" w14:textId="521EE7C7" w:rsidR="00A476E5" w:rsidRPr="006472E3" w:rsidRDefault="00A476E5" w:rsidP="006472E3">
      <w:pPr>
        <w:jc w:val="center"/>
        <w:rPr>
          <w:rFonts w:ascii="Times New Roman" w:hAnsi="Times New Roman" w:cs="Times New Roman"/>
          <w:b/>
          <w:bCs/>
          <w:sz w:val="20"/>
          <w:szCs w:val="20"/>
        </w:rPr>
      </w:pPr>
      <w:r w:rsidRPr="006472E3">
        <w:rPr>
          <w:rFonts w:ascii="Times New Roman" w:hAnsi="Times New Roman" w:cs="Times New Roman"/>
          <w:b/>
          <w:bCs/>
          <w:sz w:val="20"/>
          <w:szCs w:val="20"/>
        </w:rPr>
        <w:t xml:space="preserve">Table 1: </w:t>
      </w:r>
      <w:r w:rsidR="006472E3" w:rsidRPr="006472E3">
        <w:rPr>
          <w:rFonts w:ascii="Times New Roman" w:hAnsi="Times New Roman" w:cs="Times New Roman"/>
          <w:b/>
          <w:bCs/>
          <w:sz w:val="20"/>
          <w:szCs w:val="20"/>
        </w:rPr>
        <w:t xml:space="preserve">Showing </w:t>
      </w:r>
      <w:r w:rsidRPr="006472E3">
        <w:rPr>
          <w:rFonts w:ascii="Times New Roman" w:hAnsi="Times New Roman" w:cs="Times New Roman"/>
          <w:b/>
          <w:bCs/>
          <w:sz w:val="20"/>
          <w:szCs w:val="20"/>
        </w:rPr>
        <w:t>Physicochemical Parameters of Mula River</w:t>
      </w:r>
      <w:r w:rsidR="006472E3" w:rsidRPr="006472E3">
        <w:rPr>
          <w:rFonts w:ascii="Times New Roman" w:hAnsi="Times New Roman" w:cs="Times New Roman"/>
          <w:b/>
          <w:bCs/>
          <w:sz w:val="20"/>
          <w:szCs w:val="20"/>
        </w:rPr>
        <w:t xml:space="preserve"> water</w:t>
      </w:r>
    </w:p>
    <w:tbl>
      <w:tblPr>
        <w:tblStyle w:val="TableGrid"/>
        <w:tblW w:w="8897" w:type="dxa"/>
        <w:jc w:val="center"/>
        <w:tblLayout w:type="fixed"/>
        <w:tblLook w:val="04A0" w:firstRow="1" w:lastRow="0" w:firstColumn="1" w:lastColumn="0" w:noHBand="0" w:noVBand="1"/>
      </w:tblPr>
      <w:tblGrid>
        <w:gridCol w:w="1101"/>
        <w:gridCol w:w="1275"/>
        <w:gridCol w:w="993"/>
        <w:gridCol w:w="992"/>
        <w:gridCol w:w="992"/>
        <w:gridCol w:w="1276"/>
        <w:gridCol w:w="567"/>
        <w:gridCol w:w="992"/>
        <w:gridCol w:w="709"/>
      </w:tblGrid>
      <w:tr w:rsidR="00A476E5" w:rsidRPr="00543076" w14:paraId="185A4D5D" w14:textId="77777777" w:rsidTr="006472E3">
        <w:trPr>
          <w:trHeight w:val="211"/>
          <w:jc w:val="center"/>
        </w:trPr>
        <w:tc>
          <w:tcPr>
            <w:tcW w:w="1101" w:type="dxa"/>
          </w:tcPr>
          <w:p w14:paraId="149B5494" w14:textId="77777777" w:rsidR="00A476E5" w:rsidRPr="00543076" w:rsidRDefault="00A476E5" w:rsidP="00B92465">
            <w:pPr>
              <w:jc w:val="center"/>
              <w:rPr>
                <w:rFonts w:ascii="Times New Roman" w:hAnsi="Times New Roman" w:cs="Times New Roman"/>
                <w:b/>
              </w:rPr>
            </w:pPr>
            <w:r w:rsidRPr="00543076">
              <w:rPr>
                <w:rFonts w:ascii="Times New Roman" w:hAnsi="Times New Roman" w:cs="Times New Roman"/>
                <w:b/>
              </w:rPr>
              <w:lastRenderedPageBreak/>
              <w:t>Month</w:t>
            </w:r>
          </w:p>
        </w:tc>
        <w:tc>
          <w:tcPr>
            <w:tcW w:w="1275" w:type="dxa"/>
          </w:tcPr>
          <w:p w14:paraId="26085DE6" w14:textId="77777777" w:rsidR="00A476E5" w:rsidRPr="00543076" w:rsidRDefault="00A476E5" w:rsidP="00B92465">
            <w:pPr>
              <w:jc w:val="center"/>
              <w:rPr>
                <w:rFonts w:ascii="Times New Roman" w:hAnsi="Times New Roman" w:cs="Times New Roman"/>
                <w:b/>
              </w:rPr>
            </w:pPr>
            <w:r w:rsidRPr="00543076">
              <w:rPr>
                <w:rFonts w:ascii="Times New Roman" w:hAnsi="Times New Roman" w:cs="Times New Roman"/>
                <w:b/>
              </w:rPr>
              <w:t>Alkalinity (mg/L)</w:t>
            </w:r>
          </w:p>
        </w:tc>
        <w:tc>
          <w:tcPr>
            <w:tcW w:w="993" w:type="dxa"/>
          </w:tcPr>
          <w:p w14:paraId="2A0719DF" w14:textId="77777777" w:rsidR="00A476E5" w:rsidRPr="00543076" w:rsidRDefault="00A476E5" w:rsidP="00B92465">
            <w:pPr>
              <w:jc w:val="center"/>
              <w:rPr>
                <w:rFonts w:ascii="Times New Roman" w:hAnsi="Times New Roman" w:cs="Times New Roman"/>
                <w:b/>
              </w:rPr>
            </w:pPr>
            <w:r w:rsidRPr="00543076">
              <w:rPr>
                <w:rFonts w:ascii="Times New Roman" w:hAnsi="Times New Roman" w:cs="Times New Roman"/>
                <w:b/>
              </w:rPr>
              <w:t>Acidity</w:t>
            </w:r>
          </w:p>
          <w:p w14:paraId="6D784744" w14:textId="77777777" w:rsidR="00A476E5" w:rsidRPr="00543076" w:rsidRDefault="00A476E5" w:rsidP="00B92465">
            <w:pPr>
              <w:jc w:val="center"/>
              <w:rPr>
                <w:rFonts w:ascii="Times New Roman" w:hAnsi="Times New Roman" w:cs="Times New Roman"/>
                <w:b/>
              </w:rPr>
            </w:pPr>
            <w:r w:rsidRPr="00543076">
              <w:rPr>
                <w:rFonts w:ascii="Times New Roman" w:hAnsi="Times New Roman" w:cs="Times New Roman"/>
                <w:b/>
              </w:rPr>
              <w:t>(mg/L)</w:t>
            </w:r>
          </w:p>
        </w:tc>
        <w:tc>
          <w:tcPr>
            <w:tcW w:w="992" w:type="dxa"/>
          </w:tcPr>
          <w:p w14:paraId="3A52F1F1" w14:textId="77777777" w:rsidR="00A476E5" w:rsidRPr="00543076" w:rsidRDefault="00A476E5" w:rsidP="00B92465">
            <w:pPr>
              <w:jc w:val="center"/>
              <w:rPr>
                <w:rFonts w:ascii="Times New Roman" w:hAnsi="Times New Roman" w:cs="Times New Roman"/>
                <w:b/>
              </w:rPr>
            </w:pPr>
            <w:r w:rsidRPr="00543076">
              <w:rPr>
                <w:rFonts w:ascii="Times New Roman" w:hAnsi="Times New Roman" w:cs="Times New Roman"/>
                <w:b/>
              </w:rPr>
              <w:t>DO (mg/L)</w:t>
            </w:r>
          </w:p>
        </w:tc>
        <w:tc>
          <w:tcPr>
            <w:tcW w:w="992" w:type="dxa"/>
          </w:tcPr>
          <w:p w14:paraId="1B187628" w14:textId="77777777" w:rsidR="00A476E5" w:rsidRPr="00543076" w:rsidRDefault="00A476E5" w:rsidP="00B92465">
            <w:pPr>
              <w:jc w:val="center"/>
              <w:rPr>
                <w:rFonts w:ascii="Times New Roman" w:hAnsi="Times New Roman" w:cs="Times New Roman"/>
                <w:b/>
              </w:rPr>
            </w:pPr>
            <w:r w:rsidRPr="00543076">
              <w:rPr>
                <w:rFonts w:ascii="Times New Roman" w:hAnsi="Times New Roman" w:cs="Times New Roman"/>
                <w:b/>
              </w:rPr>
              <w:t>CO</w:t>
            </w:r>
            <w:r w:rsidRPr="00543076">
              <w:rPr>
                <w:rFonts w:ascii="Times New Roman" w:hAnsi="Times New Roman" w:cs="Times New Roman"/>
                <w:b/>
                <w:vertAlign w:val="subscript"/>
              </w:rPr>
              <w:t>2</w:t>
            </w:r>
            <w:r w:rsidRPr="00543076">
              <w:rPr>
                <w:rFonts w:ascii="Times New Roman" w:hAnsi="Times New Roman" w:cs="Times New Roman"/>
                <w:b/>
              </w:rPr>
              <w:t xml:space="preserve"> (mg/L)</w:t>
            </w:r>
          </w:p>
        </w:tc>
        <w:tc>
          <w:tcPr>
            <w:tcW w:w="1276" w:type="dxa"/>
          </w:tcPr>
          <w:p w14:paraId="14799A93" w14:textId="77777777" w:rsidR="00A476E5" w:rsidRPr="00543076" w:rsidRDefault="00A476E5" w:rsidP="00B92465">
            <w:pPr>
              <w:jc w:val="center"/>
              <w:rPr>
                <w:rFonts w:ascii="Times New Roman" w:hAnsi="Times New Roman" w:cs="Times New Roman"/>
                <w:b/>
              </w:rPr>
            </w:pPr>
            <w:r w:rsidRPr="00543076">
              <w:rPr>
                <w:rFonts w:ascii="Times New Roman" w:hAnsi="Times New Roman" w:cs="Times New Roman"/>
                <w:b/>
              </w:rPr>
              <w:t>Hardness (mg/L)</w:t>
            </w:r>
          </w:p>
        </w:tc>
        <w:tc>
          <w:tcPr>
            <w:tcW w:w="567" w:type="dxa"/>
          </w:tcPr>
          <w:p w14:paraId="182BBC2B" w14:textId="77777777" w:rsidR="00A476E5" w:rsidRPr="00543076" w:rsidRDefault="00A476E5" w:rsidP="00B92465">
            <w:pPr>
              <w:jc w:val="center"/>
              <w:rPr>
                <w:rFonts w:ascii="Times New Roman" w:hAnsi="Times New Roman" w:cs="Times New Roman"/>
                <w:b/>
              </w:rPr>
            </w:pPr>
            <w:r w:rsidRPr="00543076">
              <w:rPr>
                <w:rFonts w:ascii="Times New Roman" w:hAnsi="Times New Roman" w:cs="Times New Roman"/>
                <w:b/>
              </w:rPr>
              <w:t>pH</w:t>
            </w:r>
          </w:p>
        </w:tc>
        <w:tc>
          <w:tcPr>
            <w:tcW w:w="992" w:type="dxa"/>
          </w:tcPr>
          <w:p w14:paraId="60DE6B07" w14:textId="77777777" w:rsidR="00A476E5" w:rsidRPr="00543076" w:rsidRDefault="00A476E5" w:rsidP="00B92465">
            <w:pPr>
              <w:jc w:val="center"/>
              <w:rPr>
                <w:rFonts w:ascii="Times New Roman" w:hAnsi="Times New Roman" w:cs="Times New Roman"/>
                <w:b/>
              </w:rPr>
            </w:pPr>
            <w:r w:rsidRPr="00543076">
              <w:rPr>
                <w:rFonts w:ascii="Times New Roman" w:hAnsi="Times New Roman" w:cs="Times New Roman"/>
                <w:b/>
              </w:rPr>
              <w:t>Temp. (˚C)</w:t>
            </w:r>
          </w:p>
        </w:tc>
        <w:tc>
          <w:tcPr>
            <w:tcW w:w="709" w:type="dxa"/>
          </w:tcPr>
          <w:p w14:paraId="4FBCC83B" w14:textId="77777777" w:rsidR="00A476E5" w:rsidRPr="00543076" w:rsidRDefault="00A476E5" w:rsidP="00B92465">
            <w:pPr>
              <w:jc w:val="center"/>
              <w:rPr>
                <w:rFonts w:ascii="Times New Roman" w:hAnsi="Times New Roman" w:cs="Times New Roman"/>
                <w:b/>
              </w:rPr>
            </w:pPr>
            <w:r w:rsidRPr="00543076">
              <w:rPr>
                <w:rFonts w:ascii="Times New Roman" w:hAnsi="Times New Roman" w:cs="Times New Roman"/>
                <w:b/>
              </w:rPr>
              <w:t>TDS</w:t>
            </w:r>
          </w:p>
        </w:tc>
      </w:tr>
      <w:tr w:rsidR="00A476E5" w:rsidRPr="00543076" w14:paraId="4F1B1292" w14:textId="77777777" w:rsidTr="006472E3">
        <w:trPr>
          <w:trHeight w:val="276"/>
          <w:jc w:val="center"/>
        </w:trPr>
        <w:tc>
          <w:tcPr>
            <w:tcW w:w="1101" w:type="dxa"/>
          </w:tcPr>
          <w:p w14:paraId="5B5698AA" w14:textId="77777777" w:rsidR="00A476E5" w:rsidRPr="00543076" w:rsidRDefault="00A476E5" w:rsidP="00B92465">
            <w:pPr>
              <w:spacing w:after="160"/>
              <w:jc w:val="both"/>
              <w:rPr>
                <w:rFonts w:ascii="Times New Roman" w:hAnsi="Times New Roman" w:cs="Times New Roman"/>
              </w:rPr>
            </w:pPr>
            <w:r w:rsidRPr="00543076">
              <w:rPr>
                <w:rFonts w:ascii="Times New Roman" w:hAnsi="Times New Roman" w:cs="Times New Roman"/>
              </w:rPr>
              <w:t xml:space="preserve">January </w:t>
            </w:r>
          </w:p>
        </w:tc>
        <w:tc>
          <w:tcPr>
            <w:tcW w:w="1275" w:type="dxa"/>
          </w:tcPr>
          <w:p w14:paraId="242B8E39"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270</w:t>
            </w:r>
          </w:p>
        </w:tc>
        <w:tc>
          <w:tcPr>
            <w:tcW w:w="993" w:type="dxa"/>
          </w:tcPr>
          <w:p w14:paraId="35FBD9BA"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20</w:t>
            </w:r>
          </w:p>
        </w:tc>
        <w:tc>
          <w:tcPr>
            <w:tcW w:w="992" w:type="dxa"/>
          </w:tcPr>
          <w:p w14:paraId="19DC972E"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6.0</w:t>
            </w:r>
          </w:p>
        </w:tc>
        <w:tc>
          <w:tcPr>
            <w:tcW w:w="992" w:type="dxa"/>
          </w:tcPr>
          <w:p w14:paraId="3EA074B0"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31.9</w:t>
            </w:r>
          </w:p>
        </w:tc>
        <w:tc>
          <w:tcPr>
            <w:tcW w:w="1276" w:type="dxa"/>
          </w:tcPr>
          <w:p w14:paraId="2CA94786"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97.4</w:t>
            </w:r>
          </w:p>
        </w:tc>
        <w:tc>
          <w:tcPr>
            <w:tcW w:w="567" w:type="dxa"/>
          </w:tcPr>
          <w:p w14:paraId="7529B35F"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7.2</w:t>
            </w:r>
          </w:p>
        </w:tc>
        <w:tc>
          <w:tcPr>
            <w:tcW w:w="992" w:type="dxa"/>
          </w:tcPr>
          <w:p w14:paraId="5BD33F97"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23</w:t>
            </w:r>
          </w:p>
        </w:tc>
        <w:tc>
          <w:tcPr>
            <w:tcW w:w="709" w:type="dxa"/>
          </w:tcPr>
          <w:p w14:paraId="523B7C44"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290</w:t>
            </w:r>
          </w:p>
        </w:tc>
      </w:tr>
      <w:tr w:rsidR="00A476E5" w:rsidRPr="00543076" w14:paraId="270C0D86" w14:textId="77777777" w:rsidTr="006472E3">
        <w:trPr>
          <w:trHeight w:val="383"/>
          <w:jc w:val="center"/>
        </w:trPr>
        <w:tc>
          <w:tcPr>
            <w:tcW w:w="1101" w:type="dxa"/>
          </w:tcPr>
          <w:p w14:paraId="5CA44B05" w14:textId="77777777" w:rsidR="00A476E5" w:rsidRPr="00543076" w:rsidRDefault="00A476E5" w:rsidP="00B92465">
            <w:pPr>
              <w:spacing w:after="160"/>
              <w:jc w:val="both"/>
              <w:rPr>
                <w:rFonts w:ascii="Times New Roman" w:hAnsi="Times New Roman" w:cs="Times New Roman"/>
              </w:rPr>
            </w:pPr>
            <w:r w:rsidRPr="00543076">
              <w:rPr>
                <w:rFonts w:ascii="Times New Roman" w:hAnsi="Times New Roman" w:cs="Times New Roman"/>
              </w:rPr>
              <w:t>February</w:t>
            </w:r>
          </w:p>
        </w:tc>
        <w:tc>
          <w:tcPr>
            <w:tcW w:w="1275" w:type="dxa"/>
          </w:tcPr>
          <w:p w14:paraId="25DEF2CF"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350</w:t>
            </w:r>
          </w:p>
        </w:tc>
        <w:tc>
          <w:tcPr>
            <w:tcW w:w="993" w:type="dxa"/>
          </w:tcPr>
          <w:p w14:paraId="7515A991"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15</w:t>
            </w:r>
          </w:p>
        </w:tc>
        <w:tc>
          <w:tcPr>
            <w:tcW w:w="992" w:type="dxa"/>
          </w:tcPr>
          <w:p w14:paraId="5B170C9F"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5.8</w:t>
            </w:r>
          </w:p>
        </w:tc>
        <w:tc>
          <w:tcPr>
            <w:tcW w:w="992" w:type="dxa"/>
          </w:tcPr>
          <w:p w14:paraId="1E4C0DA6"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34.8</w:t>
            </w:r>
          </w:p>
        </w:tc>
        <w:tc>
          <w:tcPr>
            <w:tcW w:w="1276" w:type="dxa"/>
          </w:tcPr>
          <w:p w14:paraId="66B463A2"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99.5</w:t>
            </w:r>
          </w:p>
        </w:tc>
        <w:tc>
          <w:tcPr>
            <w:tcW w:w="567" w:type="dxa"/>
          </w:tcPr>
          <w:p w14:paraId="315F1EE3"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7.4</w:t>
            </w:r>
          </w:p>
        </w:tc>
        <w:tc>
          <w:tcPr>
            <w:tcW w:w="992" w:type="dxa"/>
          </w:tcPr>
          <w:p w14:paraId="2930A68F"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25</w:t>
            </w:r>
          </w:p>
        </w:tc>
        <w:tc>
          <w:tcPr>
            <w:tcW w:w="709" w:type="dxa"/>
          </w:tcPr>
          <w:p w14:paraId="4A72895A"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304</w:t>
            </w:r>
          </w:p>
        </w:tc>
      </w:tr>
      <w:tr w:rsidR="00A476E5" w:rsidRPr="00543076" w14:paraId="04939CE2" w14:textId="77777777" w:rsidTr="006472E3">
        <w:trPr>
          <w:trHeight w:val="70"/>
          <w:jc w:val="center"/>
        </w:trPr>
        <w:tc>
          <w:tcPr>
            <w:tcW w:w="1101" w:type="dxa"/>
          </w:tcPr>
          <w:p w14:paraId="146FA0A1" w14:textId="77777777" w:rsidR="00A476E5" w:rsidRPr="00543076" w:rsidRDefault="00A476E5" w:rsidP="00B92465">
            <w:pPr>
              <w:spacing w:after="160"/>
              <w:jc w:val="both"/>
              <w:rPr>
                <w:rFonts w:ascii="Times New Roman" w:hAnsi="Times New Roman" w:cs="Times New Roman"/>
              </w:rPr>
            </w:pPr>
            <w:r w:rsidRPr="00543076">
              <w:rPr>
                <w:rFonts w:ascii="Times New Roman" w:hAnsi="Times New Roman" w:cs="Times New Roman"/>
              </w:rPr>
              <w:t>March</w:t>
            </w:r>
          </w:p>
        </w:tc>
        <w:tc>
          <w:tcPr>
            <w:tcW w:w="1275" w:type="dxa"/>
          </w:tcPr>
          <w:p w14:paraId="1971F6E4"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360</w:t>
            </w:r>
          </w:p>
        </w:tc>
        <w:tc>
          <w:tcPr>
            <w:tcW w:w="993" w:type="dxa"/>
          </w:tcPr>
          <w:p w14:paraId="4419375C"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20</w:t>
            </w:r>
          </w:p>
        </w:tc>
        <w:tc>
          <w:tcPr>
            <w:tcW w:w="992" w:type="dxa"/>
          </w:tcPr>
          <w:p w14:paraId="166D968C"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4.6</w:t>
            </w:r>
          </w:p>
        </w:tc>
        <w:tc>
          <w:tcPr>
            <w:tcW w:w="992" w:type="dxa"/>
          </w:tcPr>
          <w:p w14:paraId="05352F56"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38.2</w:t>
            </w:r>
          </w:p>
        </w:tc>
        <w:tc>
          <w:tcPr>
            <w:tcW w:w="1276" w:type="dxa"/>
          </w:tcPr>
          <w:p w14:paraId="6465ABBD"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95.6</w:t>
            </w:r>
          </w:p>
        </w:tc>
        <w:tc>
          <w:tcPr>
            <w:tcW w:w="567" w:type="dxa"/>
          </w:tcPr>
          <w:p w14:paraId="2B7A6606"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6.8</w:t>
            </w:r>
          </w:p>
        </w:tc>
        <w:tc>
          <w:tcPr>
            <w:tcW w:w="992" w:type="dxa"/>
          </w:tcPr>
          <w:p w14:paraId="11A8D165"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27</w:t>
            </w:r>
          </w:p>
        </w:tc>
        <w:tc>
          <w:tcPr>
            <w:tcW w:w="709" w:type="dxa"/>
          </w:tcPr>
          <w:p w14:paraId="1475C1AC"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284</w:t>
            </w:r>
          </w:p>
        </w:tc>
      </w:tr>
      <w:tr w:rsidR="00A476E5" w:rsidRPr="00543076" w14:paraId="58A6991C" w14:textId="77777777" w:rsidTr="006472E3">
        <w:trPr>
          <w:trHeight w:val="70"/>
          <w:jc w:val="center"/>
        </w:trPr>
        <w:tc>
          <w:tcPr>
            <w:tcW w:w="1101" w:type="dxa"/>
          </w:tcPr>
          <w:p w14:paraId="2DF642D3" w14:textId="77777777" w:rsidR="00A476E5" w:rsidRPr="00543076" w:rsidRDefault="00A476E5" w:rsidP="00B92465">
            <w:pPr>
              <w:spacing w:after="160"/>
              <w:jc w:val="both"/>
              <w:rPr>
                <w:rFonts w:ascii="Times New Roman" w:hAnsi="Times New Roman" w:cs="Times New Roman"/>
              </w:rPr>
            </w:pPr>
            <w:r w:rsidRPr="00543076">
              <w:rPr>
                <w:rFonts w:ascii="Times New Roman" w:hAnsi="Times New Roman" w:cs="Times New Roman"/>
              </w:rPr>
              <w:t>April</w:t>
            </w:r>
          </w:p>
        </w:tc>
        <w:tc>
          <w:tcPr>
            <w:tcW w:w="1275" w:type="dxa"/>
          </w:tcPr>
          <w:p w14:paraId="5B6E5F62"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410</w:t>
            </w:r>
          </w:p>
        </w:tc>
        <w:tc>
          <w:tcPr>
            <w:tcW w:w="993" w:type="dxa"/>
          </w:tcPr>
          <w:p w14:paraId="344E1E6D"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20</w:t>
            </w:r>
          </w:p>
        </w:tc>
        <w:tc>
          <w:tcPr>
            <w:tcW w:w="992" w:type="dxa"/>
          </w:tcPr>
          <w:p w14:paraId="33F1FDAF"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4.2</w:t>
            </w:r>
          </w:p>
        </w:tc>
        <w:tc>
          <w:tcPr>
            <w:tcW w:w="992" w:type="dxa"/>
          </w:tcPr>
          <w:p w14:paraId="659E045B"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35.0</w:t>
            </w:r>
          </w:p>
        </w:tc>
        <w:tc>
          <w:tcPr>
            <w:tcW w:w="1276" w:type="dxa"/>
          </w:tcPr>
          <w:p w14:paraId="7A19F278"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90.4</w:t>
            </w:r>
          </w:p>
        </w:tc>
        <w:tc>
          <w:tcPr>
            <w:tcW w:w="567" w:type="dxa"/>
          </w:tcPr>
          <w:p w14:paraId="5077D683"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6.4</w:t>
            </w:r>
          </w:p>
        </w:tc>
        <w:tc>
          <w:tcPr>
            <w:tcW w:w="992" w:type="dxa"/>
          </w:tcPr>
          <w:p w14:paraId="206D2F3E"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27</w:t>
            </w:r>
          </w:p>
        </w:tc>
        <w:tc>
          <w:tcPr>
            <w:tcW w:w="709" w:type="dxa"/>
          </w:tcPr>
          <w:p w14:paraId="17BA1439" w14:textId="77777777" w:rsidR="00A476E5" w:rsidRPr="00543076" w:rsidRDefault="00A476E5" w:rsidP="00B92465">
            <w:pPr>
              <w:spacing w:after="160"/>
              <w:jc w:val="center"/>
              <w:rPr>
                <w:rFonts w:ascii="Times New Roman" w:hAnsi="Times New Roman" w:cs="Times New Roman"/>
              </w:rPr>
            </w:pPr>
            <w:r w:rsidRPr="00543076">
              <w:rPr>
                <w:rFonts w:ascii="Times New Roman" w:hAnsi="Times New Roman" w:cs="Times New Roman"/>
              </w:rPr>
              <w:t>300</w:t>
            </w:r>
          </w:p>
        </w:tc>
      </w:tr>
    </w:tbl>
    <w:p w14:paraId="618C8041" w14:textId="10542062"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216B45A4" w14:textId="7F79A43D" w:rsidR="006472E3" w:rsidRPr="006472E3" w:rsidRDefault="006472E3" w:rsidP="006472E3">
      <w:pPr>
        <w:spacing w:line="240" w:lineRule="auto"/>
        <w:jc w:val="center"/>
        <w:rPr>
          <w:rFonts w:ascii="Times New Roman" w:hAnsi="Times New Roman" w:cs="Times New Roman"/>
          <w:b/>
          <w:bCs/>
          <w:sz w:val="20"/>
          <w:szCs w:val="20"/>
        </w:rPr>
      </w:pPr>
      <w:r w:rsidRPr="006472E3">
        <w:rPr>
          <w:rFonts w:ascii="Times New Roman" w:hAnsi="Times New Roman" w:cs="Times New Roman"/>
          <w:b/>
          <w:bCs/>
          <w:sz w:val="20"/>
          <w:szCs w:val="20"/>
        </w:rPr>
        <w:t xml:space="preserve">Table 2: </w:t>
      </w:r>
      <w:r w:rsidRPr="006472E3">
        <w:rPr>
          <w:rFonts w:ascii="Times New Roman" w:hAnsi="Times New Roman" w:cs="Times New Roman"/>
          <w:b/>
          <w:bCs/>
          <w:sz w:val="20"/>
          <w:szCs w:val="20"/>
        </w:rPr>
        <w:t xml:space="preserve">Showing </w:t>
      </w:r>
      <w:r w:rsidRPr="006472E3">
        <w:rPr>
          <w:rFonts w:ascii="Times New Roman" w:hAnsi="Times New Roman" w:cs="Times New Roman"/>
          <w:b/>
          <w:bCs/>
          <w:sz w:val="20"/>
          <w:szCs w:val="20"/>
        </w:rPr>
        <w:t>Physicochemical Parameters of Kurkundi River</w:t>
      </w:r>
      <w:r w:rsidRPr="006472E3">
        <w:rPr>
          <w:rFonts w:ascii="Times New Roman" w:hAnsi="Times New Roman" w:cs="Times New Roman"/>
          <w:b/>
          <w:bCs/>
          <w:sz w:val="20"/>
          <w:szCs w:val="20"/>
        </w:rPr>
        <w:t xml:space="preserve"> water</w:t>
      </w:r>
    </w:p>
    <w:tbl>
      <w:tblPr>
        <w:tblStyle w:val="TableGrid"/>
        <w:tblW w:w="8897" w:type="dxa"/>
        <w:jc w:val="center"/>
        <w:tblLayout w:type="fixed"/>
        <w:tblLook w:val="04A0" w:firstRow="1" w:lastRow="0" w:firstColumn="1" w:lastColumn="0" w:noHBand="0" w:noVBand="1"/>
      </w:tblPr>
      <w:tblGrid>
        <w:gridCol w:w="1101"/>
        <w:gridCol w:w="1275"/>
        <w:gridCol w:w="993"/>
        <w:gridCol w:w="992"/>
        <w:gridCol w:w="992"/>
        <w:gridCol w:w="1276"/>
        <w:gridCol w:w="567"/>
        <w:gridCol w:w="992"/>
        <w:gridCol w:w="709"/>
      </w:tblGrid>
      <w:tr w:rsidR="006472E3" w:rsidRPr="007C7080" w14:paraId="21B11D92" w14:textId="77777777" w:rsidTr="006472E3">
        <w:trPr>
          <w:jc w:val="center"/>
        </w:trPr>
        <w:tc>
          <w:tcPr>
            <w:tcW w:w="1101" w:type="dxa"/>
          </w:tcPr>
          <w:p w14:paraId="2B5B55F5" w14:textId="77777777" w:rsidR="006472E3" w:rsidRPr="007C7080" w:rsidRDefault="006472E3" w:rsidP="006472E3">
            <w:pPr>
              <w:spacing w:after="160"/>
              <w:jc w:val="center"/>
              <w:rPr>
                <w:rFonts w:ascii="Times New Roman" w:hAnsi="Times New Roman" w:cs="Times New Roman"/>
                <w:b/>
              </w:rPr>
            </w:pPr>
            <w:r w:rsidRPr="007C7080">
              <w:rPr>
                <w:rFonts w:ascii="Times New Roman" w:hAnsi="Times New Roman" w:cs="Times New Roman"/>
                <w:b/>
              </w:rPr>
              <w:t>Month</w:t>
            </w:r>
          </w:p>
        </w:tc>
        <w:tc>
          <w:tcPr>
            <w:tcW w:w="1275" w:type="dxa"/>
          </w:tcPr>
          <w:p w14:paraId="69FD6660" w14:textId="77777777" w:rsidR="006472E3" w:rsidRPr="007C7080" w:rsidRDefault="006472E3" w:rsidP="006472E3">
            <w:pPr>
              <w:spacing w:after="160"/>
              <w:jc w:val="center"/>
              <w:rPr>
                <w:rFonts w:ascii="Times New Roman" w:hAnsi="Times New Roman" w:cs="Times New Roman"/>
                <w:b/>
              </w:rPr>
            </w:pPr>
            <w:r w:rsidRPr="007C7080">
              <w:rPr>
                <w:rFonts w:ascii="Times New Roman" w:hAnsi="Times New Roman" w:cs="Times New Roman"/>
                <w:b/>
              </w:rPr>
              <w:t>Alkalinity (mg/L)</w:t>
            </w:r>
          </w:p>
        </w:tc>
        <w:tc>
          <w:tcPr>
            <w:tcW w:w="993" w:type="dxa"/>
          </w:tcPr>
          <w:p w14:paraId="394D70EE" w14:textId="77777777" w:rsidR="006472E3" w:rsidRPr="007C7080" w:rsidRDefault="006472E3" w:rsidP="006472E3">
            <w:pPr>
              <w:spacing w:after="160"/>
              <w:jc w:val="center"/>
              <w:rPr>
                <w:rFonts w:ascii="Times New Roman" w:hAnsi="Times New Roman" w:cs="Times New Roman"/>
                <w:b/>
              </w:rPr>
            </w:pPr>
            <w:r w:rsidRPr="007C7080">
              <w:rPr>
                <w:rFonts w:ascii="Times New Roman" w:hAnsi="Times New Roman" w:cs="Times New Roman"/>
                <w:b/>
              </w:rPr>
              <w:t>Acidity (mg/L)</w:t>
            </w:r>
          </w:p>
        </w:tc>
        <w:tc>
          <w:tcPr>
            <w:tcW w:w="992" w:type="dxa"/>
          </w:tcPr>
          <w:p w14:paraId="6AF21E32" w14:textId="77777777" w:rsidR="006472E3" w:rsidRPr="007C7080" w:rsidRDefault="006472E3" w:rsidP="006472E3">
            <w:pPr>
              <w:spacing w:after="160"/>
              <w:jc w:val="center"/>
              <w:rPr>
                <w:rFonts w:ascii="Times New Roman" w:hAnsi="Times New Roman" w:cs="Times New Roman"/>
                <w:b/>
              </w:rPr>
            </w:pPr>
            <w:r w:rsidRPr="007C7080">
              <w:rPr>
                <w:rFonts w:ascii="Times New Roman" w:hAnsi="Times New Roman" w:cs="Times New Roman"/>
                <w:b/>
              </w:rPr>
              <w:t>DO (mg/L)</w:t>
            </w:r>
          </w:p>
        </w:tc>
        <w:tc>
          <w:tcPr>
            <w:tcW w:w="992" w:type="dxa"/>
          </w:tcPr>
          <w:p w14:paraId="657D45CB" w14:textId="77777777" w:rsidR="006472E3" w:rsidRPr="007C7080" w:rsidRDefault="006472E3" w:rsidP="006472E3">
            <w:pPr>
              <w:jc w:val="center"/>
              <w:rPr>
                <w:rFonts w:ascii="Times New Roman" w:hAnsi="Times New Roman" w:cs="Times New Roman"/>
                <w:b/>
              </w:rPr>
            </w:pPr>
            <w:r w:rsidRPr="007C7080">
              <w:rPr>
                <w:rFonts w:ascii="Times New Roman" w:hAnsi="Times New Roman" w:cs="Times New Roman"/>
                <w:b/>
              </w:rPr>
              <w:t>CO</w:t>
            </w:r>
            <w:r w:rsidRPr="007C7080">
              <w:rPr>
                <w:rFonts w:ascii="Times New Roman" w:hAnsi="Times New Roman" w:cs="Times New Roman"/>
                <w:b/>
                <w:vertAlign w:val="subscript"/>
              </w:rPr>
              <w:t>2</w:t>
            </w:r>
            <w:r w:rsidRPr="007C7080">
              <w:rPr>
                <w:rFonts w:ascii="Times New Roman" w:hAnsi="Times New Roman" w:cs="Times New Roman"/>
                <w:b/>
              </w:rPr>
              <w:t xml:space="preserve"> (mg/L)</w:t>
            </w:r>
          </w:p>
        </w:tc>
        <w:tc>
          <w:tcPr>
            <w:tcW w:w="1276" w:type="dxa"/>
          </w:tcPr>
          <w:p w14:paraId="11EB70AA" w14:textId="77777777" w:rsidR="006472E3" w:rsidRPr="007C7080" w:rsidRDefault="006472E3" w:rsidP="006472E3">
            <w:pPr>
              <w:spacing w:after="160"/>
              <w:jc w:val="center"/>
              <w:rPr>
                <w:rFonts w:ascii="Times New Roman" w:hAnsi="Times New Roman" w:cs="Times New Roman"/>
                <w:b/>
              </w:rPr>
            </w:pPr>
            <w:r w:rsidRPr="007C7080">
              <w:rPr>
                <w:rFonts w:ascii="Times New Roman" w:hAnsi="Times New Roman" w:cs="Times New Roman"/>
                <w:b/>
              </w:rPr>
              <w:t>Hardness (mg/L)</w:t>
            </w:r>
          </w:p>
        </w:tc>
        <w:tc>
          <w:tcPr>
            <w:tcW w:w="567" w:type="dxa"/>
          </w:tcPr>
          <w:p w14:paraId="104DDD29" w14:textId="77777777" w:rsidR="006472E3" w:rsidRPr="007C7080" w:rsidRDefault="006472E3" w:rsidP="006472E3">
            <w:pPr>
              <w:spacing w:after="160"/>
              <w:jc w:val="center"/>
              <w:rPr>
                <w:rFonts w:ascii="Times New Roman" w:hAnsi="Times New Roman" w:cs="Times New Roman"/>
                <w:b/>
              </w:rPr>
            </w:pPr>
            <w:r w:rsidRPr="007C7080">
              <w:rPr>
                <w:rFonts w:ascii="Times New Roman" w:hAnsi="Times New Roman" w:cs="Times New Roman"/>
                <w:b/>
              </w:rPr>
              <w:t>pH</w:t>
            </w:r>
          </w:p>
        </w:tc>
        <w:tc>
          <w:tcPr>
            <w:tcW w:w="992" w:type="dxa"/>
          </w:tcPr>
          <w:p w14:paraId="162A389A" w14:textId="77777777" w:rsidR="006472E3" w:rsidRPr="007C7080" w:rsidRDefault="006472E3" w:rsidP="006472E3">
            <w:pPr>
              <w:spacing w:after="160"/>
              <w:jc w:val="center"/>
              <w:rPr>
                <w:rFonts w:ascii="Times New Roman" w:hAnsi="Times New Roman" w:cs="Times New Roman"/>
                <w:b/>
              </w:rPr>
            </w:pPr>
            <w:r w:rsidRPr="007C7080">
              <w:rPr>
                <w:rFonts w:ascii="Times New Roman" w:hAnsi="Times New Roman" w:cs="Times New Roman"/>
                <w:b/>
              </w:rPr>
              <w:t>Temp. (˚C)</w:t>
            </w:r>
          </w:p>
        </w:tc>
        <w:tc>
          <w:tcPr>
            <w:tcW w:w="709" w:type="dxa"/>
          </w:tcPr>
          <w:p w14:paraId="6CCA2317" w14:textId="77777777" w:rsidR="006472E3" w:rsidRPr="007C7080" w:rsidRDefault="006472E3" w:rsidP="006472E3">
            <w:pPr>
              <w:spacing w:after="160"/>
              <w:jc w:val="center"/>
              <w:rPr>
                <w:rFonts w:ascii="Times New Roman" w:hAnsi="Times New Roman" w:cs="Times New Roman"/>
                <w:b/>
              </w:rPr>
            </w:pPr>
            <w:r w:rsidRPr="007C7080">
              <w:rPr>
                <w:rFonts w:ascii="Times New Roman" w:hAnsi="Times New Roman" w:cs="Times New Roman"/>
                <w:b/>
              </w:rPr>
              <w:t>TDS</w:t>
            </w:r>
          </w:p>
        </w:tc>
      </w:tr>
      <w:tr w:rsidR="006472E3" w:rsidRPr="007C7080" w14:paraId="60CD4F69" w14:textId="77777777" w:rsidTr="006472E3">
        <w:trPr>
          <w:jc w:val="center"/>
        </w:trPr>
        <w:tc>
          <w:tcPr>
            <w:tcW w:w="1101" w:type="dxa"/>
          </w:tcPr>
          <w:p w14:paraId="22C83964" w14:textId="58999DFD"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January</w:t>
            </w:r>
          </w:p>
        </w:tc>
        <w:tc>
          <w:tcPr>
            <w:tcW w:w="1275" w:type="dxa"/>
          </w:tcPr>
          <w:p w14:paraId="764E7283"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230</w:t>
            </w:r>
          </w:p>
        </w:tc>
        <w:tc>
          <w:tcPr>
            <w:tcW w:w="993" w:type="dxa"/>
          </w:tcPr>
          <w:p w14:paraId="3A8C0CD8"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25</w:t>
            </w:r>
          </w:p>
        </w:tc>
        <w:tc>
          <w:tcPr>
            <w:tcW w:w="992" w:type="dxa"/>
          </w:tcPr>
          <w:p w14:paraId="29D57AAF"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6.6</w:t>
            </w:r>
          </w:p>
        </w:tc>
        <w:tc>
          <w:tcPr>
            <w:tcW w:w="992" w:type="dxa"/>
          </w:tcPr>
          <w:p w14:paraId="7DD05899"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32.6</w:t>
            </w:r>
          </w:p>
        </w:tc>
        <w:tc>
          <w:tcPr>
            <w:tcW w:w="1276" w:type="dxa"/>
          </w:tcPr>
          <w:p w14:paraId="3CE3DB4B"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72</w:t>
            </w:r>
          </w:p>
        </w:tc>
        <w:tc>
          <w:tcPr>
            <w:tcW w:w="567" w:type="dxa"/>
          </w:tcPr>
          <w:p w14:paraId="0C60B3E0"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7.1</w:t>
            </w:r>
          </w:p>
        </w:tc>
        <w:tc>
          <w:tcPr>
            <w:tcW w:w="992" w:type="dxa"/>
          </w:tcPr>
          <w:p w14:paraId="74E153DD"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25</w:t>
            </w:r>
          </w:p>
        </w:tc>
        <w:tc>
          <w:tcPr>
            <w:tcW w:w="709" w:type="dxa"/>
          </w:tcPr>
          <w:p w14:paraId="035B4E09"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310</w:t>
            </w:r>
          </w:p>
        </w:tc>
      </w:tr>
      <w:tr w:rsidR="006472E3" w:rsidRPr="007C7080" w14:paraId="1FD9FE90" w14:textId="77777777" w:rsidTr="006472E3">
        <w:trPr>
          <w:jc w:val="center"/>
        </w:trPr>
        <w:tc>
          <w:tcPr>
            <w:tcW w:w="1101" w:type="dxa"/>
          </w:tcPr>
          <w:p w14:paraId="3F6C6C6D"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February</w:t>
            </w:r>
          </w:p>
        </w:tc>
        <w:tc>
          <w:tcPr>
            <w:tcW w:w="1275" w:type="dxa"/>
          </w:tcPr>
          <w:p w14:paraId="3D88600C"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240</w:t>
            </w:r>
          </w:p>
        </w:tc>
        <w:tc>
          <w:tcPr>
            <w:tcW w:w="993" w:type="dxa"/>
          </w:tcPr>
          <w:p w14:paraId="33D98D05"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10</w:t>
            </w:r>
          </w:p>
        </w:tc>
        <w:tc>
          <w:tcPr>
            <w:tcW w:w="992" w:type="dxa"/>
          </w:tcPr>
          <w:p w14:paraId="3C03B86E"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5.4</w:t>
            </w:r>
          </w:p>
        </w:tc>
        <w:tc>
          <w:tcPr>
            <w:tcW w:w="992" w:type="dxa"/>
          </w:tcPr>
          <w:p w14:paraId="75C735F7"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35.6</w:t>
            </w:r>
          </w:p>
        </w:tc>
        <w:tc>
          <w:tcPr>
            <w:tcW w:w="1276" w:type="dxa"/>
          </w:tcPr>
          <w:p w14:paraId="766E350C"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82</w:t>
            </w:r>
          </w:p>
        </w:tc>
        <w:tc>
          <w:tcPr>
            <w:tcW w:w="567" w:type="dxa"/>
          </w:tcPr>
          <w:p w14:paraId="7CF5F1FC"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7.0</w:t>
            </w:r>
          </w:p>
        </w:tc>
        <w:tc>
          <w:tcPr>
            <w:tcW w:w="992" w:type="dxa"/>
          </w:tcPr>
          <w:p w14:paraId="02514EA8"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25</w:t>
            </w:r>
          </w:p>
        </w:tc>
        <w:tc>
          <w:tcPr>
            <w:tcW w:w="709" w:type="dxa"/>
          </w:tcPr>
          <w:p w14:paraId="04432B1F"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270</w:t>
            </w:r>
          </w:p>
        </w:tc>
      </w:tr>
      <w:tr w:rsidR="006472E3" w:rsidRPr="007C7080" w14:paraId="27E65316" w14:textId="77777777" w:rsidTr="006472E3">
        <w:trPr>
          <w:jc w:val="center"/>
        </w:trPr>
        <w:tc>
          <w:tcPr>
            <w:tcW w:w="1101" w:type="dxa"/>
          </w:tcPr>
          <w:p w14:paraId="09078A91"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March</w:t>
            </w:r>
          </w:p>
        </w:tc>
        <w:tc>
          <w:tcPr>
            <w:tcW w:w="1275" w:type="dxa"/>
          </w:tcPr>
          <w:p w14:paraId="015B879D"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370</w:t>
            </w:r>
          </w:p>
        </w:tc>
        <w:tc>
          <w:tcPr>
            <w:tcW w:w="993" w:type="dxa"/>
          </w:tcPr>
          <w:p w14:paraId="2F6E4896"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15</w:t>
            </w:r>
          </w:p>
        </w:tc>
        <w:tc>
          <w:tcPr>
            <w:tcW w:w="992" w:type="dxa"/>
          </w:tcPr>
          <w:p w14:paraId="34E35EF6"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4.0</w:t>
            </w:r>
          </w:p>
        </w:tc>
        <w:tc>
          <w:tcPr>
            <w:tcW w:w="992" w:type="dxa"/>
          </w:tcPr>
          <w:p w14:paraId="11BED8C0"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33.4</w:t>
            </w:r>
          </w:p>
        </w:tc>
        <w:tc>
          <w:tcPr>
            <w:tcW w:w="1276" w:type="dxa"/>
          </w:tcPr>
          <w:p w14:paraId="618E039E"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96.4</w:t>
            </w:r>
          </w:p>
        </w:tc>
        <w:tc>
          <w:tcPr>
            <w:tcW w:w="567" w:type="dxa"/>
          </w:tcPr>
          <w:p w14:paraId="202DBFFF"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6.9</w:t>
            </w:r>
          </w:p>
        </w:tc>
        <w:tc>
          <w:tcPr>
            <w:tcW w:w="992" w:type="dxa"/>
          </w:tcPr>
          <w:p w14:paraId="162B519C"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26</w:t>
            </w:r>
          </w:p>
        </w:tc>
        <w:tc>
          <w:tcPr>
            <w:tcW w:w="709" w:type="dxa"/>
          </w:tcPr>
          <w:p w14:paraId="16E69B73"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282</w:t>
            </w:r>
          </w:p>
        </w:tc>
      </w:tr>
      <w:tr w:rsidR="006472E3" w:rsidRPr="007C7080" w14:paraId="7D31DAFF" w14:textId="77777777" w:rsidTr="006472E3">
        <w:trPr>
          <w:jc w:val="center"/>
        </w:trPr>
        <w:tc>
          <w:tcPr>
            <w:tcW w:w="1101" w:type="dxa"/>
          </w:tcPr>
          <w:p w14:paraId="4A0E3155"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April</w:t>
            </w:r>
          </w:p>
        </w:tc>
        <w:tc>
          <w:tcPr>
            <w:tcW w:w="1275" w:type="dxa"/>
          </w:tcPr>
          <w:p w14:paraId="1D876884"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385</w:t>
            </w:r>
          </w:p>
        </w:tc>
        <w:tc>
          <w:tcPr>
            <w:tcW w:w="993" w:type="dxa"/>
          </w:tcPr>
          <w:p w14:paraId="6EC1533C"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20</w:t>
            </w:r>
          </w:p>
        </w:tc>
        <w:tc>
          <w:tcPr>
            <w:tcW w:w="992" w:type="dxa"/>
          </w:tcPr>
          <w:p w14:paraId="09A32959"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3.5</w:t>
            </w:r>
          </w:p>
        </w:tc>
        <w:tc>
          <w:tcPr>
            <w:tcW w:w="992" w:type="dxa"/>
          </w:tcPr>
          <w:p w14:paraId="5375FB3F"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31.5</w:t>
            </w:r>
          </w:p>
        </w:tc>
        <w:tc>
          <w:tcPr>
            <w:tcW w:w="1276" w:type="dxa"/>
          </w:tcPr>
          <w:p w14:paraId="70347766"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98.2</w:t>
            </w:r>
          </w:p>
        </w:tc>
        <w:tc>
          <w:tcPr>
            <w:tcW w:w="567" w:type="dxa"/>
          </w:tcPr>
          <w:p w14:paraId="27D58A41"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7.3</w:t>
            </w:r>
          </w:p>
        </w:tc>
        <w:tc>
          <w:tcPr>
            <w:tcW w:w="992" w:type="dxa"/>
          </w:tcPr>
          <w:p w14:paraId="46259F61"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27</w:t>
            </w:r>
          </w:p>
        </w:tc>
        <w:tc>
          <w:tcPr>
            <w:tcW w:w="709" w:type="dxa"/>
          </w:tcPr>
          <w:p w14:paraId="2C6015D2" w14:textId="77777777" w:rsidR="006472E3" w:rsidRPr="007C7080" w:rsidRDefault="006472E3" w:rsidP="006472E3">
            <w:pPr>
              <w:spacing w:after="160"/>
              <w:jc w:val="center"/>
              <w:rPr>
                <w:rFonts w:ascii="Times New Roman" w:hAnsi="Times New Roman" w:cs="Times New Roman"/>
              </w:rPr>
            </w:pPr>
            <w:r w:rsidRPr="007C7080">
              <w:rPr>
                <w:rFonts w:ascii="Times New Roman" w:hAnsi="Times New Roman" w:cs="Times New Roman"/>
              </w:rPr>
              <w:t>265</w:t>
            </w:r>
          </w:p>
        </w:tc>
      </w:tr>
    </w:tbl>
    <w:p w14:paraId="7CFF4B9D" w14:textId="05D33C29" w:rsidR="006A6434" w:rsidRDefault="006472E3" w:rsidP="006472E3">
      <w:pPr>
        <w:tabs>
          <w:tab w:val="left" w:pos="675"/>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
    <w:p w14:paraId="186B83E1" w14:textId="78769451" w:rsidR="006472E3" w:rsidRPr="006472E3" w:rsidRDefault="006472E3" w:rsidP="006472E3">
      <w:pPr>
        <w:jc w:val="center"/>
        <w:rPr>
          <w:rFonts w:ascii="Times New Roman" w:hAnsi="Times New Roman" w:cs="Times New Roman"/>
          <w:b/>
          <w:bCs/>
          <w:sz w:val="20"/>
          <w:szCs w:val="20"/>
        </w:rPr>
      </w:pPr>
      <w:r w:rsidRPr="006472E3">
        <w:rPr>
          <w:rFonts w:ascii="Times New Roman" w:hAnsi="Times New Roman" w:cs="Times New Roman"/>
          <w:b/>
          <w:bCs/>
          <w:sz w:val="20"/>
          <w:szCs w:val="20"/>
        </w:rPr>
        <w:t xml:space="preserve">Graphs Showing </w:t>
      </w:r>
      <w:r w:rsidRPr="006472E3">
        <w:rPr>
          <w:rFonts w:ascii="Times New Roman" w:hAnsi="Times New Roman" w:cs="Times New Roman"/>
          <w:b/>
          <w:bCs/>
          <w:sz w:val="20"/>
          <w:szCs w:val="20"/>
        </w:rPr>
        <w:t>monthly</w:t>
      </w:r>
      <w:r w:rsidRPr="006472E3">
        <w:rPr>
          <w:rFonts w:ascii="Times New Roman" w:hAnsi="Times New Roman" w:cs="Times New Roman"/>
          <w:b/>
          <w:bCs/>
          <w:sz w:val="20"/>
          <w:szCs w:val="20"/>
        </w:rPr>
        <w:t xml:space="preserve"> variations in</w:t>
      </w:r>
      <w:r w:rsidRPr="006472E3">
        <w:rPr>
          <w:rFonts w:ascii="Times New Roman" w:hAnsi="Times New Roman" w:cs="Times New Roman"/>
          <w:b/>
          <w:bCs/>
          <w:sz w:val="20"/>
          <w:szCs w:val="20"/>
        </w:rPr>
        <w:t xml:space="preserve"> the physicochemical parameters of Mula &amp; Kurkundi River respectively</w:t>
      </w:r>
    </w:p>
    <w:p w14:paraId="6FAF0BE1" w14:textId="4B87C77D" w:rsidR="006472E3" w:rsidRDefault="006472E3" w:rsidP="0088370D">
      <w:pPr>
        <w:jc w:val="center"/>
        <w:rPr>
          <w:rFonts w:ascii="Times New Roman" w:hAnsi="Times New Roman" w:cs="Times New Roman"/>
          <w:sz w:val="24"/>
          <w:szCs w:val="24"/>
        </w:rPr>
      </w:pPr>
      <w:r>
        <w:rPr>
          <w:noProof/>
          <w:lang w:val="en-IN" w:eastAsia="en-IN"/>
        </w:rPr>
        <w:drawing>
          <wp:inline distT="0" distB="0" distL="0" distR="0" wp14:anchorId="06644108" wp14:editId="4F1F88B4">
            <wp:extent cx="2628900" cy="196215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88370D">
        <w:rPr>
          <w:rFonts w:ascii="Times New Roman" w:hAnsi="Times New Roman" w:cs="Times New Roman"/>
          <w:sz w:val="24"/>
          <w:szCs w:val="24"/>
        </w:rPr>
        <w:t xml:space="preserve">      </w:t>
      </w:r>
      <w:r>
        <w:rPr>
          <w:noProof/>
          <w:lang w:val="en-IN" w:eastAsia="en-IN"/>
        </w:rPr>
        <w:drawing>
          <wp:inline distT="0" distB="0" distL="0" distR="0" wp14:anchorId="07CC2F18" wp14:editId="3F376D0E">
            <wp:extent cx="2543175" cy="1962150"/>
            <wp:effectExtent l="0" t="0" r="9525"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4F9377" w14:textId="2755BC2F" w:rsidR="006472E3" w:rsidRDefault="006472E3" w:rsidP="0088370D">
      <w:pPr>
        <w:tabs>
          <w:tab w:val="left" w:pos="675"/>
        </w:tabs>
        <w:spacing w:before="54" w:after="0" w:line="276" w:lineRule="auto"/>
        <w:jc w:val="center"/>
        <w:rPr>
          <w:rFonts w:ascii="Times New Roman" w:hAnsi="Times New Roman" w:cs="Times New Roman"/>
          <w:b/>
          <w:sz w:val="20"/>
          <w:szCs w:val="20"/>
        </w:rPr>
      </w:pPr>
      <w:r w:rsidRPr="0088370D">
        <w:rPr>
          <w:rFonts w:ascii="Times New Roman" w:hAnsi="Times New Roman" w:cs="Times New Roman"/>
          <w:b/>
          <w:sz w:val="20"/>
          <w:szCs w:val="20"/>
        </w:rPr>
        <w:t xml:space="preserve">Fig.1 &amp; Fig.2: </w:t>
      </w:r>
      <w:r w:rsidR="0088370D">
        <w:rPr>
          <w:rFonts w:ascii="Times New Roman" w:hAnsi="Times New Roman" w:cs="Times New Roman"/>
          <w:b/>
          <w:sz w:val="20"/>
          <w:szCs w:val="20"/>
        </w:rPr>
        <w:t xml:space="preserve">Showing </w:t>
      </w:r>
      <w:r w:rsidRPr="0088370D">
        <w:rPr>
          <w:rFonts w:ascii="Times New Roman" w:hAnsi="Times New Roman" w:cs="Times New Roman"/>
          <w:b/>
          <w:sz w:val="20"/>
          <w:szCs w:val="20"/>
        </w:rPr>
        <w:t>Alkalinity and Acidity content from Mula and Kurkundi river respectively</w:t>
      </w:r>
    </w:p>
    <w:p w14:paraId="6DFFE397" w14:textId="77777777" w:rsidR="0088370D" w:rsidRPr="0088370D" w:rsidRDefault="0088370D" w:rsidP="0088370D">
      <w:pPr>
        <w:tabs>
          <w:tab w:val="left" w:pos="675"/>
        </w:tabs>
        <w:spacing w:before="54" w:after="0" w:line="276" w:lineRule="auto"/>
        <w:jc w:val="center"/>
        <w:rPr>
          <w:rFonts w:ascii="Times New Roman" w:hAnsi="Times New Roman" w:cs="Times New Roman"/>
          <w:b/>
          <w:sz w:val="20"/>
          <w:szCs w:val="20"/>
        </w:rPr>
      </w:pPr>
    </w:p>
    <w:p w14:paraId="25A696D8" w14:textId="6EBE9D62" w:rsidR="0088370D" w:rsidRDefault="0088370D" w:rsidP="0088370D">
      <w:pPr>
        <w:jc w:val="center"/>
        <w:rPr>
          <w:rFonts w:ascii="Times New Roman" w:hAnsi="Times New Roman" w:cs="Times New Roman"/>
          <w:sz w:val="24"/>
          <w:szCs w:val="24"/>
        </w:rPr>
      </w:pPr>
      <w:r>
        <w:rPr>
          <w:noProof/>
          <w:lang w:val="en-IN" w:eastAsia="en-IN"/>
        </w:rPr>
        <w:drawing>
          <wp:inline distT="0" distB="0" distL="0" distR="0" wp14:anchorId="266E513C" wp14:editId="712F4516">
            <wp:extent cx="2628900" cy="169545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Pr>
          <w:rFonts w:ascii="Times New Roman" w:hAnsi="Times New Roman" w:cs="Times New Roman"/>
          <w:sz w:val="24"/>
          <w:szCs w:val="24"/>
        </w:rPr>
        <w:t xml:space="preserve">       </w:t>
      </w:r>
      <w:r>
        <w:rPr>
          <w:noProof/>
          <w:lang w:val="en-IN" w:eastAsia="en-IN"/>
        </w:rPr>
        <w:drawing>
          <wp:inline distT="0" distB="0" distL="0" distR="0" wp14:anchorId="3D7A491D" wp14:editId="1753BB93">
            <wp:extent cx="2533650" cy="16764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F5B005" w14:textId="1F211E1C" w:rsidR="0088370D" w:rsidRPr="0088370D" w:rsidRDefault="0088370D" w:rsidP="0088370D">
      <w:pPr>
        <w:jc w:val="center"/>
        <w:rPr>
          <w:rFonts w:ascii="Times New Roman" w:hAnsi="Times New Roman" w:cs="Times New Roman"/>
          <w:b/>
          <w:sz w:val="20"/>
          <w:szCs w:val="20"/>
        </w:rPr>
      </w:pPr>
      <w:r w:rsidRPr="0088370D">
        <w:rPr>
          <w:rFonts w:ascii="Times New Roman" w:hAnsi="Times New Roman" w:cs="Times New Roman"/>
          <w:b/>
          <w:sz w:val="20"/>
          <w:szCs w:val="20"/>
        </w:rPr>
        <w:t xml:space="preserve">Fig.3 &amp; Fig.4: </w:t>
      </w:r>
      <w:r>
        <w:rPr>
          <w:rFonts w:ascii="Times New Roman" w:hAnsi="Times New Roman" w:cs="Times New Roman"/>
          <w:b/>
          <w:sz w:val="20"/>
          <w:szCs w:val="20"/>
        </w:rPr>
        <w:t xml:space="preserve">Showing </w:t>
      </w:r>
      <w:r w:rsidRPr="0088370D">
        <w:rPr>
          <w:rFonts w:ascii="Times New Roman" w:hAnsi="Times New Roman" w:cs="Times New Roman"/>
          <w:b/>
          <w:sz w:val="20"/>
          <w:szCs w:val="20"/>
        </w:rPr>
        <w:t>Dissolved Oxygen and CO</w:t>
      </w:r>
      <w:r w:rsidRPr="0088370D">
        <w:rPr>
          <w:rFonts w:ascii="Times New Roman" w:hAnsi="Times New Roman" w:cs="Times New Roman"/>
          <w:b/>
          <w:sz w:val="20"/>
          <w:szCs w:val="20"/>
          <w:vertAlign w:val="subscript"/>
        </w:rPr>
        <w:t>2</w:t>
      </w:r>
      <w:r w:rsidRPr="0088370D">
        <w:rPr>
          <w:rFonts w:ascii="Times New Roman" w:hAnsi="Times New Roman" w:cs="Times New Roman"/>
          <w:b/>
          <w:sz w:val="20"/>
          <w:szCs w:val="20"/>
        </w:rPr>
        <w:t xml:space="preserve"> content from Mula and Kurkundi river respectively</w:t>
      </w:r>
    </w:p>
    <w:p w14:paraId="275467EB" w14:textId="77777777" w:rsidR="0088370D" w:rsidRDefault="0088370D" w:rsidP="0088370D">
      <w:pPr>
        <w:tabs>
          <w:tab w:val="left" w:pos="675"/>
        </w:tabs>
        <w:spacing w:before="54" w:after="0" w:line="276" w:lineRule="auto"/>
        <w:jc w:val="center"/>
        <w:rPr>
          <w:rFonts w:ascii="Times New Roman" w:hAnsi="Times New Roman" w:cs="Times New Roman"/>
          <w:color w:val="000000" w:themeColor="text1"/>
          <w:sz w:val="20"/>
          <w:szCs w:val="20"/>
        </w:rPr>
      </w:pPr>
    </w:p>
    <w:p w14:paraId="0CCB0867" w14:textId="77777777" w:rsidR="0088370D" w:rsidRDefault="0088370D" w:rsidP="0088370D">
      <w:pPr>
        <w:tabs>
          <w:tab w:val="left" w:pos="675"/>
        </w:tabs>
        <w:spacing w:before="54" w:after="0" w:line="276" w:lineRule="auto"/>
        <w:jc w:val="center"/>
        <w:rPr>
          <w:rFonts w:ascii="Times New Roman" w:hAnsi="Times New Roman" w:cs="Times New Roman"/>
          <w:color w:val="000000" w:themeColor="text1"/>
          <w:sz w:val="20"/>
          <w:szCs w:val="20"/>
        </w:rPr>
      </w:pPr>
    </w:p>
    <w:p w14:paraId="52C8302D" w14:textId="6B471248" w:rsidR="0088370D" w:rsidRDefault="0088370D" w:rsidP="00C0727D">
      <w:pPr>
        <w:tabs>
          <w:tab w:val="left" w:pos="2475"/>
        </w:tabs>
        <w:rPr>
          <w:rFonts w:ascii="Times New Roman" w:hAnsi="Times New Roman" w:cs="Times New Roman"/>
          <w:sz w:val="24"/>
          <w:szCs w:val="24"/>
        </w:rPr>
      </w:pPr>
    </w:p>
    <w:p w14:paraId="64ED0EA1" w14:textId="77C1025F" w:rsidR="0088370D" w:rsidRDefault="0088370D" w:rsidP="0088370D">
      <w:pPr>
        <w:jc w:val="center"/>
        <w:rPr>
          <w:rFonts w:ascii="Times New Roman" w:hAnsi="Times New Roman" w:cs="Times New Roman"/>
          <w:sz w:val="24"/>
          <w:szCs w:val="24"/>
        </w:rPr>
      </w:pPr>
      <w:r>
        <w:rPr>
          <w:noProof/>
          <w:lang w:val="en-IN" w:eastAsia="en-IN"/>
        </w:rPr>
        <w:drawing>
          <wp:inline distT="0" distB="0" distL="0" distR="0" wp14:anchorId="3C2E877D" wp14:editId="6010AD49">
            <wp:extent cx="2628900" cy="18288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Pr>
          <w:rFonts w:ascii="Times New Roman" w:hAnsi="Times New Roman" w:cs="Times New Roman"/>
          <w:sz w:val="24"/>
          <w:szCs w:val="24"/>
        </w:rPr>
        <w:t xml:space="preserve">      </w:t>
      </w:r>
      <w:r>
        <w:rPr>
          <w:noProof/>
          <w:lang w:val="en-IN" w:eastAsia="en-IN"/>
        </w:rPr>
        <w:drawing>
          <wp:inline distT="0" distB="0" distL="0" distR="0" wp14:anchorId="7AD4B26A" wp14:editId="511BC9D0">
            <wp:extent cx="2543175" cy="1838325"/>
            <wp:effectExtent l="0" t="0" r="9525"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571FFC" w14:textId="548CD324" w:rsidR="0088370D" w:rsidRDefault="0088370D" w:rsidP="0088370D">
      <w:pPr>
        <w:jc w:val="center"/>
        <w:rPr>
          <w:rFonts w:ascii="Times New Roman" w:hAnsi="Times New Roman" w:cs="Times New Roman"/>
          <w:b/>
          <w:sz w:val="20"/>
          <w:szCs w:val="20"/>
        </w:rPr>
      </w:pPr>
      <w:r w:rsidRPr="0088370D">
        <w:rPr>
          <w:rFonts w:ascii="Times New Roman" w:hAnsi="Times New Roman" w:cs="Times New Roman"/>
          <w:b/>
          <w:sz w:val="20"/>
          <w:szCs w:val="20"/>
        </w:rPr>
        <w:t xml:space="preserve">Fig.5 &amp; Fig.6: </w:t>
      </w:r>
      <w:r>
        <w:rPr>
          <w:rFonts w:ascii="Times New Roman" w:hAnsi="Times New Roman" w:cs="Times New Roman"/>
          <w:b/>
          <w:sz w:val="20"/>
          <w:szCs w:val="20"/>
        </w:rPr>
        <w:t xml:space="preserve">Showing </w:t>
      </w:r>
      <w:r w:rsidRPr="0088370D">
        <w:rPr>
          <w:rFonts w:ascii="Times New Roman" w:hAnsi="Times New Roman" w:cs="Times New Roman"/>
          <w:b/>
          <w:sz w:val="20"/>
          <w:szCs w:val="20"/>
        </w:rPr>
        <w:t>Hardness and pH content from Mula and Kurkundi river respectively</w:t>
      </w:r>
    </w:p>
    <w:p w14:paraId="341BF39A" w14:textId="77777777" w:rsidR="0088370D" w:rsidRPr="0088370D" w:rsidRDefault="0088370D" w:rsidP="0088370D">
      <w:pPr>
        <w:jc w:val="center"/>
        <w:rPr>
          <w:rFonts w:ascii="Times New Roman" w:hAnsi="Times New Roman" w:cs="Times New Roman"/>
          <w:b/>
          <w:sz w:val="20"/>
          <w:szCs w:val="20"/>
        </w:rPr>
      </w:pPr>
    </w:p>
    <w:p w14:paraId="2A72FD29" w14:textId="184A5C3B" w:rsidR="0088370D" w:rsidRDefault="0088370D" w:rsidP="0088370D">
      <w:pPr>
        <w:ind w:right="-176"/>
        <w:jc w:val="center"/>
        <w:rPr>
          <w:rFonts w:ascii="Times New Roman" w:hAnsi="Times New Roman" w:cs="Times New Roman"/>
          <w:sz w:val="24"/>
          <w:szCs w:val="24"/>
        </w:rPr>
      </w:pPr>
      <w:r>
        <w:rPr>
          <w:noProof/>
          <w:lang w:val="en-IN" w:eastAsia="en-IN"/>
        </w:rPr>
        <w:drawing>
          <wp:inline distT="0" distB="0" distL="0" distR="0" wp14:anchorId="0650E036" wp14:editId="67B62506">
            <wp:extent cx="2609850" cy="1895475"/>
            <wp:effectExtent l="0" t="0" r="1905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Pr>
          <w:rFonts w:ascii="Times New Roman" w:hAnsi="Times New Roman" w:cs="Times New Roman"/>
          <w:sz w:val="24"/>
          <w:szCs w:val="24"/>
        </w:rPr>
        <w:t xml:space="preserve">      </w:t>
      </w:r>
      <w:r>
        <w:rPr>
          <w:noProof/>
          <w:lang w:val="en-IN" w:eastAsia="en-IN"/>
        </w:rPr>
        <w:drawing>
          <wp:inline distT="0" distB="0" distL="0" distR="0" wp14:anchorId="51B733DD" wp14:editId="7C4D9992">
            <wp:extent cx="2638425" cy="1885950"/>
            <wp:effectExtent l="0" t="0" r="9525"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8C21082" w14:textId="398CE40B" w:rsidR="0088370D" w:rsidRPr="0088370D" w:rsidRDefault="0088370D" w:rsidP="0088370D">
      <w:pPr>
        <w:tabs>
          <w:tab w:val="left" w:pos="675"/>
        </w:tabs>
        <w:spacing w:before="54" w:after="0" w:line="276" w:lineRule="auto"/>
        <w:jc w:val="center"/>
        <w:rPr>
          <w:rFonts w:ascii="Times New Roman" w:hAnsi="Times New Roman" w:cs="Times New Roman"/>
          <w:b/>
          <w:color w:val="000000" w:themeColor="text1"/>
          <w:sz w:val="20"/>
          <w:szCs w:val="20"/>
        </w:rPr>
      </w:pPr>
      <w:r w:rsidRPr="0088370D">
        <w:rPr>
          <w:rFonts w:ascii="Times New Roman" w:hAnsi="Times New Roman" w:cs="Times New Roman"/>
          <w:b/>
          <w:sz w:val="20"/>
          <w:szCs w:val="20"/>
        </w:rPr>
        <w:t xml:space="preserve">Fig.7 &amp; Fig.8: </w:t>
      </w:r>
      <w:r>
        <w:rPr>
          <w:rFonts w:ascii="Times New Roman" w:hAnsi="Times New Roman" w:cs="Times New Roman"/>
          <w:b/>
          <w:sz w:val="20"/>
          <w:szCs w:val="20"/>
        </w:rPr>
        <w:t xml:space="preserve">Showing </w:t>
      </w:r>
      <w:r w:rsidRPr="0088370D">
        <w:rPr>
          <w:rFonts w:ascii="Times New Roman" w:hAnsi="Times New Roman" w:cs="Times New Roman"/>
          <w:b/>
          <w:sz w:val="20"/>
          <w:szCs w:val="20"/>
        </w:rPr>
        <w:t>Temperature and TDS content from Mula and Kurkundi river respectively</w:t>
      </w:r>
    </w:p>
    <w:p w14:paraId="06A8111C" w14:textId="77777777" w:rsidR="00C0727D" w:rsidRDefault="00C0727D" w:rsidP="00C0727D">
      <w:pPr>
        <w:spacing w:line="276" w:lineRule="auto"/>
        <w:jc w:val="both"/>
        <w:rPr>
          <w:rFonts w:ascii="Times New Roman" w:hAnsi="Times New Roman" w:cs="Times New Roman"/>
          <w:sz w:val="20"/>
          <w:szCs w:val="20"/>
        </w:rPr>
      </w:pPr>
    </w:p>
    <w:p w14:paraId="6EA1EEB8" w14:textId="77777777" w:rsidR="00C0727D" w:rsidRPr="005C35A2" w:rsidRDefault="00C0727D" w:rsidP="00C0727D">
      <w:pPr>
        <w:spacing w:line="276" w:lineRule="auto"/>
        <w:jc w:val="both"/>
        <w:rPr>
          <w:rFonts w:ascii="Times New Roman" w:hAnsi="Times New Roman" w:cs="Times New Roman"/>
          <w:sz w:val="20"/>
          <w:szCs w:val="20"/>
        </w:rPr>
      </w:pPr>
      <w:r w:rsidRPr="005C35A2">
        <w:rPr>
          <w:rFonts w:ascii="Times New Roman" w:hAnsi="Times New Roman" w:cs="Times New Roman"/>
          <w:sz w:val="20"/>
          <w:szCs w:val="20"/>
        </w:rPr>
        <w:t>In the water of the Mula River, alkalinity was measured in January at 270 mg/L, February at 350 mg/L, March at 360 mg/L, and April at 410 mg/L; acidity in January at 20 mg/L, February at 15 mg/L, March at 20 mg/L, and April at 20 mg/L; dissolved oxygen in January at 6.0 mg/L, February at 5.8 mg/L, March at 4.6 mg/L, and April at 4.2 mg/L; carbon-di-Oxide in January at 31.9 mg/L, February at 34.8 mg/L, March at 38.2 mg/L, and April at 35.0 mg/L; hardness was 97.4 mg/L in January, 99.5 mg/L in February, March at 95.6 mg/L, and April at 90.4 mg/L; and temperature was 23 ˚C in January, 25 ˚C in February, 27 ˚C in March, and 27 ˚C in April. pH was 7.2 in January, 7.4 in February, 6.8 in March, and 6.4 in April. TDS levels were 290 in January, 304 in February, 284 in March, and 300 in April as shown in Fig.1-8.</w:t>
      </w:r>
    </w:p>
    <w:p w14:paraId="554FFD0E" w14:textId="77777777" w:rsidR="00C0727D" w:rsidRPr="005C35A2" w:rsidRDefault="00C0727D" w:rsidP="00C0727D">
      <w:pPr>
        <w:spacing w:line="276" w:lineRule="auto"/>
        <w:jc w:val="both"/>
        <w:rPr>
          <w:rFonts w:ascii="Times New Roman" w:hAnsi="Times New Roman" w:cs="Times New Roman"/>
          <w:sz w:val="20"/>
          <w:szCs w:val="20"/>
        </w:rPr>
      </w:pPr>
      <w:r w:rsidRPr="005C35A2">
        <w:rPr>
          <w:rFonts w:ascii="Times New Roman" w:hAnsi="Times New Roman" w:cs="Times New Roman"/>
          <w:sz w:val="20"/>
          <w:szCs w:val="20"/>
        </w:rPr>
        <w:t xml:space="preserve">   The levels of alkalinity in the Kurkundi River water were 230 mg/L in January, 240 mg/L in February, 370 mg/L in March, and 385 mg/L in April. January's acidity level was 25 mg/L. 10 mg/L in February, 15 mg/L in March, and 20 mg/L in April. January had 6.6 mg/L of dissolved oxygen, February had 5.4 mg/L, March had 4.0 mg/L, and April had 3.5 mg/L. January had 32.6 mg/L of carbon dioxide, February had 35.6 mg/L, March had 33.4 mg/L, and April had 31.5 mg/L. The temperature was determined to be 25 °C in January, 25 °C in February, 26 °C in March, and 27.0 °C in April. The hardness values were 72 mg/L in January, 82 mg/L in February, 96.4 mg/L in March, and 98.2 mg/L in April. pH was 7.1 in January, 7.0 in February, 6.9 in March, and 7.3 in April. TDS levels were 310 in January, 270 in February, 282 in March, and 265 in April as shown in Fig.1-8.</w:t>
      </w:r>
    </w:p>
    <w:p w14:paraId="130F3A85" w14:textId="1791B33F" w:rsidR="00C0727D" w:rsidRPr="00C0727D" w:rsidRDefault="00C0727D" w:rsidP="00C0727D">
      <w:pPr>
        <w:spacing w:line="276" w:lineRule="auto"/>
        <w:jc w:val="both"/>
        <w:rPr>
          <w:rFonts w:ascii="Times New Roman" w:hAnsi="Times New Roman" w:cs="Times New Roman"/>
          <w:b/>
          <w:bCs/>
          <w:sz w:val="20"/>
          <w:szCs w:val="20"/>
        </w:rPr>
      </w:pPr>
      <w:r w:rsidRPr="005C35A2">
        <w:rPr>
          <w:rFonts w:ascii="Times New Roman" w:hAnsi="Times New Roman" w:cs="Times New Roman"/>
          <w:sz w:val="20"/>
          <w:szCs w:val="20"/>
        </w:rPr>
        <w:t xml:space="preserve"> Gupta et al., (2017) observed that fall in quality of water in monsoon season was due to proper sanitation ,turbulent flow, soil erosion and human activities while studying quality of river water of Narmada river and effect of physicochemical and biological parameters on it [10]. Goyal and Shrivastava (2020) analyzed the Kharun river water in Raipur district in Chhattisgarh, India and found that the water of the river cannot be used without any treatment process [11]. Vijayan et al 2018 studied the physicochemical parameters of water samples of Cauvery river in Thanjavur district in Tamilnadu and concluded that there is monthly variation in them according to ecological influence [12]. Vyas et al 2018 have studied the water of Sonra</w:t>
      </w:r>
      <w:r w:rsidRPr="005C35A2">
        <w:rPr>
          <w:rFonts w:ascii="Times New Roman" w:hAnsi="Times New Roman" w:cs="Times New Roman"/>
          <w:bCs/>
          <w:sz w:val="20"/>
          <w:szCs w:val="20"/>
        </w:rPr>
        <w:t>k</w:t>
      </w:r>
      <w:r w:rsidRPr="005C35A2">
        <w:rPr>
          <w:rFonts w:ascii="Times New Roman" w:hAnsi="Times New Roman" w:cs="Times New Roman"/>
          <w:sz w:val="20"/>
          <w:szCs w:val="20"/>
        </w:rPr>
        <w:t>h river in Junagarh city in Gujrat for its physicochemical study [13].</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07A18D2" w14:textId="77777777" w:rsidR="00C0727D" w:rsidRDefault="00C0727D" w:rsidP="001E51F3">
      <w:pPr>
        <w:spacing w:before="54" w:after="0" w:line="276" w:lineRule="auto"/>
        <w:rPr>
          <w:rFonts w:ascii="Times New Roman" w:hAnsi="Times New Roman" w:cs="Times New Roman"/>
          <w:sz w:val="20"/>
          <w:szCs w:val="20"/>
        </w:rPr>
      </w:pPr>
      <w:r w:rsidRPr="005C35A2">
        <w:rPr>
          <w:rFonts w:ascii="Times New Roman" w:hAnsi="Times New Roman" w:cs="Times New Roman"/>
          <w:sz w:val="20"/>
          <w:szCs w:val="20"/>
        </w:rPr>
        <w:t xml:space="preserve">January month is representative of winter season March and April are representing summer season. Now a day it is observed that seasonal effect </w:t>
      </w:r>
      <w:r w:rsidRPr="005C35A2">
        <w:rPr>
          <w:rFonts w:ascii="Times New Roman" w:hAnsi="Times New Roman" w:cs="Times New Roman"/>
          <w:bCs/>
          <w:sz w:val="20"/>
          <w:szCs w:val="20"/>
        </w:rPr>
        <w:t>is</w:t>
      </w:r>
      <w:r w:rsidRPr="005C35A2">
        <w:rPr>
          <w:rFonts w:ascii="Times New Roman" w:hAnsi="Times New Roman" w:cs="Times New Roman"/>
          <w:b/>
          <w:bCs/>
          <w:sz w:val="20"/>
          <w:szCs w:val="20"/>
        </w:rPr>
        <w:t xml:space="preserve"> </w:t>
      </w:r>
      <w:r w:rsidRPr="005C35A2">
        <w:rPr>
          <w:rFonts w:ascii="Times New Roman" w:hAnsi="Times New Roman" w:cs="Times New Roman"/>
          <w:sz w:val="20"/>
          <w:szCs w:val="20"/>
        </w:rPr>
        <w:t>not much effective due to hybrid seasons. In Summer or winter we are experiencing rains.</w:t>
      </w:r>
    </w:p>
    <w:p w14:paraId="1EB503A5" w14:textId="05FF46CA" w:rsidR="00DA52F4" w:rsidRPr="001E51F3" w:rsidRDefault="00C0727D" w:rsidP="001E51F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ACKNOWLEDGEMENTS</w:t>
      </w:r>
    </w:p>
    <w:p w14:paraId="003F10A2" w14:textId="75D3D4BE" w:rsidR="00DA52F4" w:rsidRPr="0056357A" w:rsidRDefault="0056357A" w:rsidP="0056357A">
      <w:pPr>
        <w:spacing w:line="276" w:lineRule="auto"/>
        <w:jc w:val="both"/>
        <w:rPr>
          <w:rFonts w:ascii="Times New Roman" w:hAnsi="Times New Roman" w:cs="Times New Roman"/>
          <w:sz w:val="20"/>
          <w:szCs w:val="20"/>
        </w:rPr>
      </w:pPr>
      <w:r w:rsidRPr="005C35A2">
        <w:rPr>
          <w:rFonts w:ascii="Times New Roman" w:hAnsi="Times New Roman" w:cs="Times New Roman"/>
          <w:sz w:val="20"/>
          <w:szCs w:val="20"/>
        </w:rPr>
        <w:t>The authors are thankful to Honorable Principal of our college Prof. Dr. Arun H. Ga</w:t>
      </w:r>
      <w:r>
        <w:rPr>
          <w:rFonts w:ascii="Times New Roman" w:hAnsi="Times New Roman" w:cs="Times New Roman"/>
          <w:sz w:val="20"/>
          <w:szCs w:val="20"/>
        </w:rPr>
        <w:t>ikwad and respected Head, D</w:t>
      </w:r>
      <w:r w:rsidRPr="005C35A2">
        <w:rPr>
          <w:rFonts w:ascii="Times New Roman" w:hAnsi="Times New Roman" w:cs="Times New Roman"/>
          <w:sz w:val="20"/>
          <w:szCs w:val="20"/>
        </w:rPr>
        <w:t xml:space="preserve">epartment of Zoology Prof. Dr. Vandana V. Bhavare for giving necessary permission and facilities to carry out the </w:t>
      </w:r>
      <w:r>
        <w:rPr>
          <w:rFonts w:ascii="Times New Roman" w:hAnsi="Times New Roman" w:cs="Times New Roman"/>
          <w:sz w:val="20"/>
          <w:szCs w:val="20"/>
        </w:rPr>
        <w:t xml:space="preserve">research </w:t>
      </w:r>
      <w:bookmarkStart w:id="0" w:name="_GoBack"/>
      <w:bookmarkEnd w:id="0"/>
      <w:r w:rsidRPr="005C35A2">
        <w:rPr>
          <w:rFonts w:ascii="Times New Roman" w:hAnsi="Times New Roman" w:cs="Times New Roman"/>
          <w:sz w:val="20"/>
          <w:szCs w:val="20"/>
        </w:rPr>
        <w:t>work.</w:t>
      </w:r>
    </w:p>
    <w:p w14:paraId="236F7BDC" w14:textId="62514119" w:rsidR="0056357A" w:rsidRPr="0056357A" w:rsidRDefault="00DA52F4" w:rsidP="0056357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84C02A4" w14:textId="77777777" w:rsidR="0056357A" w:rsidRPr="00BF5948" w:rsidRDefault="0056357A" w:rsidP="0056357A">
      <w:pPr>
        <w:pStyle w:val="ListParagraph"/>
        <w:numPr>
          <w:ilvl w:val="0"/>
          <w:numId w:val="22"/>
        </w:numPr>
        <w:spacing w:after="0" w:line="276" w:lineRule="auto"/>
        <w:jc w:val="both"/>
        <w:rPr>
          <w:rFonts w:ascii="Times New Roman" w:hAnsi="Times New Roman" w:cs="Times New Roman"/>
          <w:sz w:val="20"/>
          <w:szCs w:val="20"/>
        </w:rPr>
      </w:pPr>
      <w:r w:rsidRPr="00BF5948">
        <w:rPr>
          <w:rFonts w:ascii="Times New Roman" w:hAnsi="Times New Roman" w:cs="Times New Roman"/>
          <w:sz w:val="20"/>
          <w:szCs w:val="20"/>
        </w:rPr>
        <w:t>Magadum A, Patel T, Gavali D. Assessment of physicochemical parameters and water quality of Vishvamitri River, Gujarat, India. International Journal of Environment, Agriculture and Biotechnology. 2017 Jul-Aug;2(4):1505–1510.</w:t>
      </w:r>
    </w:p>
    <w:p w14:paraId="070E186F" w14:textId="77777777" w:rsidR="0056357A" w:rsidRPr="00BF5948" w:rsidRDefault="0056357A" w:rsidP="0056357A">
      <w:pPr>
        <w:pStyle w:val="ListParagraph"/>
        <w:spacing w:after="0" w:line="276" w:lineRule="auto"/>
        <w:jc w:val="both"/>
        <w:rPr>
          <w:rFonts w:ascii="Times New Roman" w:hAnsi="Times New Roman" w:cs="Times New Roman"/>
          <w:sz w:val="20"/>
          <w:szCs w:val="20"/>
        </w:rPr>
      </w:pPr>
    </w:p>
    <w:p w14:paraId="42CC1F69" w14:textId="77777777" w:rsidR="0056357A" w:rsidRPr="00BF5948" w:rsidRDefault="0056357A" w:rsidP="0056357A">
      <w:pPr>
        <w:pStyle w:val="ListParagraph"/>
        <w:numPr>
          <w:ilvl w:val="0"/>
          <w:numId w:val="22"/>
        </w:numPr>
        <w:spacing w:after="0" w:line="276" w:lineRule="auto"/>
        <w:jc w:val="both"/>
        <w:rPr>
          <w:rFonts w:ascii="Times New Roman" w:hAnsi="Times New Roman" w:cs="Times New Roman"/>
          <w:sz w:val="20"/>
          <w:szCs w:val="20"/>
        </w:rPr>
      </w:pPr>
      <w:r w:rsidRPr="00BF5948">
        <w:rPr>
          <w:rFonts w:ascii="Times New Roman" w:hAnsi="Times New Roman" w:cs="Times New Roman"/>
          <w:sz w:val="20"/>
          <w:szCs w:val="20"/>
        </w:rPr>
        <w:t>Ashtanakar PD, Ambatkar MS, Karmore S. Evaluation of physicochemical parameters of Verna River water of Wardha District (M.S.). International Journal of Research and Analytical Reviews (IJRAR). 2023 Mar;10(1):357–364.</w:t>
      </w:r>
    </w:p>
    <w:p w14:paraId="2BDDC4C1" w14:textId="77777777" w:rsidR="0056357A" w:rsidRPr="00BF5948" w:rsidRDefault="0056357A" w:rsidP="0056357A">
      <w:pPr>
        <w:spacing w:after="0" w:line="276" w:lineRule="auto"/>
        <w:jc w:val="both"/>
        <w:rPr>
          <w:rFonts w:ascii="Times New Roman" w:hAnsi="Times New Roman" w:cs="Times New Roman"/>
          <w:sz w:val="20"/>
          <w:szCs w:val="20"/>
        </w:rPr>
      </w:pPr>
    </w:p>
    <w:p w14:paraId="75D1F022" w14:textId="77777777" w:rsidR="0056357A" w:rsidRPr="00BF5948" w:rsidRDefault="0056357A" w:rsidP="0056357A">
      <w:pPr>
        <w:pStyle w:val="ListParagraph"/>
        <w:numPr>
          <w:ilvl w:val="0"/>
          <w:numId w:val="22"/>
        </w:numPr>
        <w:spacing w:after="0" w:line="276" w:lineRule="auto"/>
        <w:jc w:val="both"/>
        <w:rPr>
          <w:rFonts w:ascii="Times New Roman" w:hAnsi="Times New Roman" w:cs="Times New Roman"/>
          <w:sz w:val="20"/>
          <w:szCs w:val="20"/>
        </w:rPr>
      </w:pPr>
      <w:r w:rsidRPr="00BF5948">
        <w:rPr>
          <w:rFonts w:ascii="Times New Roman" w:hAnsi="Times New Roman" w:cs="Times New Roman"/>
          <w:sz w:val="20"/>
          <w:szCs w:val="20"/>
        </w:rPr>
        <w:t>Chaudhari KN. Study of physicochemical parameters of Godavari River, Brahmagiri, Nasik, Maharashtra. International Journal of Research in Biosciences, Agriculture and Technology (IJRBAT). 2020 Feb;(Special Issue 15):11–13.</w:t>
      </w:r>
    </w:p>
    <w:p w14:paraId="11F64842" w14:textId="77777777" w:rsidR="0056357A" w:rsidRPr="00BF5948" w:rsidRDefault="0056357A" w:rsidP="0056357A">
      <w:pPr>
        <w:spacing w:after="0" w:line="276" w:lineRule="auto"/>
        <w:jc w:val="both"/>
        <w:rPr>
          <w:rFonts w:ascii="Times New Roman" w:hAnsi="Times New Roman" w:cs="Times New Roman"/>
          <w:sz w:val="20"/>
          <w:szCs w:val="20"/>
        </w:rPr>
      </w:pPr>
    </w:p>
    <w:p w14:paraId="303EC1DA" w14:textId="77777777" w:rsidR="0056357A" w:rsidRPr="00BF5948" w:rsidRDefault="0056357A" w:rsidP="0056357A">
      <w:pPr>
        <w:pStyle w:val="ListParagraph"/>
        <w:numPr>
          <w:ilvl w:val="0"/>
          <w:numId w:val="22"/>
        </w:numPr>
        <w:spacing w:after="0" w:line="276" w:lineRule="auto"/>
        <w:jc w:val="both"/>
        <w:rPr>
          <w:rFonts w:ascii="Times New Roman" w:hAnsi="Times New Roman" w:cs="Times New Roman"/>
          <w:sz w:val="20"/>
          <w:szCs w:val="20"/>
        </w:rPr>
      </w:pPr>
      <w:r w:rsidRPr="00BF5948">
        <w:rPr>
          <w:rFonts w:ascii="Times New Roman" w:hAnsi="Times New Roman" w:cs="Times New Roman"/>
          <w:sz w:val="20"/>
          <w:szCs w:val="20"/>
        </w:rPr>
        <w:t>Dwivedi AP. Study of physicochemical characteristics of water in River Mandakini. International Journal of Advanced Research in Chemical Science. 2017;4(9):1–6.</w:t>
      </w:r>
    </w:p>
    <w:p w14:paraId="729F92AC" w14:textId="77777777" w:rsidR="0056357A" w:rsidRPr="00BF5948" w:rsidRDefault="0056357A" w:rsidP="0056357A">
      <w:pPr>
        <w:spacing w:after="0" w:line="276" w:lineRule="auto"/>
        <w:jc w:val="both"/>
        <w:rPr>
          <w:rFonts w:ascii="Times New Roman" w:hAnsi="Times New Roman" w:cs="Times New Roman"/>
          <w:sz w:val="20"/>
          <w:szCs w:val="20"/>
        </w:rPr>
      </w:pPr>
    </w:p>
    <w:p w14:paraId="6ECABF73" w14:textId="77777777" w:rsidR="0056357A" w:rsidRPr="00BF5948" w:rsidRDefault="0056357A" w:rsidP="0056357A">
      <w:pPr>
        <w:pStyle w:val="ListParagraph"/>
        <w:numPr>
          <w:ilvl w:val="0"/>
          <w:numId w:val="22"/>
        </w:numPr>
        <w:spacing w:after="0" w:line="276" w:lineRule="auto"/>
        <w:jc w:val="both"/>
        <w:rPr>
          <w:rFonts w:ascii="Times New Roman" w:hAnsi="Times New Roman" w:cs="Times New Roman"/>
          <w:sz w:val="20"/>
          <w:szCs w:val="20"/>
        </w:rPr>
      </w:pPr>
      <w:r w:rsidRPr="00BF5948">
        <w:rPr>
          <w:rFonts w:ascii="Times New Roman" w:hAnsi="Times New Roman" w:cs="Times New Roman"/>
          <w:sz w:val="20"/>
          <w:szCs w:val="20"/>
        </w:rPr>
        <w:t>Salve JA, Raut RR, Kurhe AR. Study of some physicochemical parameters of Godavari River water from Kamalpur, Taluka Shrirampur, District Ahmednagar. National Conference on Innovations in Science and Technology for Sustainable Future, Research Journey. 2022;Special Issue 302:216–219.</w:t>
      </w:r>
    </w:p>
    <w:p w14:paraId="731F9F6D" w14:textId="77777777" w:rsidR="0056357A" w:rsidRPr="00BF5948" w:rsidRDefault="0056357A" w:rsidP="0056357A">
      <w:pPr>
        <w:pStyle w:val="ListParagraph"/>
        <w:spacing w:after="0" w:line="276" w:lineRule="auto"/>
        <w:rPr>
          <w:rFonts w:ascii="Times New Roman" w:hAnsi="Times New Roman" w:cs="Times New Roman"/>
          <w:sz w:val="20"/>
          <w:szCs w:val="20"/>
        </w:rPr>
      </w:pPr>
    </w:p>
    <w:p w14:paraId="2BF60A3D" w14:textId="2DE1F111" w:rsidR="0056357A" w:rsidRPr="0056357A" w:rsidRDefault="0056357A" w:rsidP="0056357A">
      <w:pPr>
        <w:pStyle w:val="ListParagraph"/>
        <w:numPr>
          <w:ilvl w:val="0"/>
          <w:numId w:val="22"/>
        </w:numPr>
        <w:spacing w:after="0" w:line="276" w:lineRule="auto"/>
        <w:jc w:val="both"/>
        <w:rPr>
          <w:rFonts w:ascii="Times New Roman" w:hAnsi="Times New Roman" w:cs="Times New Roman"/>
          <w:sz w:val="20"/>
          <w:szCs w:val="20"/>
        </w:rPr>
      </w:pPr>
      <w:r w:rsidRPr="00BF5948">
        <w:rPr>
          <w:rFonts w:ascii="Times New Roman" w:hAnsi="Times New Roman" w:cs="Times New Roman"/>
          <w:sz w:val="20"/>
          <w:szCs w:val="20"/>
        </w:rPr>
        <w:t>Solanki M, Shrivastva H. Analysis of water quality using physicochemical parameters of River Narmada, Madhya Pradesh, India. International Journal of Advanced Research (IJAR). 2019;9(1):754–757.</w:t>
      </w:r>
    </w:p>
    <w:p w14:paraId="18F3997C" w14:textId="77777777" w:rsidR="0056357A" w:rsidRPr="00BF5948" w:rsidRDefault="0056357A" w:rsidP="0056357A">
      <w:pPr>
        <w:pStyle w:val="ListParagraph"/>
        <w:spacing w:after="0" w:line="276" w:lineRule="auto"/>
        <w:jc w:val="both"/>
        <w:rPr>
          <w:rFonts w:ascii="Times New Roman" w:hAnsi="Times New Roman" w:cs="Times New Roman"/>
          <w:sz w:val="20"/>
          <w:szCs w:val="20"/>
        </w:rPr>
      </w:pPr>
    </w:p>
    <w:p w14:paraId="5453DCEC" w14:textId="77777777" w:rsidR="0056357A" w:rsidRPr="00BF5948" w:rsidRDefault="0056357A" w:rsidP="0056357A">
      <w:pPr>
        <w:pStyle w:val="ListParagraph"/>
        <w:numPr>
          <w:ilvl w:val="0"/>
          <w:numId w:val="22"/>
        </w:numPr>
        <w:spacing w:after="0" w:line="276" w:lineRule="auto"/>
        <w:jc w:val="both"/>
        <w:rPr>
          <w:rFonts w:ascii="Times New Roman" w:hAnsi="Times New Roman" w:cs="Times New Roman"/>
          <w:sz w:val="20"/>
          <w:szCs w:val="20"/>
        </w:rPr>
      </w:pPr>
      <w:r w:rsidRPr="00BF5948">
        <w:rPr>
          <w:rFonts w:ascii="Times New Roman" w:hAnsi="Times New Roman" w:cs="Times New Roman"/>
          <w:sz w:val="20"/>
          <w:szCs w:val="20"/>
        </w:rPr>
        <w:t>Shrivastava A, Shrivastava S, Chaturvedi J, Rehan S, Shukla M. Assessment of physical and chemical parameters of the Murna River: Spatial variation in water quality across different sampling sites. International Journal of Advanced Science and Research. 2024;9(1):13–18.</w:t>
      </w:r>
    </w:p>
    <w:p w14:paraId="304F3063" w14:textId="77777777" w:rsidR="0056357A" w:rsidRPr="00BF5948" w:rsidRDefault="0056357A" w:rsidP="0056357A">
      <w:pPr>
        <w:pStyle w:val="ListParagraph"/>
        <w:spacing w:after="0" w:line="276" w:lineRule="auto"/>
        <w:jc w:val="both"/>
        <w:rPr>
          <w:rFonts w:ascii="Times New Roman" w:hAnsi="Times New Roman" w:cs="Times New Roman"/>
          <w:sz w:val="20"/>
          <w:szCs w:val="20"/>
        </w:rPr>
      </w:pPr>
    </w:p>
    <w:p w14:paraId="690019F5" w14:textId="77777777" w:rsidR="0056357A" w:rsidRPr="00BF5948" w:rsidRDefault="0056357A" w:rsidP="0056357A">
      <w:pPr>
        <w:pStyle w:val="ListParagraph"/>
        <w:numPr>
          <w:ilvl w:val="0"/>
          <w:numId w:val="22"/>
        </w:numPr>
        <w:spacing w:after="0" w:line="276" w:lineRule="auto"/>
        <w:jc w:val="both"/>
        <w:rPr>
          <w:rFonts w:ascii="Times New Roman" w:hAnsi="Times New Roman" w:cs="Times New Roman"/>
          <w:sz w:val="20"/>
          <w:szCs w:val="20"/>
        </w:rPr>
      </w:pPr>
      <w:r w:rsidRPr="00BF5948">
        <w:rPr>
          <w:rFonts w:ascii="Times New Roman" w:hAnsi="Times New Roman" w:cs="Times New Roman"/>
          <w:sz w:val="20"/>
          <w:szCs w:val="20"/>
        </w:rPr>
        <w:t xml:space="preserve">American Public Health Association (APHA). Standard Methods for the Examination of Water and Wastewater. 1999.  </w:t>
      </w:r>
    </w:p>
    <w:p w14:paraId="43F0BD98" w14:textId="77777777" w:rsidR="0056357A" w:rsidRPr="00BF5948" w:rsidRDefault="0056357A" w:rsidP="0056357A">
      <w:pPr>
        <w:pStyle w:val="ListParagraph"/>
        <w:spacing w:after="0" w:line="276" w:lineRule="auto"/>
        <w:rPr>
          <w:rFonts w:ascii="Times New Roman" w:hAnsi="Times New Roman" w:cs="Times New Roman"/>
          <w:sz w:val="20"/>
          <w:szCs w:val="20"/>
        </w:rPr>
      </w:pPr>
    </w:p>
    <w:p w14:paraId="05A65826" w14:textId="77777777" w:rsidR="0056357A" w:rsidRPr="00BF5948" w:rsidRDefault="0056357A" w:rsidP="0056357A">
      <w:pPr>
        <w:pStyle w:val="ListParagraph"/>
        <w:numPr>
          <w:ilvl w:val="0"/>
          <w:numId w:val="22"/>
        </w:numPr>
        <w:spacing w:after="0" w:line="276" w:lineRule="auto"/>
        <w:jc w:val="both"/>
        <w:rPr>
          <w:rFonts w:ascii="Times New Roman" w:hAnsi="Times New Roman" w:cs="Times New Roman"/>
          <w:sz w:val="20"/>
          <w:szCs w:val="20"/>
        </w:rPr>
      </w:pPr>
      <w:r w:rsidRPr="00BF5948">
        <w:rPr>
          <w:rFonts w:ascii="Times New Roman" w:hAnsi="Times New Roman" w:cs="Times New Roman"/>
          <w:sz w:val="20"/>
          <w:szCs w:val="20"/>
        </w:rPr>
        <w:t>Trivedi RK, Goel PK. Chemical and Biological Methods for Water Pollution Studies. Environmental Publication; 1986. Karad, Maharashtra.</w:t>
      </w:r>
    </w:p>
    <w:p w14:paraId="59905ACE" w14:textId="77777777" w:rsidR="0056357A" w:rsidRPr="00BF5948" w:rsidRDefault="0056357A" w:rsidP="0056357A">
      <w:pPr>
        <w:pStyle w:val="ListParagraph"/>
        <w:spacing w:after="0" w:line="276" w:lineRule="auto"/>
        <w:rPr>
          <w:rFonts w:ascii="Times New Roman" w:hAnsi="Times New Roman" w:cs="Times New Roman"/>
          <w:sz w:val="20"/>
          <w:szCs w:val="20"/>
        </w:rPr>
      </w:pPr>
    </w:p>
    <w:p w14:paraId="11F88919" w14:textId="77777777" w:rsidR="0056357A" w:rsidRPr="00BF5948" w:rsidRDefault="0056357A" w:rsidP="0056357A">
      <w:pPr>
        <w:pStyle w:val="ListParagraph"/>
        <w:numPr>
          <w:ilvl w:val="0"/>
          <w:numId w:val="22"/>
        </w:numPr>
        <w:spacing w:after="0" w:line="276" w:lineRule="auto"/>
        <w:jc w:val="both"/>
        <w:rPr>
          <w:rFonts w:ascii="Times New Roman" w:hAnsi="Times New Roman" w:cs="Times New Roman"/>
          <w:sz w:val="20"/>
          <w:szCs w:val="20"/>
        </w:rPr>
      </w:pPr>
      <w:r w:rsidRPr="00BF5948">
        <w:rPr>
          <w:rFonts w:ascii="Times New Roman" w:hAnsi="Times New Roman" w:cs="Times New Roman"/>
          <w:sz w:val="20"/>
          <w:szCs w:val="20"/>
        </w:rPr>
        <w:t>Gupta N, Pandey P, Hussain J. Effect of physicochemical biological parameters on the quality of river water of Narmada, Madhya Pradesh, India. Water Science. 2017 Apr;31:11–23.</w:t>
      </w:r>
    </w:p>
    <w:p w14:paraId="06B04C04" w14:textId="77777777" w:rsidR="0056357A" w:rsidRPr="00BF5948" w:rsidRDefault="0056357A" w:rsidP="0056357A">
      <w:pPr>
        <w:pStyle w:val="ListParagraph"/>
        <w:spacing w:after="0" w:line="276" w:lineRule="auto"/>
        <w:rPr>
          <w:rFonts w:ascii="Times New Roman" w:hAnsi="Times New Roman" w:cs="Times New Roman"/>
          <w:sz w:val="20"/>
          <w:szCs w:val="20"/>
        </w:rPr>
      </w:pPr>
    </w:p>
    <w:p w14:paraId="3460F751" w14:textId="77777777" w:rsidR="0056357A" w:rsidRPr="00BF5948" w:rsidRDefault="0056357A" w:rsidP="0056357A">
      <w:pPr>
        <w:pStyle w:val="ListParagraph"/>
        <w:numPr>
          <w:ilvl w:val="0"/>
          <w:numId w:val="22"/>
        </w:numPr>
        <w:spacing w:after="0" w:line="276" w:lineRule="auto"/>
        <w:jc w:val="both"/>
        <w:rPr>
          <w:rFonts w:ascii="Times New Roman" w:hAnsi="Times New Roman" w:cs="Times New Roman"/>
          <w:sz w:val="20"/>
          <w:szCs w:val="20"/>
        </w:rPr>
      </w:pPr>
      <w:r w:rsidRPr="00BF5948">
        <w:rPr>
          <w:rFonts w:ascii="Times New Roman" w:hAnsi="Times New Roman" w:cs="Times New Roman"/>
          <w:sz w:val="20"/>
          <w:szCs w:val="20"/>
        </w:rPr>
        <w:t>Goyal S, Shrivastava S. Physicochemical analysis of Kharun River water in Raipur, CG, India. International Research Journal of Environmental Science. 2020 Jul;9(3):72–74.</w:t>
      </w:r>
    </w:p>
    <w:p w14:paraId="06FCAB4E" w14:textId="77777777" w:rsidR="0056357A" w:rsidRPr="00BF5948" w:rsidRDefault="0056357A" w:rsidP="0056357A">
      <w:pPr>
        <w:spacing w:after="0" w:line="276" w:lineRule="auto"/>
        <w:jc w:val="both"/>
        <w:rPr>
          <w:rFonts w:ascii="Times New Roman" w:hAnsi="Times New Roman" w:cs="Times New Roman"/>
          <w:sz w:val="20"/>
          <w:szCs w:val="20"/>
        </w:rPr>
      </w:pPr>
    </w:p>
    <w:p w14:paraId="264490C0" w14:textId="77777777" w:rsidR="0056357A" w:rsidRPr="00BF5948" w:rsidRDefault="0056357A" w:rsidP="0056357A">
      <w:pPr>
        <w:pStyle w:val="ListParagraph"/>
        <w:numPr>
          <w:ilvl w:val="0"/>
          <w:numId w:val="22"/>
        </w:numPr>
        <w:spacing w:after="0" w:line="276" w:lineRule="auto"/>
        <w:jc w:val="both"/>
        <w:rPr>
          <w:rFonts w:ascii="Times New Roman" w:hAnsi="Times New Roman" w:cs="Times New Roman"/>
          <w:sz w:val="20"/>
          <w:szCs w:val="20"/>
        </w:rPr>
      </w:pPr>
      <w:r w:rsidRPr="00BF5948">
        <w:rPr>
          <w:rFonts w:ascii="Times New Roman" w:hAnsi="Times New Roman" w:cs="Times New Roman"/>
          <w:sz w:val="20"/>
          <w:szCs w:val="20"/>
        </w:rPr>
        <w:t>Vijayan P, Sethimurugan S, Pugazendye K, Tamizhazhagan V. Analysis of physicochemical parameters of water samples from Cauvery River in Thanjavur District, Tamil Nadu. International Journal of Biology Research. 2018 Jan;3(1):223–227.</w:t>
      </w:r>
    </w:p>
    <w:p w14:paraId="2F71DF2E" w14:textId="77777777" w:rsidR="0056357A" w:rsidRPr="00BF5948" w:rsidRDefault="0056357A" w:rsidP="0056357A">
      <w:pPr>
        <w:spacing w:after="0" w:line="276" w:lineRule="auto"/>
        <w:jc w:val="both"/>
        <w:rPr>
          <w:rFonts w:ascii="Times New Roman" w:hAnsi="Times New Roman" w:cs="Times New Roman"/>
          <w:sz w:val="20"/>
          <w:szCs w:val="20"/>
        </w:rPr>
      </w:pPr>
    </w:p>
    <w:p w14:paraId="3E8BC1DA" w14:textId="77777777" w:rsidR="0056357A" w:rsidRPr="00BF5948" w:rsidRDefault="0056357A" w:rsidP="0056357A">
      <w:pPr>
        <w:pStyle w:val="ListParagraph"/>
        <w:numPr>
          <w:ilvl w:val="0"/>
          <w:numId w:val="22"/>
        </w:numPr>
        <w:spacing w:after="0" w:line="276" w:lineRule="auto"/>
        <w:jc w:val="both"/>
        <w:rPr>
          <w:rFonts w:ascii="Times New Roman" w:hAnsi="Times New Roman" w:cs="Times New Roman"/>
          <w:sz w:val="20"/>
          <w:szCs w:val="20"/>
        </w:rPr>
      </w:pPr>
      <w:r w:rsidRPr="00BF5948">
        <w:rPr>
          <w:rFonts w:ascii="Times New Roman" w:hAnsi="Times New Roman" w:cs="Times New Roman"/>
          <w:sz w:val="20"/>
          <w:szCs w:val="20"/>
        </w:rPr>
        <w:t>Vyas SJ, Tank SP, Bhatt RP, Jani MM. Physicochemical study of Sonrakh River in Junagarh City, Gujarat. International Journal of Scientific Research in Biological Sciences. 2018 Dec;5(6):89–95.</w:t>
      </w:r>
    </w:p>
    <w:p w14:paraId="40EFF21F" w14:textId="06EF603F" w:rsidR="00911ACD" w:rsidRPr="00911ACD" w:rsidRDefault="00911ACD" w:rsidP="0056357A">
      <w:pPr>
        <w:tabs>
          <w:tab w:val="left" w:pos="6360"/>
        </w:tabs>
        <w:spacing w:line="276" w:lineRule="auto"/>
      </w:pPr>
      <w:r>
        <w:tab/>
      </w:r>
    </w:p>
    <w:sectPr w:rsidR="00911ACD" w:rsidRPr="00911ACD" w:rsidSect="005F717A">
      <w:headerReference w:type="default" r:id="rId18"/>
      <w:footerReference w:type="defaul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7FC5EF" w14:textId="77777777" w:rsidR="00B67494" w:rsidRDefault="00B67494" w:rsidP="00C556D7">
      <w:pPr>
        <w:spacing w:after="0" w:line="240" w:lineRule="auto"/>
      </w:pPr>
      <w:r>
        <w:separator/>
      </w:r>
    </w:p>
  </w:endnote>
  <w:endnote w:type="continuationSeparator" w:id="0">
    <w:p w14:paraId="161BC7C5" w14:textId="77777777" w:rsidR="00B67494" w:rsidRDefault="00B6749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B67494">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6EA17F" w14:textId="77777777" w:rsidR="00B67494" w:rsidRDefault="00B67494" w:rsidP="00C556D7">
      <w:pPr>
        <w:spacing w:after="0" w:line="240" w:lineRule="auto"/>
      </w:pPr>
      <w:r>
        <w:separator/>
      </w:r>
    </w:p>
  </w:footnote>
  <w:footnote w:type="continuationSeparator" w:id="0">
    <w:p w14:paraId="37C8007C" w14:textId="77777777" w:rsidR="00B67494" w:rsidRDefault="00B67494"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9F285A"/>
    <w:multiLevelType w:val="hybridMultilevel"/>
    <w:tmpl w:val="8A660826"/>
    <w:lvl w:ilvl="0" w:tplc="8370CB7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E3AAA9F0"/>
    <w:lvl w:ilvl="0" w:tplc="02EEC70A">
      <w:start w:val="1"/>
      <w:numFmt w:val="decimal"/>
      <w:lvlText w:val="%1."/>
      <w:lvlJc w:val="left"/>
      <w:pPr>
        <w:ind w:left="360" w:hanging="360"/>
      </w:pPr>
      <w:rPr>
        <w:rFonts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0"/>
  </w:num>
  <w:num w:numId="20">
    <w:abstractNumId w:val="7"/>
  </w:num>
  <w:num w:numId="21">
    <w:abstractNumId w:val="17"/>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4630"/>
    <w:rsid w:val="00187922"/>
    <w:rsid w:val="001C0F2F"/>
    <w:rsid w:val="001C15A0"/>
    <w:rsid w:val="001C75F5"/>
    <w:rsid w:val="001D095B"/>
    <w:rsid w:val="001D1DD3"/>
    <w:rsid w:val="001E4A2E"/>
    <w:rsid w:val="001E4ACD"/>
    <w:rsid w:val="001E51F3"/>
    <w:rsid w:val="001F0BB1"/>
    <w:rsid w:val="00205839"/>
    <w:rsid w:val="00205A73"/>
    <w:rsid w:val="00206DE4"/>
    <w:rsid w:val="002105D5"/>
    <w:rsid w:val="00227FA8"/>
    <w:rsid w:val="002426D5"/>
    <w:rsid w:val="002650CA"/>
    <w:rsid w:val="00273038"/>
    <w:rsid w:val="0028050A"/>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0D31"/>
    <w:rsid w:val="004960D6"/>
    <w:rsid w:val="00496A8A"/>
    <w:rsid w:val="004A26D4"/>
    <w:rsid w:val="004A52B3"/>
    <w:rsid w:val="004B0E1D"/>
    <w:rsid w:val="004D5813"/>
    <w:rsid w:val="004D5DC8"/>
    <w:rsid w:val="004D5FF5"/>
    <w:rsid w:val="00505045"/>
    <w:rsid w:val="005165E7"/>
    <w:rsid w:val="00524B78"/>
    <w:rsid w:val="005256A9"/>
    <w:rsid w:val="00526DDB"/>
    <w:rsid w:val="00531297"/>
    <w:rsid w:val="005338E6"/>
    <w:rsid w:val="00535548"/>
    <w:rsid w:val="00557B92"/>
    <w:rsid w:val="0056357A"/>
    <w:rsid w:val="005A48C2"/>
    <w:rsid w:val="005B3887"/>
    <w:rsid w:val="005B73A4"/>
    <w:rsid w:val="005C1D19"/>
    <w:rsid w:val="005D265F"/>
    <w:rsid w:val="005E230D"/>
    <w:rsid w:val="005F717A"/>
    <w:rsid w:val="006110CA"/>
    <w:rsid w:val="00617A82"/>
    <w:rsid w:val="00632466"/>
    <w:rsid w:val="00633CDF"/>
    <w:rsid w:val="006413AE"/>
    <w:rsid w:val="006472E3"/>
    <w:rsid w:val="00654EC1"/>
    <w:rsid w:val="00687190"/>
    <w:rsid w:val="00690A1B"/>
    <w:rsid w:val="006918DA"/>
    <w:rsid w:val="006962A4"/>
    <w:rsid w:val="006A5E5C"/>
    <w:rsid w:val="006A6434"/>
    <w:rsid w:val="006B2ED8"/>
    <w:rsid w:val="006C11CA"/>
    <w:rsid w:val="006C74D5"/>
    <w:rsid w:val="006D7E62"/>
    <w:rsid w:val="006F51F4"/>
    <w:rsid w:val="00732B32"/>
    <w:rsid w:val="00734248"/>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753D2"/>
    <w:rsid w:val="00880D03"/>
    <w:rsid w:val="0088370D"/>
    <w:rsid w:val="00887593"/>
    <w:rsid w:val="008A72D8"/>
    <w:rsid w:val="008A74F7"/>
    <w:rsid w:val="008B5B88"/>
    <w:rsid w:val="008C7F5F"/>
    <w:rsid w:val="008D1F25"/>
    <w:rsid w:val="0090504D"/>
    <w:rsid w:val="00905466"/>
    <w:rsid w:val="00911ACD"/>
    <w:rsid w:val="0091436C"/>
    <w:rsid w:val="00926A9A"/>
    <w:rsid w:val="0093005F"/>
    <w:rsid w:val="0093478F"/>
    <w:rsid w:val="0094277C"/>
    <w:rsid w:val="009446C5"/>
    <w:rsid w:val="0094642D"/>
    <w:rsid w:val="00971033"/>
    <w:rsid w:val="009A49D4"/>
    <w:rsid w:val="009C713B"/>
    <w:rsid w:val="009E4D95"/>
    <w:rsid w:val="009E7E3D"/>
    <w:rsid w:val="009F13DA"/>
    <w:rsid w:val="009F6540"/>
    <w:rsid w:val="00A0162A"/>
    <w:rsid w:val="00A1776A"/>
    <w:rsid w:val="00A4268C"/>
    <w:rsid w:val="00A476E5"/>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67494"/>
    <w:rsid w:val="00B71A47"/>
    <w:rsid w:val="00B76621"/>
    <w:rsid w:val="00B82E3B"/>
    <w:rsid w:val="00BA6D24"/>
    <w:rsid w:val="00BC087A"/>
    <w:rsid w:val="00BC37A0"/>
    <w:rsid w:val="00BD0DF3"/>
    <w:rsid w:val="00BE5B25"/>
    <w:rsid w:val="00C0727D"/>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ranjitrraut@gmail.com" TargetMode="External"/><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oleObject" Target="file:///J:\aquatic%20research\Sadhana%20Ghule%20Paper%20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J:\aquatic%20research\Sadhana%20Ghule%20Paper%20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J:\aquatic%20research\Sadhana%20Ghule%20Paper%20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J:\aquatic%20research\Sadhana%20Ghule%20Paper%20Graph.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J:\aquatic%20research\Sadhana%20Ghule%20Paper%20Graph.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J:\aquatic%20research\Sadhana%20Ghule%20Paper%20Graph.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J:\aquatic%20research\Sadhana%20Ghule%20Paper%20Graph.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J:\aquatic%20research\Sadhana%20Ghule%20Paper%20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22185956207528854"/>
          <c:y val="7.0877353922992631E-2"/>
          <c:w val="0.75120770862546293"/>
          <c:h val="0.56912621359223303"/>
        </c:manualLayout>
      </c:layout>
      <c:bar3DChart>
        <c:barDir val="col"/>
        <c:grouping val="clustered"/>
        <c:varyColors val="0"/>
        <c:ser>
          <c:idx val="0"/>
          <c:order val="0"/>
          <c:tx>
            <c:strRef>
              <c:f>Sheet2!$D$4:$D$5</c:f>
              <c:strCache>
                <c:ptCount val="2"/>
                <c:pt idx="0">
                  <c:v>Alkalinity (Mg/L)</c:v>
                </c:pt>
                <c:pt idx="1">
                  <c:v>Mula River</c:v>
                </c:pt>
              </c:strCache>
            </c:strRef>
          </c:tx>
          <c:invertIfNegative val="0"/>
          <c:cat>
            <c:strRef>
              <c:f>Sheet2!$C$6:$C$9</c:f>
              <c:strCache>
                <c:ptCount val="4"/>
                <c:pt idx="0">
                  <c:v>January</c:v>
                </c:pt>
                <c:pt idx="1">
                  <c:v>February</c:v>
                </c:pt>
                <c:pt idx="2">
                  <c:v>March</c:v>
                </c:pt>
                <c:pt idx="3">
                  <c:v>April</c:v>
                </c:pt>
              </c:strCache>
            </c:strRef>
          </c:cat>
          <c:val>
            <c:numRef>
              <c:f>Sheet2!$D$6:$D$9</c:f>
              <c:numCache>
                <c:formatCode>General</c:formatCode>
                <c:ptCount val="4"/>
                <c:pt idx="0">
                  <c:v>270</c:v>
                </c:pt>
                <c:pt idx="1">
                  <c:v>350</c:v>
                </c:pt>
                <c:pt idx="2">
                  <c:v>360</c:v>
                </c:pt>
                <c:pt idx="3">
                  <c:v>410</c:v>
                </c:pt>
              </c:numCache>
            </c:numRef>
          </c:val>
        </c:ser>
        <c:ser>
          <c:idx val="1"/>
          <c:order val="1"/>
          <c:tx>
            <c:strRef>
              <c:f>Sheet2!$E$4:$E$5</c:f>
              <c:strCache>
                <c:ptCount val="2"/>
                <c:pt idx="0">
                  <c:v>Alkalinity (Mg/L)</c:v>
                </c:pt>
                <c:pt idx="1">
                  <c:v>Kurkundi River</c:v>
                </c:pt>
              </c:strCache>
            </c:strRef>
          </c:tx>
          <c:invertIfNegative val="0"/>
          <c:cat>
            <c:strRef>
              <c:f>Sheet2!$C$6:$C$9</c:f>
              <c:strCache>
                <c:ptCount val="4"/>
                <c:pt idx="0">
                  <c:v>January</c:v>
                </c:pt>
                <c:pt idx="1">
                  <c:v>February</c:v>
                </c:pt>
                <c:pt idx="2">
                  <c:v>March</c:v>
                </c:pt>
                <c:pt idx="3">
                  <c:v>April</c:v>
                </c:pt>
              </c:strCache>
            </c:strRef>
          </c:cat>
          <c:val>
            <c:numRef>
              <c:f>Sheet2!$E$6:$E$9</c:f>
              <c:numCache>
                <c:formatCode>General</c:formatCode>
                <c:ptCount val="4"/>
                <c:pt idx="0">
                  <c:v>230</c:v>
                </c:pt>
                <c:pt idx="1">
                  <c:v>240</c:v>
                </c:pt>
                <c:pt idx="2">
                  <c:v>370</c:v>
                </c:pt>
                <c:pt idx="3">
                  <c:v>385</c:v>
                </c:pt>
              </c:numCache>
            </c:numRef>
          </c:val>
        </c:ser>
        <c:dLbls>
          <c:showLegendKey val="0"/>
          <c:showVal val="0"/>
          <c:showCatName val="0"/>
          <c:showSerName val="0"/>
          <c:showPercent val="0"/>
          <c:showBubbleSize val="0"/>
        </c:dLbls>
        <c:gapWidth val="150"/>
        <c:shape val="box"/>
        <c:axId val="346341376"/>
        <c:axId val="346344448"/>
        <c:axId val="0"/>
      </c:bar3DChart>
      <c:catAx>
        <c:axId val="346341376"/>
        <c:scaling>
          <c:orientation val="minMax"/>
        </c:scaling>
        <c:delete val="0"/>
        <c:axPos val="b"/>
        <c:title>
          <c:tx>
            <c:rich>
              <a:bodyPr rot="0" vert="horz"/>
              <a:lstStyle/>
              <a:p>
                <a:pPr>
                  <a:defRPr/>
                </a:pPr>
                <a:r>
                  <a:rPr lang="en-US"/>
                  <a:t>Months</a:t>
                </a:r>
              </a:p>
            </c:rich>
          </c:tx>
          <c:layout>
            <c:manualLayout>
              <c:xMode val="edge"/>
              <c:yMode val="edge"/>
              <c:x val="0.45285154424190127"/>
              <c:y val="0.83056901867849042"/>
            </c:manualLayout>
          </c:layout>
          <c:overlay val="0"/>
        </c:title>
        <c:numFmt formatCode="General" sourceLinked="1"/>
        <c:majorTickMark val="none"/>
        <c:minorTickMark val="none"/>
        <c:tickLblPos val="nextTo"/>
        <c:txPr>
          <a:bodyPr rot="-60000000" vert="horz"/>
          <a:lstStyle/>
          <a:p>
            <a:pPr>
              <a:defRPr/>
            </a:pPr>
            <a:endParaRPr lang="en-US"/>
          </a:p>
        </c:txPr>
        <c:crossAx val="346344448"/>
        <c:crosses val="autoZero"/>
        <c:auto val="1"/>
        <c:lblAlgn val="ctr"/>
        <c:lblOffset val="100"/>
        <c:noMultiLvlLbl val="0"/>
      </c:catAx>
      <c:valAx>
        <c:axId val="346344448"/>
        <c:scaling>
          <c:orientation val="minMax"/>
        </c:scaling>
        <c:delete val="0"/>
        <c:axPos val="l"/>
        <c:title>
          <c:tx>
            <c:rich>
              <a:bodyPr rot="-5400000" vert="horz"/>
              <a:lstStyle/>
              <a:p>
                <a:pPr>
                  <a:defRPr/>
                </a:pPr>
                <a:r>
                  <a:rPr lang="en-US"/>
                  <a:t>Alkalinity Mg/L</a:t>
                </a:r>
              </a:p>
            </c:rich>
          </c:tx>
          <c:layout>
            <c:manualLayout>
              <c:xMode val="edge"/>
              <c:yMode val="edge"/>
              <c:x val="3.7552737669577903E-2"/>
              <c:y val="0.15223090820637436"/>
            </c:manualLayout>
          </c:layout>
          <c:overlay val="0"/>
        </c:title>
        <c:numFmt formatCode="General" sourceLinked="1"/>
        <c:majorTickMark val="none"/>
        <c:minorTickMark val="none"/>
        <c:tickLblPos val="nextTo"/>
        <c:txPr>
          <a:bodyPr rot="-60000000" vert="horz"/>
          <a:lstStyle/>
          <a:p>
            <a:pPr>
              <a:defRPr/>
            </a:pPr>
            <a:endParaRPr lang="en-US"/>
          </a:p>
        </c:txPr>
        <c:crossAx val="34634137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2362961081477718"/>
          <c:y val="5.8382157206652484E-2"/>
          <c:w val="0.73752490616092348"/>
          <c:h val="0.55230910996519611"/>
        </c:manualLayout>
      </c:layout>
      <c:bar3DChart>
        <c:barDir val="col"/>
        <c:grouping val="clustered"/>
        <c:varyColors val="0"/>
        <c:ser>
          <c:idx val="0"/>
          <c:order val="0"/>
          <c:tx>
            <c:strRef>
              <c:f>Sheet2!$D$15:$D$16</c:f>
              <c:strCache>
                <c:ptCount val="2"/>
                <c:pt idx="0">
                  <c:v>Acidity (Mg/L)</c:v>
                </c:pt>
                <c:pt idx="1">
                  <c:v>Mula River</c:v>
                </c:pt>
              </c:strCache>
            </c:strRef>
          </c:tx>
          <c:invertIfNegative val="0"/>
          <c:cat>
            <c:strRef>
              <c:f>Sheet2!$C$17:$C$20</c:f>
              <c:strCache>
                <c:ptCount val="4"/>
                <c:pt idx="0">
                  <c:v>January</c:v>
                </c:pt>
                <c:pt idx="1">
                  <c:v>February</c:v>
                </c:pt>
                <c:pt idx="2">
                  <c:v>March</c:v>
                </c:pt>
                <c:pt idx="3">
                  <c:v>April</c:v>
                </c:pt>
              </c:strCache>
            </c:strRef>
          </c:cat>
          <c:val>
            <c:numRef>
              <c:f>Sheet2!$D$17:$D$20</c:f>
              <c:numCache>
                <c:formatCode>General</c:formatCode>
                <c:ptCount val="4"/>
                <c:pt idx="0">
                  <c:v>20</c:v>
                </c:pt>
                <c:pt idx="1">
                  <c:v>15</c:v>
                </c:pt>
                <c:pt idx="2">
                  <c:v>20</c:v>
                </c:pt>
                <c:pt idx="3">
                  <c:v>20</c:v>
                </c:pt>
              </c:numCache>
            </c:numRef>
          </c:val>
        </c:ser>
        <c:ser>
          <c:idx val="1"/>
          <c:order val="1"/>
          <c:tx>
            <c:strRef>
              <c:f>Sheet2!$E$15:$E$16</c:f>
              <c:strCache>
                <c:ptCount val="2"/>
                <c:pt idx="0">
                  <c:v>Acidity (Mg/L)</c:v>
                </c:pt>
                <c:pt idx="1">
                  <c:v>Kurkundi River</c:v>
                </c:pt>
              </c:strCache>
            </c:strRef>
          </c:tx>
          <c:invertIfNegative val="0"/>
          <c:cat>
            <c:strRef>
              <c:f>Sheet2!$C$17:$C$20</c:f>
              <c:strCache>
                <c:ptCount val="4"/>
                <c:pt idx="0">
                  <c:v>January</c:v>
                </c:pt>
                <c:pt idx="1">
                  <c:v>February</c:v>
                </c:pt>
                <c:pt idx="2">
                  <c:v>March</c:v>
                </c:pt>
                <c:pt idx="3">
                  <c:v>April</c:v>
                </c:pt>
              </c:strCache>
            </c:strRef>
          </c:cat>
          <c:val>
            <c:numRef>
              <c:f>Sheet2!$E$17:$E$20</c:f>
              <c:numCache>
                <c:formatCode>General</c:formatCode>
                <c:ptCount val="4"/>
                <c:pt idx="0">
                  <c:v>25</c:v>
                </c:pt>
                <c:pt idx="1">
                  <c:v>10</c:v>
                </c:pt>
                <c:pt idx="2">
                  <c:v>15</c:v>
                </c:pt>
                <c:pt idx="3">
                  <c:v>20</c:v>
                </c:pt>
              </c:numCache>
            </c:numRef>
          </c:val>
        </c:ser>
        <c:dLbls>
          <c:showLegendKey val="0"/>
          <c:showVal val="0"/>
          <c:showCatName val="0"/>
          <c:showSerName val="0"/>
          <c:showPercent val="0"/>
          <c:showBubbleSize val="0"/>
        </c:dLbls>
        <c:gapWidth val="150"/>
        <c:shape val="box"/>
        <c:axId val="340467712"/>
        <c:axId val="340469632"/>
        <c:axId val="0"/>
      </c:bar3DChart>
      <c:catAx>
        <c:axId val="340467712"/>
        <c:scaling>
          <c:orientation val="minMax"/>
        </c:scaling>
        <c:delete val="0"/>
        <c:axPos val="b"/>
        <c:title>
          <c:tx>
            <c:rich>
              <a:bodyPr rot="0" vert="horz"/>
              <a:lstStyle/>
              <a:p>
                <a:pPr>
                  <a:defRPr/>
                </a:pPr>
                <a:r>
                  <a:rPr lang="en-US"/>
                  <a:t>Months</a:t>
                </a:r>
              </a:p>
            </c:rich>
          </c:tx>
          <c:layout>
            <c:manualLayout>
              <c:xMode val="edge"/>
              <c:yMode val="edge"/>
              <c:x val="0.45748247761164684"/>
              <c:y val="0.83443212802283206"/>
            </c:manualLayout>
          </c:layout>
          <c:overlay val="0"/>
        </c:title>
        <c:numFmt formatCode="General" sourceLinked="1"/>
        <c:majorTickMark val="none"/>
        <c:minorTickMark val="none"/>
        <c:tickLblPos val="nextTo"/>
        <c:txPr>
          <a:bodyPr rot="-60000000" vert="horz"/>
          <a:lstStyle/>
          <a:p>
            <a:pPr>
              <a:defRPr/>
            </a:pPr>
            <a:endParaRPr lang="en-US"/>
          </a:p>
        </c:txPr>
        <c:crossAx val="340469632"/>
        <c:crosses val="autoZero"/>
        <c:auto val="1"/>
        <c:lblAlgn val="ctr"/>
        <c:lblOffset val="100"/>
        <c:noMultiLvlLbl val="0"/>
      </c:catAx>
      <c:valAx>
        <c:axId val="340469632"/>
        <c:scaling>
          <c:orientation val="minMax"/>
        </c:scaling>
        <c:delete val="0"/>
        <c:axPos val="l"/>
        <c:title>
          <c:tx>
            <c:rich>
              <a:bodyPr rot="-5400000" vert="horz"/>
              <a:lstStyle/>
              <a:p>
                <a:pPr>
                  <a:defRPr/>
                </a:pPr>
                <a:r>
                  <a:rPr lang="en-US"/>
                  <a:t>Acidity Mg/L</a:t>
                </a:r>
              </a:p>
            </c:rich>
          </c:tx>
          <c:layout>
            <c:manualLayout>
              <c:xMode val="edge"/>
              <c:yMode val="edge"/>
              <c:x val="6.1063843971526137E-2"/>
              <c:y val="0.19864967210224549"/>
            </c:manualLayout>
          </c:layout>
          <c:overlay val="0"/>
        </c:title>
        <c:numFmt formatCode="General" sourceLinked="1"/>
        <c:majorTickMark val="none"/>
        <c:minorTickMark val="none"/>
        <c:tickLblPos val="nextTo"/>
        <c:txPr>
          <a:bodyPr rot="-60000000" vert="horz"/>
          <a:lstStyle/>
          <a:p>
            <a:pPr>
              <a:defRPr/>
            </a:pPr>
            <a:endParaRPr lang="en-US"/>
          </a:p>
        </c:txPr>
        <c:crossAx val="340467712"/>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24177003559486571"/>
          <c:y val="6.0232386682001836E-2"/>
          <c:w val="0.75823005819924683"/>
          <c:h val="0.52588280397534581"/>
        </c:manualLayout>
      </c:layout>
      <c:bar3DChart>
        <c:barDir val="col"/>
        <c:grouping val="clustered"/>
        <c:varyColors val="0"/>
        <c:ser>
          <c:idx val="0"/>
          <c:order val="0"/>
          <c:tx>
            <c:strRef>
              <c:f>Sheet2!$D$27:$D$28</c:f>
              <c:strCache>
                <c:ptCount val="2"/>
                <c:pt idx="0">
                  <c:v>Dissolved Oxygen</c:v>
                </c:pt>
                <c:pt idx="1">
                  <c:v>Mula River</c:v>
                </c:pt>
              </c:strCache>
            </c:strRef>
          </c:tx>
          <c:invertIfNegative val="0"/>
          <c:cat>
            <c:strRef>
              <c:f>Sheet2!$C$29:$C$32</c:f>
              <c:strCache>
                <c:ptCount val="4"/>
                <c:pt idx="0">
                  <c:v>January</c:v>
                </c:pt>
                <c:pt idx="1">
                  <c:v>February</c:v>
                </c:pt>
                <c:pt idx="2">
                  <c:v>March</c:v>
                </c:pt>
                <c:pt idx="3">
                  <c:v>April</c:v>
                </c:pt>
              </c:strCache>
            </c:strRef>
          </c:cat>
          <c:val>
            <c:numRef>
              <c:f>Sheet2!$D$29:$D$32</c:f>
              <c:numCache>
                <c:formatCode>General</c:formatCode>
                <c:ptCount val="4"/>
                <c:pt idx="0">
                  <c:v>6</c:v>
                </c:pt>
                <c:pt idx="1">
                  <c:v>5.8</c:v>
                </c:pt>
                <c:pt idx="2">
                  <c:v>4.5999999999999996</c:v>
                </c:pt>
                <c:pt idx="3">
                  <c:v>4.2</c:v>
                </c:pt>
              </c:numCache>
            </c:numRef>
          </c:val>
        </c:ser>
        <c:ser>
          <c:idx val="1"/>
          <c:order val="1"/>
          <c:tx>
            <c:strRef>
              <c:f>Sheet2!$E$27:$E$28</c:f>
              <c:strCache>
                <c:ptCount val="2"/>
                <c:pt idx="0">
                  <c:v>Dissolved Oxygen</c:v>
                </c:pt>
                <c:pt idx="1">
                  <c:v>Kurkundi River</c:v>
                </c:pt>
              </c:strCache>
            </c:strRef>
          </c:tx>
          <c:invertIfNegative val="0"/>
          <c:cat>
            <c:strRef>
              <c:f>Sheet2!$C$29:$C$32</c:f>
              <c:strCache>
                <c:ptCount val="4"/>
                <c:pt idx="0">
                  <c:v>January</c:v>
                </c:pt>
                <c:pt idx="1">
                  <c:v>February</c:v>
                </c:pt>
                <c:pt idx="2">
                  <c:v>March</c:v>
                </c:pt>
                <c:pt idx="3">
                  <c:v>April</c:v>
                </c:pt>
              </c:strCache>
            </c:strRef>
          </c:cat>
          <c:val>
            <c:numRef>
              <c:f>Sheet2!$E$29:$E$32</c:f>
              <c:numCache>
                <c:formatCode>General</c:formatCode>
                <c:ptCount val="4"/>
                <c:pt idx="0">
                  <c:v>6.6</c:v>
                </c:pt>
                <c:pt idx="1">
                  <c:v>5.4</c:v>
                </c:pt>
                <c:pt idx="2">
                  <c:v>4</c:v>
                </c:pt>
                <c:pt idx="3">
                  <c:v>3.5</c:v>
                </c:pt>
              </c:numCache>
            </c:numRef>
          </c:val>
        </c:ser>
        <c:dLbls>
          <c:showLegendKey val="0"/>
          <c:showVal val="0"/>
          <c:showCatName val="0"/>
          <c:showSerName val="0"/>
          <c:showPercent val="0"/>
          <c:showBubbleSize val="0"/>
        </c:dLbls>
        <c:gapWidth val="150"/>
        <c:shape val="box"/>
        <c:axId val="340601472"/>
        <c:axId val="340849408"/>
        <c:axId val="0"/>
      </c:bar3DChart>
      <c:catAx>
        <c:axId val="340601472"/>
        <c:scaling>
          <c:orientation val="minMax"/>
        </c:scaling>
        <c:delete val="0"/>
        <c:axPos val="b"/>
        <c:title>
          <c:tx>
            <c:rich>
              <a:bodyPr rot="0" vert="horz"/>
              <a:lstStyle/>
              <a:p>
                <a:pPr>
                  <a:defRPr/>
                </a:pPr>
                <a:r>
                  <a:rPr lang="en-US"/>
                  <a:t>Months</a:t>
                </a:r>
              </a:p>
            </c:rich>
          </c:tx>
          <c:layout>
            <c:manualLayout>
              <c:xMode val="edge"/>
              <c:yMode val="edge"/>
              <c:x val="0.44382365247822281"/>
              <c:y val="0.82783803709929515"/>
            </c:manualLayout>
          </c:layout>
          <c:overlay val="0"/>
        </c:title>
        <c:numFmt formatCode="General" sourceLinked="1"/>
        <c:majorTickMark val="none"/>
        <c:minorTickMark val="none"/>
        <c:tickLblPos val="nextTo"/>
        <c:txPr>
          <a:bodyPr rot="-60000000" vert="horz"/>
          <a:lstStyle/>
          <a:p>
            <a:pPr>
              <a:defRPr/>
            </a:pPr>
            <a:endParaRPr lang="en-US"/>
          </a:p>
        </c:txPr>
        <c:crossAx val="340849408"/>
        <c:crosses val="autoZero"/>
        <c:auto val="1"/>
        <c:lblAlgn val="ctr"/>
        <c:lblOffset val="100"/>
        <c:noMultiLvlLbl val="0"/>
      </c:catAx>
      <c:valAx>
        <c:axId val="340849408"/>
        <c:scaling>
          <c:orientation val="minMax"/>
        </c:scaling>
        <c:delete val="0"/>
        <c:axPos val="l"/>
        <c:title>
          <c:tx>
            <c:rich>
              <a:bodyPr rot="-5400000" vert="horz"/>
              <a:lstStyle/>
              <a:p>
                <a:pPr>
                  <a:defRPr/>
                </a:pPr>
                <a:r>
                  <a:rPr lang="en-US"/>
                  <a:t>DO Mg/L</a:t>
                </a:r>
              </a:p>
            </c:rich>
          </c:tx>
          <c:layout>
            <c:manualLayout>
              <c:xMode val="edge"/>
              <c:yMode val="edge"/>
              <c:x val="7.2228454319922336E-2"/>
              <c:y val="0.19583738202937398"/>
            </c:manualLayout>
          </c:layout>
          <c:overlay val="0"/>
        </c:title>
        <c:numFmt formatCode="General" sourceLinked="1"/>
        <c:majorTickMark val="none"/>
        <c:minorTickMark val="none"/>
        <c:tickLblPos val="nextTo"/>
        <c:txPr>
          <a:bodyPr rot="-60000000" vert="horz"/>
          <a:lstStyle/>
          <a:p>
            <a:pPr>
              <a:defRPr/>
            </a:pPr>
            <a:endParaRPr lang="en-US"/>
          </a:p>
        </c:txPr>
        <c:crossAx val="340601472"/>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223034752234918"/>
          <c:y val="0.10108923884514436"/>
          <c:w val="0.77006887296982618"/>
          <c:h val="0.50220412789310431"/>
        </c:manualLayout>
      </c:layout>
      <c:bar3DChart>
        <c:barDir val="col"/>
        <c:grouping val="clustered"/>
        <c:varyColors val="0"/>
        <c:ser>
          <c:idx val="0"/>
          <c:order val="0"/>
          <c:tx>
            <c:strRef>
              <c:f>Sheet2!$D$43:$D$44</c:f>
              <c:strCache>
                <c:ptCount val="2"/>
                <c:pt idx="0">
                  <c:v>Carbon Dioxide Mg/L</c:v>
                </c:pt>
                <c:pt idx="1">
                  <c:v>Mula River</c:v>
                </c:pt>
              </c:strCache>
            </c:strRef>
          </c:tx>
          <c:invertIfNegative val="0"/>
          <c:cat>
            <c:strRef>
              <c:f>Sheet2!$C$45:$C$48</c:f>
              <c:strCache>
                <c:ptCount val="4"/>
                <c:pt idx="0">
                  <c:v>January</c:v>
                </c:pt>
                <c:pt idx="1">
                  <c:v>February</c:v>
                </c:pt>
                <c:pt idx="2">
                  <c:v>March</c:v>
                </c:pt>
                <c:pt idx="3">
                  <c:v>April</c:v>
                </c:pt>
              </c:strCache>
            </c:strRef>
          </c:cat>
          <c:val>
            <c:numRef>
              <c:f>Sheet2!$D$45:$D$48</c:f>
              <c:numCache>
                <c:formatCode>General</c:formatCode>
                <c:ptCount val="4"/>
                <c:pt idx="0">
                  <c:v>31.9</c:v>
                </c:pt>
                <c:pt idx="1">
                  <c:v>34.799999999999997</c:v>
                </c:pt>
                <c:pt idx="2">
                  <c:v>38.200000000000003</c:v>
                </c:pt>
                <c:pt idx="3">
                  <c:v>35</c:v>
                </c:pt>
              </c:numCache>
            </c:numRef>
          </c:val>
        </c:ser>
        <c:ser>
          <c:idx val="1"/>
          <c:order val="1"/>
          <c:tx>
            <c:strRef>
              <c:f>Sheet2!$E$43:$E$44</c:f>
              <c:strCache>
                <c:ptCount val="2"/>
                <c:pt idx="0">
                  <c:v>Carbon Dioxide Mg/L</c:v>
                </c:pt>
                <c:pt idx="1">
                  <c:v>Kurkundi River</c:v>
                </c:pt>
              </c:strCache>
            </c:strRef>
          </c:tx>
          <c:invertIfNegative val="0"/>
          <c:cat>
            <c:strRef>
              <c:f>Sheet2!$C$45:$C$48</c:f>
              <c:strCache>
                <c:ptCount val="4"/>
                <c:pt idx="0">
                  <c:v>January</c:v>
                </c:pt>
                <c:pt idx="1">
                  <c:v>February</c:v>
                </c:pt>
                <c:pt idx="2">
                  <c:v>March</c:v>
                </c:pt>
                <c:pt idx="3">
                  <c:v>April</c:v>
                </c:pt>
              </c:strCache>
            </c:strRef>
          </c:cat>
          <c:val>
            <c:numRef>
              <c:f>Sheet2!$E$45:$E$48</c:f>
              <c:numCache>
                <c:formatCode>General</c:formatCode>
                <c:ptCount val="4"/>
                <c:pt idx="0">
                  <c:v>32.6</c:v>
                </c:pt>
                <c:pt idx="1">
                  <c:v>35.6</c:v>
                </c:pt>
                <c:pt idx="2">
                  <c:v>33.4</c:v>
                </c:pt>
                <c:pt idx="3">
                  <c:v>31.5</c:v>
                </c:pt>
              </c:numCache>
            </c:numRef>
          </c:val>
        </c:ser>
        <c:dLbls>
          <c:showLegendKey val="0"/>
          <c:showVal val="0"/>
          <c:showCatName val="0"/>
          <c:showSerName val="0"/>
          <c:showPercent val="0"/>
          <c:showBubbleSize val="0"/>
        </c:dLbls>
        <c:gapWidth val="150"/>
        <c:shape val="box"/>
        <c:axId val="342435328"/>
        <c:axId val="342437248"/>
        <c:axId val="0"/>
      </c:bar3DChart>
      <c:catAx>
        <c:axId val="342435328"/>
        <c:scaling>
          <c:orientation val="minMax"/>
        </c:scaling>
        <c:delete val="0"/>
        <c:axPos val="b"/>
        <c:title>
          <c:tx>
            <c:rich>
              <a:bodyPr rot="0" vert="horz"/>
              <a:lstStyle/>
              <a:p>
                <a:pPr>
                  <a:defRPr/>
                </a:pPr>
                <a:r>
                  <a:rPr lang="en-US"/>
                  <a:t>Months</a:t>
                </a:r>
              </a:p>
            </c:rich>
          </c:tx>
          <c:overlay val="0"/>
        </c:title>
        <c:numFmt formatCode="General" sourceLinked="1"/>
        <c:majorTickMark val="none"/>
        <c:minorTickMark val="none"/>
        <c:tickLblPos val="nextTo"/>
        <c:txPr>
          <a:bodyPr rot="-60000000" vert="horz"/>
          <a:lstStyle/>
          <a:p>
            <a:pPr>
              <a:defRPr/>
            </a:pPr>
            <a:endParaRPr lang="en-US"/>
          </a:p>
        </c:txPr>
        <c:crossAx val="342437248"/>
        <c:crosses val="autoZero"/>
        <c:auto val="1"/>
        <c:lblAlgn val="ctr"/>
        <c:lblOffset val="100"/>
        <c:noMultiLvlLbl val="0"/>
      </c:catAx>
      <c:valAx>
        <c:axId val="342437248"/>
        <c:scaling>
          <c:orientation val="minMax"/>
        </c:scaling>
        <c:delete val="0"/>
        <c:axPos val="l"/>
        <c:title>
          <c:tx>
            <c:rich>
              <a:bodyPr rot="-5400000" vert="horz"/>
              <a:lstStyle/>
              <a:p>
                <a:pPr>
                  <a:defRPr/>
                </a:pPr>
                <a:r>
                  <a:rPr lang="en-US"/>
                  <a:t>Carbon Dioxide Mg/L</a:t>
                </a:r>
              </a:p>
            </c:rich>
          </c:tx>
          <c:layout>
            <c:manualLayout>
              <c:xMode val="edge"/>
              <c:yMode val="edge"/>
              <c:x val="2.5620729993020536E-2"/>
              <c:y val="7.6881666387446257E-2"/>
            </c:manualLayout>
          </c:layout>
          <c:overlay val="0"/>
        </c:title>
        <c:numFmt formatCode="General" sourceLinked="1"/>
        <c:majorTickMark val="none"/>
        <c:minorTickMark val="none"/>
        <c:tickLblPos val="nextTo"/>
        <c:txPr>
          <a:bodyPr rot="-60000000" vert="horz"/>
          <a:lstStyle/>
          <a:p>
            <a:pPr>
              <a:defRPr/>
            </a:pPr>
            <a:endParaRPr lang="en-US"/>
          </a:p>
        </c:txPr>
        <c:crossAx val="34243532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24133390860389026"/>
          <c:y val="0.12646539503417686"/>
          <c:w val="0.68032810116667342"/>
          <c:h val="0.43007889832318003"/>
        </c:manualLayout>
      </c:layout>
      <c:bar3DChart>
        <c:barDir val="col"/>
        <c:grouping val="clustered"/>
        <c:varyColors val="0"/>
        <c:ser>
          <c:idx val="0"/>
          <c:order val="0"/>
          <c:tx>
            <c:strRef>
              <c:f>Sheet2!$D$56:$D$57</c:f>
              <c:strCache>
                <c:ptCount val="2"/>
                <c:pt idx="0">
                  <c:v>Hardness (Mg/L)</c:v>
                </c:pt>
                <c:pt idx="1">
                  <c:v>Mula River</c:v>
                </c:pt>
              </c:strCache>
            </c:strRef>
          </c:tx>
          <c:invertIfNegative val="0"/>
          <c:cat>
            <c:strRef>
              <c:f>Sheet2!$C$58:$C$61</c:f>
              <c:strCache>
                <c:ptCount val="4"/>
                <c:pt idx="0">
                  <c:v>January</c:v>
                </c:pt>
                <c:pt idx="1">
                  <c:v>February</c:v>
                </c:pt>
                <c:pt idx="2">
                  <c:v>March</c:v>
                </c:pt>
                <c:pt idx="3">
                  <c:v>April</c:v>
                </c:pt>
              </c:strCache>
            </c:strRef>
          </c:cat>
          <c:val>
            <c:numRef>
              <c:f>Sheet2!$D$58:$D$61</c:f>
              <c:numCache>
                <c:formatCode>General</c:formatCode>
                <c:ptCount val="4"/>
                <c:pt idx="0">
                  <c:v>97.4</c:v>
                </c:pt>
                <c:pt idx="1">
                  <c:v>99.5</c:v>
                </c:pt>
                <c:pt idx="2">
                  <c:v>95.6</c:v>
                </c:pt>
                <c:pt idx="3">
                  <c:v>90.4</c:v>
                </c:pt>
              </c:numCache>
            </c:numRef>
          </c:val>
        </c:ser>
        <c:ser>
          <c:idx val="1"/>
          <c:order val="1"/>
          <c:tx>
            <c:strRef>
              <c:f>Sheet2!$E$56:$E$57</c:f>
              <c:strCache>
                <c:ptCount val="2"/>
                <c:pt idx="0">
                  <c:v>Hardness (Mg/L)</c:v>
                </c:pt>
                <c:pt idx="1">
                  <c:v>Kurkundi River</c:v>
                </c:pt>
              </c:strCache>
            </c:strRef>
          </c:tx>
          <c:invertIfNegative val="0"/>
          <c:cat>
            <c:strRef>
              <c:f>Sheet2!$C$58:$C$61</c:f>
              <c:strCache>
                <c:ptCount val="4"/>
                <c:pt idx="0">
                  <c:v>January</c:v>
                </c:pt>
                <c:pt idx="1">
                  <c:v>February</c:v>
                </c:pt>
                <c:pt idx="2">
                  <c:v>March</c:v>
                </c:pt>
                <c:pt idx="3">
                  <c:v>April</c:v>
                </c:pt>
              </c:strCache>
            </c:strRef>
          </c:cat>
          <c:val>
            <c:numRef>
              <c:f>Sheet2!$E$58:$E$61</c:f>
              <c:numCache>
                <c:formatCode>General</c:formatCode>
                <c:ptCount val="4"/>
                <c:pt idx="0">
                  <c:v>72</c:v>
                </c:pt>
                <c:pt idx="1">
                  <c:v>82</c:v>
                </c:pt>
                <c:pt idx="2">
                  <c:v>96.4</c:v>
                </c:pt>
                <c:pt idx="3">
                  <c:v>98.2</c:v>
                </c:pt>
              </c:numCache>
            </c:numRef>
          </c:val>
        </c:ser>
        <c:dLbls>
          <c:showLegendKey val="0"/>
          <c:showVal val="0"/>
          <c:showCatName val="0"/>
          <c:showSerName val="0"/>
          <c:showPercent val="0"/>
          <c:showBubbleSize val="0"/>
        </c:dLbls>
        <c:gapWidth val="150"/>
        <c:shape val="box"/>
        <c:axId val="342729088"/>
        <c:axId val="342731008"/>
        <c:axId val="0"/>
      </c:bar3DChart>
      <c:catAx>
        <c:axId val="342729088"/>
        <c:scaling>
          <c:orientation val="minMax"/>
        </c:scaling>
        <c:delete val="0"/>
        <c:axPos val="b"/>
        <c:title>
          <c:tx>
            <c:rich>
              <a:bodyPr rot="0" vert="horz"/>
              <a:lstStyle/>
              <a:p>
                <a:pPr>
                  <a:defRPr/>
                </a:pPr>
                <a:r>
                  <a:rPr lang="en-US"/>
                  <a:t>Months</a:t>
                </a:r>
              </a:p>
            </c:rich>
          </c:tx>
          <c:overlay val="0"/>
        </c:title>
        <c:numFmt formatCode="General" sourceLinked="1"/>
        <c:majorTickMark val="none"/>
        <c:minorTickMark val="none"/>
        <c:tickLblPos val="nextTo"/>
        <c:txPr>
          <a:bodyPr rot="-60000000" vert="horz"/>
          <a:lstStyle/>
          <a:p>
            <a:pPr>
              <a:defRPr/>
            </a:pPr>
            <a:endParaRPr lang="en-US"/>
          </a:p>
        </c:txPr>
        <c:crossAx val="342731008"/>
        <c:crosses val="autoZero"/>
        <c:auto val="1"/>
        <c:lblAlgn val="ctr"/>
        <c:lblOffset val="100"/>
        <c:noMultiLvlLbl val="0"/>
      </c:catAx>
      <c:valAx>
        <c:axId val="342731008"/>
        <c:scaling>
          <c:orientation val="minMax"/>
        </c:scaling>
        <c:delete val="0"/>
        <c:axPos val="l"/>
        <c:title>
          <c:tx>
            <c:rich>
              <a:bodyPr rot="-5400000" vert="horz"/>
              <a:lstStyle/>
              <a:p>
                <a:pPr>
                  <a:defRPr/>
                </a:pPr>
                <a:r>
                  <a:rPr lang="en-US"/>
                  <a:t>Hardness Mg/L</a:t>
                </a:r>
              </a:p>
            </c:rich>
          </c:tx>
          <c:layout>
            <c:manualLayout>
              <c:xMode val="edge"/>
              <c:yMode val="edge"/>
              <c:x val="3.222574926825246E-2"/>
              <c:y val="0.16026666736962533"/>
            </c:manualLayout>
          </c:layout>
          <c:overlay val="0"/>
        </c:title>
        <c:numFmt formatCode="General" sourceLinked="1"/>
        <c:majorTickMark val="none"/>
        <c:minorTickMark val="none"/>
        <c:tickLblPos val="nextTo"/>
        <c:txPr>
          <a:bodyPr rot="-60000000" vert="horz"/>
          <a:lstStyle/>
          <a:p>
            <a:pPr>
              <a:defRPr/>
            </a:pPr>
            <a:endParaRPr lang="en-US"/>
          </a:p>
        </c:txPr>
        <c:crossAx val="342729088"/>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23282314429797399"/>
          <c:y val="0.10167527446166004"/>
          <c:w val="0.76611635630854202"/>
          <c:h val="0.50835567340754129"/>
        </c:manualLayout>
      </c:layout>
      <c:bar3DChart>
        <c:barDir val="col"/>
        <c:grouping val="clustered"/>
        <c:varyColors val="0"/>
        <c:ser>
          <c:idx val="0"/>
          <c:order val="0"/>
          <c:tx>
            <c:strRef>
              <c:f>Sheet2!$D$74:$D$75</c:f>
              <c:strCache>
                <c:ptCount val="2"/>
                <c:pt idx="0">
                  <c:v>pH</c:v>
                </c:pt>
                <c:pt idx="1">
                  <c:v>Mula River</c:v>
                </c:pt>
              </c:strCache>
            </c:strRef>
          </c:tx>
          <c:invertIfNegative val="0"/>
          <c:cat>
            <c:strRef>
              <c:f>Sheet2!$C$76:$C$79</c:f>
              <c:strCache>
                <c:ptCount val="4"/>
                <c:pt idx="0">
                  <c:v>January</c:v>
                </c:pt>
                <c:pt idx="1">
                  <c:v>February</c:v>
                </c:pt>
                <c:pt idx="2">
                  <c:v>March</c:v>
                </c:pt>
                <c:pt idx="3">
                  <c:v>April</c:v>
                </c:pt>
              </c:strCache>
            </c:strRef>
          </c:cat>
          <c:val>
            <c:numRef>
              <c:f>Sheet2!$D$76:$D$79</c:f>
              <c:numCache>
                <c:formatCode>General</c:formatCode>
                <c:ptCount val="4"/>
                <c:pt idx="0">
                  <c:v>7.2</c:v>
                </c:pt>
                <c:pt idx="1">
                  <c:v>7.4</c:v>
                </c:pt>
                <c:pt idx="2">
                  <c:v>6.8</c:v>
                </c:pt>
                <c:pt idx="3">
                  <c:v>6.4</c:v>
                </c:pt>
              </c:numCache>
            </c:numRef>
          </c:val>
        </c:ser>
        <c:ser>
          <c:idx val="1"/>
          <c:order val="1"/>
          <c:tx>
            <c:strRef>
              <c:f>Sheet2!$E$74:$E$75</c:f>
              <c:strCache>
                <c:ptCount val="2"/>
                <c:pt idx="0">
                  <c:v>pH</c:v>
                </c:pt>
                <c:pt idx="1">
                  <c:v>Kurkundi River</c:v>
                </c:pt>
              </c:strCache>
            </c:strRef>
          </c:tx>
          <c:invertIfNegative val="0"/>
          <c:cat>
            <c:strRef>
              <c:f>Sheet2!$C$76:$C$79</c:f>
              <c:strCache>
                <c:ptCount val="4"/>
                <c:pt idx="0">
                  <c:v>January</c:v>
                </c:pt>
                <c:pt idx="1">
                  <c:v>February</c:v>
                </c:pt>
                <c:pt idx="2">
                  <c:v>March</c:v>
                </c:pt>
                <c:pt idx="3">
                  <c:v>April</c:v>
                </c:pt>
              </c:strCache>
            </c:strRef>
          </c:cat>
          <c:val>
            <c:numRef>
              <c:f>Sheet2!$E$76:$E$79</c:f>
              <c:numCache>
                <c:formatCode>General</c:formatCode>
                <c:ptCount val="4"/>
                <c:pt idx="0">
                  <c:v>7.1</c:v>
                </c:pt>
                <c:pt idx="1">
                  <c:v>7</c:v>
                </c:pt>
                <c:pt idx="2">
                  <c:v>6.9</c:v>
                </c:pt>
                <c:pt idx="3">
                  <c:v>7.3</c:v>
                </c:pt>
              </c:numCache>
            </c:numRef>
          </c:val>
        </c:ser>
        <c:dLbls>
          <c:showLegendKey val="0"/>
          <c:showVal val="0"/>
          <c:showCatName val="0"/>
          <c:showSerName val="0"/>
          <c:showPercent val="0"/>
          <c:showBubbleSize val="0"/>
        </c:dLbls>
        <c:gapWidth val="150"/>
        <c:shape val="box"/>
        <c:axId val="346262528"/>
        <c:axId val="346268800"/>
        <c:axId val="0"/>
      </c:bar3DChart>
      <c:catAx>
        <c:axId val="346262528"/>
        <c:scaling>
          <c:orientation val="minMax"/>
        </c:scaling>
        <c:delete val="0"/>
        <c:axPos val="b"/>
        <c:title>
          <c:tx>
            <c:rich>
              <a:bodyPr rot="0" vert="horz"/>
              <a:lstStyle/>
              <a:p>
                <a:pPr>
                  <a:defRPr/>
                </a:pPr>
                <a:r>
                  <a:rPr lang="en-US"/>
                  <a:t>Months </a:t>
                </a:r>
              </a:p>
            </c:rich>
          </c:tx>
          <c:overlay val="0"/>
        </c:title>
        <c:numFmt formatCode="General" sourceLinked="1"/>
        <c:majorTickMark val="none"/>
        <c:minorTickMark val="none"/>
        <c:tickLblPos val="nextTo"/>
        <c:txPr>
          <a:bodyPr rot="-60000000" vert="horz"/>
          <a:lstStyle/>
          <a:p>
            <a:pPr>
              <a:defRPr/>
            </a:pPr>
            <a:endParaRPr lang="en-US"/>
          </a:p>
        </c:txPr>
        <c:crossAx val="346268800"/>
        <c:crosses val="autoZero"/>
        <c:auto val="1"/>
        <c:lblAlgn val="ctr"/>
        <c:lblOffset val="100"/>
        <c:noMultiLvlLbl val="0"/>
      </c:catAx>
      <c:valAx>
        <c:axId val="346268800"/>
        <c:scaling>
          <c:orientation val="minMax"/>
        </c:scaling>
        <c:delete val="0"/>
        <c:axPos val="l"/>
        <c:title>
          <c:tx>
            <c:rich>
              <a:bodyPr rot="-5400000" vert="horz"/>
              <a:lstStyle/>
              <a:p>
                <a:pPr>
                  <a:defRPr/>
                </a:pPr>
                <a:r>
                  <a:rPr lang="en-US"/>
                  <a:t>pH</a:t>
                </a:r>
              </a:p>
            </c:rich>
          </c:tx>
          <c:layout>
            <c:manualLayout>
              <c:xMode val="edge"/>
              <c:yMode val="edge"/>
              <c:x val="6.7151546814941968E-2"/>
              <c:y val="0.34679622766992457"/>
            </c:manualLayout>
          </c:layout>
          <c:overlay val="0"/>
        </c:title>
        <c:numFmt formatCode="General" sourceLinked="1"/>
        <c:majorTickMark val="none"/>
        <c:minorTickMark val="none"/>
        <c:tickLblPos val="nextTo"/>
        <c:txPr>
          <a:bodyPr rot="-60000000" vert="horz"/>
          <a:lstStyle/>
          <a:p>
            <a:pPr>
              <a:defRPr/>
            </a:pPr>
            <a:endParaRPr lang="en-US"/>
          </a:p>
        </c:txPr>
        <c:crossAx val="346262528"/>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20923161778690708"/>
          <c:y val="7.3781260555741371E-2"/>
          <c:w val="0.73640648179847079"/>
          <c:h val="0.56189640035118527"/>
        </c:manualLayout>
      </c:layout>
      <c:bar3DChart>
        <c:barDir val="col"/>
        <c:grouping val="clustered"/>
        <c:varyColors val="0"/>
        <c:ser>
          <c:idx val="0"/>
          <c:order val="0"/>
          <c:tx>
            <c:strRef>
              <c:f>Sheet2!$D$84:$D$85</c:f>
              <c:strCache>
                <c:ptCount val="2"/>
                <c:pt idx="0">
                  <c:v>Temperature</c:v>
                </c:pt>
                <c:pt idx="1">
                  <c:v>Mula River</c:v>
                </c:pt>
              </c:strCache>
            </c:strRef>
          </c:tx>
          <c:invertIfNegative val="0"/>
          <c:cat>
            <c:strRef>
              <c:f>Sheet2!$C$86:$C$89</c:f>
              <c:strCache>
                <c:ptCount val="4"/>
                <c:pt idx="0">
                  <c:v>January</c:v>
                </c:pt>
                <c:pt idx="1">
                  <c:v>February</c:v>
                </c:pt>
                <c:pt idx="2">
                  <c:v>March</c:v>
                </c:pt>
                <c:pt idx="3">
                  <c:v>April</c:v>
                </c:pt>
              </c:strCache>
            </c:strRef>
          </c:cat>
          <c:val>
            <c:numRef>
              <c:f>Sheet2!$D$86:$D$89</c:f>
              <c:numCache>
                <c:formatCode>General</c:formatCode>
                <c:ptCount val="4"/>
                <c:pt idx="0">
                  <c:v>23</c:v>
                </c:pt>
                <c:pt idx="1">
                  <c:v>25</c:v>
                </c:pt>
                <c:pt idx="2">
                  <c:v>27</c:v>
                </c:pt>
                <c:pt idx="3">
                  <c:v>27</c:v>
                </c:pt>
              </c:numCache>
            </c:numRef>
          </c:val>
        </c:ser>
        <c:ser>
          <c:idx val="1"/>
          <c:order val="1"/>
          <c:tx>
            <c:strRef>
              <c:f>Sheet2!$E$84:$E$85</c:f>
              <c:strCache>
                <c:ptCount val="2"/>
                <c:pt idx="0">
                  <c:v>Temperature</c:v>
                </c:pt>
                <c:pt idx="1">
                  <c:v>Kurkundi River</c:v>
                </c:pt>
              </c:strCache>
            </c:strRef>
          </c:tx>
          <c:invertIfNegative val="0"/>
          <c:cat>
            <c:strRef>
              <c:f>Sheet2!$C$86:$C$89</c:f>
              <c:strCache>
                <c:ptCount val="4"/>
                <c:pt idx="0">
                  <c:v>January</c:v>
                </c:pt>
                <c:pt idx="1">
                  <c:v>February</c:v>
                </c:pt>
                <c:pt idx="2">
                  <c:v>March</c:v>
                </c:pt>
                <c:pt idx="3">
                  <c:v>April</c:v>
                </c:pt>
              </c:strCache>
            </c:strRef>
          </c:cat>
          <c:val>
            <c:numRef>
              <c:f>Sheet2!$E$86:$E$89</c:f>
              <c:numCache>
                <c:formatCode>General</c:formatCode>
                <c:ptCount val="4"/>
                <c:pt idx="0">
                  <c:v>25</c:v>
                </c:pt>
                <c:pt idx="1">
                  <c:v>25</c:v>
                </c:pt>
                <c:pt idx="2">
                  <c:v>26</c:v>
                </c:pt>
                <c:pt idx="3">
                  <c:v>27</c:v>
                </c:pt>
              </c:numCache>
            </c:numRef>
          </c:val>
        </c:ser>
        <c:dLbls>
          <c:showLegendKey val="0"/>
          <c:showVal val="0"/>
          <c:showCatName val="0"/>
          <c:showSerName val="0"/>
          <c:showPercent val="0"/>
          <c:showBubbleSize val="0"/>
        </c:dLbls>
        <c:gapWidth val="150"/>
        <c:shape val="box"/>
        <c:axId val="346331008"/>
        <c:axId val="346337280"/>
        <c:axId val="0"/>
      </c:bar3DChart>
      <c:catAx>
        <c:axId val="346331008"/>
        <c:scaling>
          <c:orientation val="minMax"/>
        </c:scaling>
        <c:delete val="0"/>
        <c:axPos val="b"/>
        <c:title>
          <c:tx>
            <c:rich>
              <a:bodyPr rot="0" vert="horz"/>
              <a:lstStyle/>
              <a:p>
                <a:pPr>
                  <a:defRPr/>
                </a:pPr>
                <a:r>
                  <a:rPr lang="en-US"/>
                  <a:t>Months</a:t>
                </a:r>
              </a:p>
            </c:rich>
          </c:tx>
          <c:layout>
            <c:manualLayout>
              <c:xMode val="edge"/>
              <c:yMode val="edge"/>
              <c:x val="0.40944311308912473"/>
              <c:y val="0.83453155312107719"/>
            </c:manualLayout>
          </c:layout>
          <c:overlay val="0"/>
        </c:title>
        <c:numFmt formatCode="General" sourceLinked="1"/>
        <c:majorTickMark val="none"/>
        <c:minorTickMark val="none"/>
        <c:tickLblPos val="nextTo"/>
        <c:txPr>
          <a:bodyPr rot="-60000000" vert="horz"/>
          <a:lstStyle/>
          <a:p>
            <a:pPr>
              <a:defRPr/>
            </a:pPr>
            <a:endParaRPr lang="en-US"/>
          </a:p>
        </c:txPr>
        <c:crossAx val="346337280"/>
        <c:crosses val="autoZero"/>
        <c:auto val="1"/>
        <c:lblAlgn val="ctr"/>
        <c:lblOffset val="100"/>
        <c:noMultiLvlLbl val="0"/>
      </c:catAx>
      <c:valAx>
        <c:axId val="346337280"/>
        <c:scaling>
          <c:orientation val="minMax"/>
        </c:scaling>
        <c:delete val="0"/>
        <c:axPos val="l"/>
        <c:title>
          <c:tx>
            <c:rich>
              <a:bodyPr rot="-5400000" vert="horz"/>
              <a:lstStyle/>
              <a:p>
                <a:pPr>
                  <a:defRPr/>
                </a:pPr>
                <a:r>
                  <a:rPr lang="en-US"/>
                  <a:t>Temperature ⁰C </a:t>
                </a:r>
              </a:p>
            </c:rich>
          </c:tx>
          <c:layout>
            <c:manualLayout>
              <c:xMode val="edge"/>
              <c:yMode val="edge"/>
              <c:x val="4.2971640740029446E-2"/>
              <c:y val="0.20523514975770035"/>
            </c:manualLayout>
          </c:layout>
          <c:overlay val="0"/>
        </c:title>
        <c:numFmt formatCode="General" sourceLinked="1"/>
        <c:majorTickMark val="none"/>
        <c:minorTickMark val="none"/>
        <c:tickLblPos val="nextTo"/>
        <c:txPr>
          <a:bodyPr rot="-60000000" vert="horz"/>
          <a:lstStyle/>
          <a:p>
            <a:pPr>
              <a:defRPr/>
            </a:pPr>
            <a:endParaRPr lang="en-US"/>
          </a:p>
        </c:txPr>
        <c:crossAx val="34633100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floor>
    <c:sideWall>
      <c:thickness val="0"/>
    </c:sideWall>
    <c:backWall>
      <c:thickness val="0"/>
    </c:backWall>
    <c:plotArea>
      <c:layout>
        <c:manualLayout>
          <c:layoutTarget val="inner"/>
          <c:xMode val="edge"/>
          <c:yMode val="edge"/>
          <c:x val="0.23410886139232595"/>
          <c:y val="7.2599849552440768E-2"/>
          <c:w val="0.70959946787473482"/>
          <c:h val="0.54586075291313219"/>
        </c:manualLayout>
      </c:layout>
      <c:bar3DChart>
        <c:barDir val="col"/>
        <c:grouping val="clustered"/>
        <c:varyColors val="0"/>
        <c:ser>
          <c:idx val="0"/>
          <c:order val="0"/>
          <c:tx>
            <c:strRef>
              <c:f>Sheet2!$D$98:$D$99</c:f>
              <c:strCache>
                <c:ptCount val="2"/>
                <c:pt idx="0">
                  <c:v>TDS</c:v>
                </c:pt>
                <c:pt idx="1">
                  <c:v>Mula River</c:v>
                </c:pt>
              </c:strCache>
            </c:strRef>
          </c:tx>
          <c:invertIfNegative val="0"/>
          <c:cat>
            <c:strRef>
              <c:f>Sheet2!$C$100:$C$103</c:f>
              <c:strCache>
                <c:ptCount val="4"/>
                <c:pt idx="0">
                  <c:v>January</c:v>
                </c:pt>
                <c:pt idx="1">
                  <c:v>February</c:v>
                </c:pt>
                <c:pt idx="2">
                  <c:v>March</c:v>
                </c:pt>
                <c:pt idx="3">
                  <c:v>April</c:v>
                </c:pt>
              </c:strCache>
            </c:strRef>
          </c:cat>
          <c:val>
            <c:numRef>
              <c:f>Sheet2!$D$100:$D$103</c:f>
              <c:numCache>
                <c:formatCode>General</c:formatCode>
                <c:ptCount val="4"/>
                <c:pt idx="0">
                  <c:v>290</c:v>
                </c:pt>
                <c:pt idx="1">
                  <c:v>304</c:v>
                </c:pt>
                <c:pt idx="2">
                  <c:v>284</c:v>
                </c:pt>
                <c:pt idx="3">
                  <c:v>300</c:v>
                </c:pt>
              </c:numCache>
            </c:numRef>
          </c:val>
        </c:ser>
        <c:ser>
          <c:idx val="1"/>
          <c:order val="1"/>
          <c:tx>
            <c:strRef>
              <c:f>Sheet2!$E$98:$E$99</c:f>
              <c:strCache>
                <c:ptCount val="2"/>
                <c:pt idx="0">
                  <c:v>TDS</c:v>
                </c:pt>
                <c:pt idx="1">
                  <c:v>Kurkundi River</c:v>
                </c:pt>
              </c:strCache>
            </c:strRef>
          </c:tx>
          <c:invertIfNegative val="0"/>
          <c:cat>
            <c:strRef>
              <c:f>Sheet2!$C$100:$C$103</c:f>
              <c:strCache>
                <c:ptCount val="4"/>
                <c:pt idx="0">
                  <c:v>January</c:v>
                </c:pt>
                <c:pt idx="1">
                  <c:v>February</c:v>
                </c:pt>
                <c:pt idx="2">
                  <c:v>March</c:v>
                </c:pt>
                <c:pt idx="3">
                  <c:v>April</c:v>
                </c:pt>
              </c:strCache>
            </c:strRef>
          </c:cat>
          <c:val>
            <c:numRef>
              <c:f>Sheet2!$E$100:$E$103</c:f>
              <c:numCache>
                <c:formatCode>General</c:formatCode>
                <c:ptCount val="4"/>
                <c:pt idx="0">
                  <c:v>310</c:v>
                </c:pt>
                <c:pt idx="1">
                  <c:v>270</c:v>
                </c:pt>
                <c:pt idx="2">
                  <c:v>282</c:v>
                </c:pt>
                <c:pt idx="3">
                  <c:v>265</c:v>
                </c:pt>
              </c:numCache>
            </c:numRef>
          </c:val>
        </c:ser>
        <c:dLbls>
          <c:showLegendKey val="0"/>
          <c:showVal val="0"/>
          <c:showCatName val="0"/>
          <c:showSerName val="0"/>
          <c:showPercent val="0"/>
          <c:showBubbleSize val="0"/>
        </c:dLbls>
        <c:gapWidth val="150"/>
        <c:shape val="box"/>
        <c:axId val="346804992"/>
        <c:axId val="346806912"/>
        <c:axId val="0"/>
      </c:bar3DChart>
      <c:catAx>
        <c:axId val="346804992"/>
        <c:scaling>
          <c:orientation val="minMax"/>
        </c:scaling>
        <c:delete val="0"/>
        <c:axPos val="b"/>
        <c:title>
          <c:tx>
            <c:rich>
              <a:bodyPr rot="0" vert="horz"/>
              <a:lstStyle/>
              <a:p>
                <a:pPr>
                  <a:defRPr/>
                </a:pPr>
                <a:r>
                  <a:rPr lang="en-US"/>
                  <a:t>Months</a:t>
                </a:r>
              </a:p>
            </c:rich>
          </c:tx>
          <c:layout>
            <c:manualLayout>
              <c:xMode val="edge"/>
              <c:yMode val="edge"/>
              <c:x val="0.41489986696868369"/>
              <c:y val="0.84952895380831028"/>
            </c:manualLayout>
          </c:layout>
          <c:overlay val="0"/>
        </c:title>
        <c:numFmt formatCode="General" sourceLinked="1"/>
        <c:majorTickMark val="none"/>
        <c:minorTickMark val="none"/>
        <c:tickLblPos val="nextTo"/>
        <c:txPr>
          <a:bodyPr rot="-60000000" vert="horz"/>
          <a:lstStyle/>
          <a:p>
            <a:pPr>
              <a:defRPr/>
            </a:pPr>
            <a:endParaRPr lang="en-US"/>
          </a:p>
        </c:txPr>
        <c:crossAx val="346806912"/>
        <c:crosses val="autoZero"/>
        <c:auto val="1"/>
        <c:lblAlgn val="ctr"/>
        <c:lblOffset val="100"/>
        <c:noMultiLvlLbl val="0"/>
      </c:catAx>
      <c:valAx>
        <c:axId val="346806912"/>
        <c:scaling>
          <c:orientation val="minMax"/>
        </c:scaling>
        <c:delete val="0"/>
        <c:axPos val="l"/>
        <c:title>
          <c:tx>
            <c:rich>
              <a:bodyPr rot="-5400000" vert="horz"/>
              <a:lstStyle/>
              <a:p>
                <a:pPr>
                  <a:defRPr/>
                </a:pPr>
                <a:r>
                  <a:rPr lang="en-US"/>
                  <a:t>TDS</a:t>
                </a:r>
              </a:p>
            </c:rich>
          </c:tx>
          <c:layout>
            <c:manualLayout>
              <c:xMode val="edge"/>
              <c:yMode val="edge"/>
              <c:x val="5.0834270716160479E-2"/>
              <c:y val="0.32369593569034505"/>
            </c:manualLayout>
          </c:layout>
          <c:overlay val="0"/>
        </c:title>
        <c:numFmt formatCode="General" sourceLinked="1"/>
        <c:majorTickMark val="none"/>
        <c:minorTickMark val="none"/>
        <c:tickLblPos val="nextTo"/>
        <c:txPr>
          <a:bodyPr rot="-60000000" vert="horz"/>
          <a:lstStyle/>
          <a:p>
            <a:pPr>
              <a:defRPr/>
            </a:pPr>
            <a:endParaRPr lang="en-US"/>
          </a:p>
        </c:txPr>
        <c:crossAx val="346804992"/>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82A94-0110-4291-B4BC-D1F114EA5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1610</Words>
  <Characters>9178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Ranjit Raut</cp:lastModifiedBy>
  <cp:revision>2</cp:revision>
  <cp:lastPrinted>2021-02-22T14:39:00Z</cp:lastPrinted>
  <dcterms:created xsi:type="dcterms:W3CDTF">2024-12-22T17:24:00Z</dcterms:created>
  <dcterms:modified xsi:type="dcterms:W3CDTF">2024-12-22T17:24:00Z</dcterms:modified>
</cp:coreProperties>
</file>