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0FC59" w14:textId="68202C55" w:rsidR="00FA4CC9" w:rsidRDefault="00000000" w:rsidP="00881ACB">
      <w:pPr>
        <w:jc w:val="center"/>
        <w:rPr>
          <w:b/>
          <w:bCs/>
          <w:sz w:val="32"/>
          <w:szCs w:val="32"/>
        </w:rPr>
      </w:pPr>
      <w:r w:rsidRPr="00FA4CC9">
        <w:rPr>
          <w:b/>
          <w:bCs/>
          <w:sz w:val="32"/>
          <w:szCs w:val="32"/>
        </w:rPr>
        <w:t xml:space="preserve">A STUDY ON ANALYZING THE ROLE OF RISK MANAGEMENT IN ENHANCING CUSTOMER TRUST </w:t>
      </w:r>
      <w:r w:rsidR="00881ACB">
        <w:rPr>
          <w:b/>
          <w:bCs/>
          <w:sz w:val="32"/>
          <w:szCs w:val="32"/>
        </w:rPr>
        <w:t>IN</w:t>
      </w:r>
      <w:r w:rsidRPr="00FA4CC9">
        <w:rPr>
          <w:b/>
          <w:bCs/>
          <w:sz w:val="32"/>
          <w:szCs w:val="32"/>
        </w:rPr>
        <w:t xml:space="preserve"> THE </w:t>
      </w:r>
      <w:r w:rsidR="0037076A">
        <w:rPr>
          <w:b/>
          <w:bCs/>
          <w:sz w:val="32"/>
          <w:szCs w:val="32"/>
        </w:rPr>
        <w:t>PUBLIC SECTOR BANKS</w:t>
      </w:r>
    </w:p>
    <w:p w14:paraId="17F1B1F0" w14:textId="66ECD9EC" w:rsidR="00881ACB" w:rsidRPr="00434C81" w:rsidRDefault="00881ACB" w:rsidP="00434C81">
      <w:pPr>
        <w:spacing w:after="0" w:line="360" w:lineRule="auto"/>
        <w:jc w:val="center"/>
        <w:rPr>
          <w:b/>
          <w:bCs/>
        </w:rPr>
      </w:pPr>
      <w:r w:rsidRPr="00434C81">
        <w:rPr>
          <w:b/>
          <w:bCs/>
        </w:rPr>
        <w:t xml:space="preserve">Ms. Raeesa </w:t>
      </w:r>
      <w:proofErr w:type="spellStart"/>
      <w:r w:rsidRPr="00434C81">
        <w:rPr>
          <w:b/>
          <w:bCs/>
        </w:rPr>
        <w:t>Thabassum</w:t>
      </w:r>
      <w:proofErr w:type="spellEnd"/>
      <w:r w:rsidRPr="00434C81">
        <w:rPr>
          <w:b/>
          <w:bCs/>
        </w:rPr>
        <w:t xml:space="preserve"> G. J.</w:t>
      </w:r>
      <w:r w:rsidRPr="00434C81">
        <w:rPr>
          <w:b/>
          <w:bCs/>
          <w:vertAlign w:val="superscript"/>
        </w:rPr>
        <w:t>1</w:t>
      </w:r>
      <w:r w:rsidRPr="00434C81">
        <w:rPr>
          <w:b/>
          <w:bCs/>
        </w:rPr>
        <w:t xml:space="preserve">, </w:t>
      </w:r>
      <w:proofErr w:type="spellStart"/>
      <w:r w:rsidRPr="00434C81">
        <w:rPr>
          <w:b/>
          <w:bCs/>
        </w:rPr>
        <w:t>Dr.</w:t>
      </w:r>
      <w:proofErr w:type="spellEnd"/>
      <w:r w:rsidRPr="00434C81">
        <w:rPr>
          <w:b/>
          <w:bCs/>
        </w:rPr>
        <w:t xml:space="preserve"> Riaz Ahmed</w:t>
      </w:r>
      <w:r w:rsidRPr="00434C81">
        <w:rPr>
          <w:b/>
          <w:bCs/>
          <w:vertAlign w:val="superscript"/>
        </w:rPr>
        <w:t>2</w:t>
      </w:r>
    </w:p>
    <w:p w14:paraId="67E3252D" w14:textId="237FBA4D" w:rsidR="00881ACB" w:rsidRPr="00434C81" w:rsidRDefault="00881ACB" w:rsidP="00434C81">
      <w:pPr>
        <w:spacing w:after="0" w:line="360" w:lineRule="auto"/>
        <w:jc w:val="center"/>
        <w:rPr>
          <w:b/>
          <w:bCs/>
        </w:rPr>
      </w:pPr>
      <w:r w:rsidRPr="00434C81">
        <w:rPr>
          <w:b/>
          <w:bCs/>
        </w:rPr>
        <w:t>Final Year MBA Student, MEASI Institute of Management, Chennai-14, Tamil Nadu, India.</w:t>
      </w:r>
    </w:p>
    <w:p w14:paraId="42FF0D95" w14:textId="77777777" w:rsidR="00881ACB" w:rsidRPr="00434C81" w:rsidRDefault="00881ACB" w:rsidP="00434C81">
      <w:pPr>
        <w:spacing w:after="0" w:line="360" w:lineRule="auto"/>
        <w:jc w:val="center"/>
        <w:rPr>
          <w:b/>
          <w:bCs/>
        </w:rPr>
      </w:pPr>
      <w:hyperlink r:id="rId8" w:history="1">
        <w:r w:rsidRPr="00434C81">
          <w:rPr>
            <w:rStyle w:val="Hyperlink"/>
            <w:b/>
            <w:bCs/>
          </w:rPr>
          <w:t>raeesathabassum@gmail.com</w:t>
        </w:r>
      </w:hyperlink>
      <w:r w:rsidRPr="00434C81">
        <w:rPr>
          <w:b/>
          <w:bCs/>
        </w:rPr>
        <w:t>, 8072111360</w:t>
      </w:r>
    </w:p>
    <w:p w14:paraId="0C24CBE5" w14:textId="181399C6" w:rsidR="00881ACB" w:rsidRPr="00434C81" w:rsidRDefault="00881ACB" w:rsidP="00434C81">
      <w:pPr>
        <w:spacing w:after="0" w:line="360" w:lineRule="auto"/>
        <w:jc w:val="center"/>
        <w:rPr>
          <w:b/>
          <w:bCs/>
        </w:rPr>
      </w:pPr>
      <w:r w:rsidRPr="00434C81">
        <w:rPr>
          <w:b/>
          <w:bCs/>
        </w:rPr>
        <w:t xml:space="preserve">Assistant Professor, </w:t>
      </w:r>
      <w:r w:rsidRPr="00434C81">
        <w:rPr>
          <w:b/>
          <w:bCs/>
        </w:rPr>
        <w:t>MEASI Institute of Management, Chennai-14, Tamil Nadu, India.</w:t>
      </w:r>
    </w:p>
    <w:p w14:paraId="0119DBA8" w14:textId="051D559F" w:rsidR="00881ACB" w:rsidRPr="00434C81" w:rsidRDefault="00434C81" w:rsidP="00434C81">
      <w:pPr>
        <w:spacing w:after="0" w:line="360" w:lineRule="auto"/>
        <w:jc w:val="center"/>
        <w:rPr>
          <w:b/>
          <w:bCs/>
        </w:rPr>
      </w:pPr>
      <w:hyperlink r:id="rId9" w:history="1">
        <w:r w:rsidRPr="00434C81">
          <w:rPr>
            <w:rStyle w:val="Hyperlink"/>
            <w:b/>
            <w:bCs/>
          </w:rPr>
          <w:t>riaz.ahmed@measiim.edu.in</w:t>
        </w:r>
      </w:hyperlink>
      <w:r w:rsidRPr="00434C81">
        <w:rPr>
          <w:b/>
          <w:bCs/>
        </w:rPr>
        <w:t>, 9940169525</w:t>
      </w:r>
    </w:p>
    <w:p w14:paraId="0D20568F" w14:textId="17CE92F5" w:rsidR="0037076A" w:rsidRPr="0037076A" w:rsidRDefault="0037076A" w:rsidP="00434C81">
      <w:pPr>
        <w:spacing w:line="276" w:lineRule="auto"/>
        <w:rPr>
          <w:sz w:val="32"/>
          <w:szCs w:val="32"/>
        </w:rPr>
      </w:pPr>
      <w:r w:rsidRPr="0037076A">
        <w:rPr>
          <w:sz w:val="32"/>
          <w:szCs w:val="32"/>
        </w:rPr>
        <w:t>________________________________________________________</w:t>
      </w:r>
    </w:p>
    <w:p w14:paraId="3FADDBF1" w14:textId="77777777" w:rsidR="00FA4CC9" w:rsidRPr="0037076A" w:rsidRDefault="00000000" w:rsidP="0037076A">
      <w:pPr>
        <w:spacing w:after="0"/>
        <w:jc w:val="center"/>
        <w:rPr>
          <w:b/>
          <w:bCs/>
          <w:sz w:val="32"/>
          <w:szCs w:val="32"/>
        </w:rPr>
      </w:pPr>
      <w:r w:rsidRPr="0037076A">
        <w:rPr>
          <w:b/>
          <w:bCs/>
          <w:sz w:val="32"/>
          <w:szCs w:val="32"/>
        </w:rPr>
        <w:t>ABSTRACT</w:t>
      </w:r>
    </w:p>
    <w:p w14:paraId="636903F8" w14:textId="2C5098B6" w:rsidR="00D749F5" w:rsidRDefault="000E2E47" w:rsidP="0037076A">
      <w:pPr>
        <w:spacing w:after="0"/>
        <w:jc w:val="both"/>
      </w:pPr>
      <w:r>
        <w:t>This study examines the impact of risk management strategies on customer trust in banking institutions, with a particular emphasis on demographic factors. The research investigates how the implementation of robust risk management measures influences customers’ perceptions of trust and confidence in financial institutions. Using a survey methodology, the study gathered responses from a diverse sample of customers to analyze their views on the importance of risk management in banking.</w:t>
      </w:r>
      <w:r w:rsidR="00D749F5">
        <w:t xml:space="preserve"> </w:t>
      </w:r>
      <w:r>
        <w:t>The findings reveal that 70% of respondents perceive a strong risk management strategy as "very important" in fostering trust. Additionally, demographic insights indicate that 30% of the participants earn less than 25,000 monthly, and 46.7% possess postgraduate degrees, highlighting a varied customer base in terms of income and education levels. This paper provides valuable insights for banking professionals and policymakers seeking to optimize risk management practices and build a trust-centric banking environment. Further research is encouraged to explore the interplay between specific risk management strategies and customer trust across different demographic profiles.</w:t>
      </w:r>
    </w:p>
    <w:p w14:paraId="5C838852" w14:textId="1057AB7D" w:rsidR="001A5475" w:rsidRDefault="00000000" w:rsidP="001A5475">
      <w:pPr>
        <w:jc w:val="both"/>
      </w:pPr>
      <w:r w:rsidRPr="001A5475">
        <w:rPr>
          <w:b/>
          <w:bCs/>
        </w:rPr>
        <w:t>Key Words:</w:t>
      </w:r>
      <w:r>
        <w:t xml:space="preserve"> Risk Management, Customer Trust, Financial stability, Trustworthiness. Customer confidence, Customer loyalty, Mitigation strategies.</w:t>
      </w:r>
    </w:p>
    <w:p w14:paraId="1A59DA9B" w14:textId="6B53B73A" w:rsidR="0037076A" w:rsidRPr="0037076A" w:rsidRDefault="0037076A" w:rsidP="001A5475">
      <w:pPr>
        <w:jc w:val="both"/>
        <w:rPr>
          <w:sz w:val="24"/>
          <w:szCs w:val="24"/>
        </w:rPr>
      </w:pPr>
      <w:r w:rsidRPr="0037076A">
        <w:rPr>
          <w:sz w:val="24"/>
          <w:szCs w:val="24"/>
        </w:rPr>
        <w:t>___________________________________________________________________________</w:t>
      </w:r>
    </w:p>
    <w:p w14:paraId="3D11A75A" w14:textId="5F79E057" w:rsidR="001A5475" w:rsidRPr="0037076A" w:rsidRDefault="0037076A" w:rsidP="001A5475">
      <w:pPr>
        <w:jc w:val="both"/>
        <w:rPr>
          <w:b/>
          <w:bCs/>
          <w:sz w:val="28"/>
          <w:szCs w:val="28"/>
        </w:rPr>
      </w:pPr>
      <w:r w:rsidRPr="0037076A">
        <w:rPr>
          <w:b/>
          <w:bCs/>
          <w:sz w:val="28"/>
          <w:szCs w:val="28"/>
        </w:rPr>
        <w:t xml:space="preserve">1. </w:t>
      </w:r>
      <w:r w:rsidR="00000000" w:rsidRPr="0037076A">
        <w:rPr>
          <w:b/>
          <w:bCs/>
          <w:sz w:val="28"/>
          <w:szCs w:val="28"/>
        </w:rPr>
        <w:t>INTRODUCTION</w:t>
      </w:r>
    </w:p>
    <w:p w14:paraId="2299A8C5" w14:textId="1D99A950" w:rsidR="001A5475" w:rsidRDefault="00000000" w:rsidP="001A5475">
      <w:pPr>
        <w:jc w:val="both"/>
      </w:pPr>
      <w:r>
        <w:t>Risk management is a systematic process that organizations and individuals use to identify, assess, and mitigate potential risks that could adversely affect their objectives. It encompasses a wide range of activities aimed at minimizing the impact of uncertainties on financial performance, operational efficiency, and overall strategic goals. At its core, risk management involves several key steps: identifying risks, analyzing their potential impact, evaluating the organization's risk tolerance, and implementing strategies to manage those risks effectively.</w:t>
      </w:r>
      <w:r w:rsidR="0037076A">
        <w:t xml:space="preserve"> </w:t>
      </w:r>
      <w:r>
        <w:t>In today's competitive financial landscape, customer trust is paramount for the success and sustainability of banks. A bank's ability to effectively manage and mitigate risks is a cornerstone of building and maintaining this trust. Furthermore, the study will examine the potential impact of risk management failures on customer trust and explore the strategies that banks can adopt to mitigate the negative consequences of such events.</w:t>
      </w:r>
    </w:p>
    <w:p w14:paraId="7BEC5AD0" w14:textId="02FCD5B4" w:rsidR="001A5475" w:rsidRPr="0037076A" w:rsidRDefault="0037076A" w:rsidP="0037076A">
      <w:pPr>
        <w:jc w:val="both"/>
        <w:rPr>
          <w:b/>
          <w:bCs/>
          <w:sz w:val="28"/>
          <w:szCs w:val="28"/>
        </w:rPr>
      </w:pPr>
      <w:r w:rsidRPr="0037076A">
        <w:rPr>
          <w:b/>
          <w:bCs/>
          <w:sz w:val="28"/>
          <w:szCs w:val="28"/>
        </w:rPr>
        <w:t xml:space="preserve">2. </w:t>
      </w:r>
      <w:r w:rsidR="00000000" w:rsidRPr="0037076A">
        <w:rPr>
          <w:b/>
          <w:bCs/>
          <w:sz w:val="28"/>
          <w:szCs w:val="28"/>
        </w:rPr>
        <w:t xml:space="preserve">OBJECTIVES OF THE STUDY </w:t>
      </w:r>
    </w:p>
    <w:p w14:paraId="7B2C080C" w14:textId="4414A5EE" w:rsidR="001A5475" w:rsidRDefault="00000000" w:rsidP="001A5475">
      <w:pPr>
        <w:jc w:val="both"/>
      </w:pPr>
      <w:r>
        <w:t xml:space="preserve">• To analyse the role of risk management in enhancing the customer trust at the </w:t>
      </w:r>
      <w:r w:rsidR="0037076A">
        <w:t>b</w:t>
      </w:r>
      <w:r>
        <w:t>ank</w:t>
      </w:r>
      <w:r w:rsidR="0037076A">
        <w:t>s.</w:t>
      </w:r>
    </w:p>
    <w:p w14:paraId="675A8826" w14:textId="564B1EB2" w:rsidR="001A5475" w:rsidRDefault="00000000" w:rsidP="001A5475">
      <w:pPr>
        <w:jc w:val="both"/>
      </w:pPr>
      <w:r>
        <w:t>• To find out the relationship between the dimensions of Risk management system and Customer</w:t>
      </w:r>
      <w:r w:rsidR="0037076A">
        <w:t xml:space="preserve"> </w:t>
      </w:r>
      <w:r>
        <w:t>Trust in the bank</w:t>
      </w:r>
      <w:r w:rsidR="0037076A">
        <w:t>s</w:t>
      </w:r>
      <w:r>
        <w:t>.</w:t>
      </w:r>
    </w:p>
    <w:p w14:paraId="172609FA" w14:textId="77777777" w:rsidR="0046604D" w:rsidRDefault="00000000" w:rsidP="001A5475">
      <w:pPr>
        <w:jc w:val="both"/>
      </w:pPr>
      <w:r>
        <w:lastRenderedPageBreak/>
        <w:t>• To understand the relationship between the independent variables and the dependent variable.</w:t>
      </w:r>
    </w:p>
    <w:p w14:paraId="6693EDD7" w14:textId="77777777" w:rsidR="00FB51A2" w:rsidRDefault="00000000" w:rsidP="00FB51A2">
      <w:pPr>
        <w:jc w:val="both"/>
      </w:pPr>
      <w:r>
        <w:t xml:space="preserve">• To determine the significance between the demographics of the respondents and various </w:t>
      </w:r>
    </w:p>
    <w:p w14:paraId="4D240AC1" w14:textId="483A36F4" w:rsidR="00434C81" w:rsidRDefault="00000000" w:rsidP="001A5475">
      <w:pPr>
        <w:jc w:val="both"/>
      </w:pPr>
      <w:r>
        <w:t>dimensions of the bank</w:t>
      </w:r>
      <w:r w:rsidR="0037076A">
        <w:t>s</w:t>
      </w:r>
      <w:r>
        <w:t>.</w:t>
      </w:r>
    </w:p>
    <w:p w14:paraId="709B92E0" w14:textId="0BEE3997" w:rsidR="001A5475" w:rsidRPr="0037076A" w:rsidRDefault="0037076A" w:rsidP="001A5475">
      <w:pPr>
        <w:jc w:val="both"/>
        <w:rPr>
          <w:b/>
          <w:bCs/>
          <w:sz w:val="28"/>
          <w:szCs w:val="28"/>
        </w:rPr>
      </w:pPr>
      <w:r w:rsidRPr="0037076A">
        <w:rPr>
          <w:b/>
          <w:bCs/>
          <w:sz w:val="28"/>
          <w:szCs w:val="28"/>
        </w:rPr>
        <w:t xml:space="preserve">3. </w:t>
      </w:r>
      <w:r w:rsidR="00000000" w:rsidRPr="0037076A">
        <w:rPr>
          <w:b/>
          <w:bCs/>
          <w:sz w:val="28"/>
          <w:szCs w:val="28"/>
        </w:rPr>
        <w:t>SCOPE OF THE STUDY</w:t>
      </w:r>
    </w:p>
    <w:p w14:paraId="15FC601B" w14:textId="3AD36621" w:rsidR="00FB51A2" w:rsidRDefault="00000000" w:rsidP="0037076A">
      <w:pPr>
        <w:spacing w:line="276" w:lineRule="auto"/>
        <w:jc w:val="both"/>
      </w:pPr>
      <w:r>
        <w:t>The scope of the study is to e</w:t>
      </w:r>
      <w:r w:rsidR="001A5475" w:rsidRPr="001A5475">
        <w:t>xamine the relationship between risk management practices and customer trust in the banking industry</w:t>
      </w:r>
      <w:r>
        <w:t xml:space="preserve"> and a</w:t>
      </w:r>
      <w:r w:rsidR="001A5475" w:rsidRPr="001A5475">
        <w:t>nalyze the specific types of risks that impact customer trust</w:t>
      </w:r>
      <w:r>
        <w:t xml:space="preserve"> to a</w:t>
      </w:r>
      <w:r w:rsidR="001A5475">
        <w:t>ssess the effectiveness of risk management practices in enhancing customer trust and loyalty.</w:t>
      </w:r>
      <w:r w:rsidR="00FB51A2">
        <w:t xml:space="preserve"> It involves exploring the potential consequences of risk management failures on customer trust and reputation.</w:t>
      </w:r>
    </w:p>
    <w:p w14:paraId="0DFF96D2" w14:textId="5B641E2E" w:rsidR="00B40085" w:rsidRPr="0037076A" w:rsidRDefault="0037076A" w:rsidP="00B40085">
      <w:pPr>
        <w:jc w:val="both"/>
        <w:rPr>
          <w:sz w:val="24"/>
          <w:szCs w:val="24"/>
        </w:rPr>
      </w:pPr>
      <w:r w:rsidRPr="0037076A">
        <w:rPr>
          <w:b/>
          <w:bCs/>
          <w:sz w:val="28"/>
          <w:szCs w:val="28"/>
        </w:rPr>
        <w:t xml:space="preserve">4. </w:t>
      </w:r>
      <w:r w:rsidR="00000000" w:rsidRPr="0037076A">
        <w:rPr>
          <w:b/>
          <w:bCs/>
          <w:sz w:val="28"/>
          <w:szCs w:val="28"/>
        </w:rPr>
        <w:t xml:space="preserve">NEEDS OF THE STUDY </w:t>
      </w:r>
    </w:p>
    <w:p w14:paraId="176D198D" w14:textId="6D08926F" w:rsidR="008C2942" w:rsidRDefault="00000000" w:rsidP="008C2942">
      <w:pPr>
        <w:spacing w:before="240"/>
        <w:jc w:val="both"/>
      </w:pPr>
      <w:r>
        <w:t>The needs of the study involve</w:t>
      </w:r>
      <w:r w:rsidRPr="00B40085">
        <w:t xml:space="preserve"> </w:t>
      </w:r>
      <w:r>
        <w:t>a</w:t>
      </w:r>
      <w:r w:rsidRPr="00B40085">
        <w:t xml:space="preserve"> comprehensive understanding of the factors that influence customer trust in banks</w:t>
      </w:r>
      <w:r>
        <w:t xml:space="preserve"> and i</w:t>
      </w:r>
      <w:r w:rsidRPr="00B40085">
        <w:t>dentification of the specific risks that pose the greatest threat to customer trust</w:t>
      </w:r>
      <w:r>
        <w:t xml:space="preserve"> with e</w:t>
      </w:r>
      <w:r w:rsidRPr="00B40085">
        <w:t>valuation of the effectiveness of different risk management strategies and practices.</w:t>
      </w:r>
      <w:r>
        <w:t xml:space="preserve"> It is essential in the development of recommendations for banks to enhance their risk management practices and build stronger customer relationships.</w:t>
      </w:r>
    </w:p>
    <w:p w14:paraId="1117F91E" w14:textId="5A3668D6" w:rsidR="00B40085" w:rsidRPr="0046604D" w:rsidRDefault="0037076A" w:rsidP="008C2942">
      <w:pPr>
        <w:spacing w:before="240" w:after="0"/>
        <w:jc w:val="both"/>
        <w:rPr>
          <w:b/>
          <w:bCs/>
        </w:rPr>
      </w:pPr>
      <w:r w:rsidRPr="0037076A">
        <w:rPr>
          <w:b/>
          <w:bCs/>
          <w:sz w:val="28"/>
          <w:szCs w:val="28"/>
        </w:rPr>
        <w:t xml:space="preserve">5. </w:t>
      </w:r>
      <w:r w:rsidR="00000000" w:rsidRPr="0037076A">
        <w:rPr>
          <w:b/>
          <w:bCs/>
          <w:sz w:val="28"/>
          <w:szCs w:val="28"/>
        </w:rPr>
        <w:t>LITERATURE REVIEW</w:t>
      </w:r>
    </w:p>
    <w:p w14:paraId="76075400" w14:textId="20972793" w:rsidR="000E2E47" w:rsidRDefault="000E2E47" w:rsidP="008C2942">
      <w:pPr>
        <w:pStyle w:val="ListParagraph"/>
        <w:numPr>
          <w:ilvl w:val="0"/>
          <w:numId w:val="3"/>
        </w:numPr>
        <w:spacing w:before="240" w:after="0"/>
        <w:jc w:val="both"/>
      </w:pPr>
      <w:r>
        <w:t xml:space="preserve">Mohamed Al Hammadi, Juan Antonio </w:t>
      </w:r>
      <w:proofErr w:type="spellStart"/>
      <w:r>
        <w:t>Jimber</w:t>
      </w:r>
      <w:proofErr w:type="spellEnd"/>
      <w:r>
        <w:t>-Del Río, et al. (2024) investigated the effectiveness of risk management in Islamic banks in the UAE, focusing on the impact of fintech adoption, capabilities, digital transformation maturity, IT security, and the regulatory environment. Utilizing partial-least-squares structural equation modelling (PLS-SEM) for data analysis, the research confirms satisfactory validity and reliability of the measurement model, as well as discriminant validity among constructs. The findings highlight the positive influences of fintech-related factors on risk management outcomes, addressing the need for empirical evidence on the interrelationships between fintech and risk management in the Islamic banking sector.</w:t>
      </w:r>
    </w:p>
    <w:p w14:paraId="65D81ACC" w14:textId="77777777" w:rsidR="00434C81" w:rsidRDefault="00434C81" w:rsidP="00434C81">
      <w:pPr>
        <w:pStyle w:val="ListParagraph"/>
        <w:spacing w:before="240"/>
        <w:jc w:val="both"/>
      </w:pPr>
    </w:p>
    <w:p w14:paraId="4547A811" w14:textId="7AB5190F" w:rsidR="00515ECF" w:rsidRDefault="000E2E47" w:rsidP="00861482">
      <w:pPr>
        <w:pStyle w:val="ListParagraph"/>
        <w:numPr>
          <w:ilvl w:val="0"/>
          <w:numId w:val="3"/>
        </w:numPr>
        <w:spacing w:before="240"/>
        <w:jc w:val="both"/>
      </w:pPr>
      <w:r>
        <w:t xml:space="preserve">Amin </w:t>
      </w:r>
      <w:proofErr w:type="spellStart"/>
      <w:r>
        <w:t>Kiswantoro</w:t>
      </w:r>
      <w:proofErr w:type="spellEnd"/>
      <w:r>
        <w:t xml:space="preserve">, </w:t>
      </w:r>
      <w:proofErr w:type="spellStart"/>
      <w:r>
        <w:t>Sugiarto</w:t>
      </w:r>
      <w:proofErr w:type="spellEnd"/>
      <w:r>
        <w:t xml:space="preserve">, et al. (2024) focused on developing practical risk management strategies for homestays by </w:t>
      </w:r>
      <w:proofErr w:type="spellStart"/>
      <w:r>
        <w:t>analyzing</w:t>
      </w:r>
      <w:proofErr w:type="spellEnd"/>
      <w:r>
        <w:t xml:space="preserve"> existing literature. It utilizes qualitative descriptive analysis and organizes findings into tables that categorize references, methods, main results, and limitations of selected articles. The research reveals that many existing studies on risk management in homestays provide only brief reviews without substantial data or insights. Notably, it highlights the lack of comprehensive research in this area, contrasting with previous studies that offered limited explanations. The novelty of this study lies in its thorough examination of data and relevant theories, aiming to enhance tourist satisfaction and loyalty while effectively managing risks in homestay operations.</w:t>
      </w:r>
    </w:p>
    <w:p w14:paraId="7DEB41C9" w14:textId="77777777" w:rsidR="00515ECF" w:rsidRDefault="00515ECF" w:rsidP="00515ECF">
      <w:pPr>
        <w:pStyle w:val="ListParagraph"/>
        <w:spacing w:before="240"/>
        <w:jc w:val="both"/>
      </w:pPr>
    </w:p>
    <w:p w14:paraId="13BC6681" w14:textId="3BBF06C3" w:rsidR="00861482" w:rsidRDefault="000E2E47" w:rsidP="00861482">
      <w:pPr>
        <w:pStyle w:val="ListParagraph"/>
        <w:numPr>
          <w:ilvl w:val="0"/>
          <w:numId w:val="3"/>
        </w:numPr>
        <w:spacing w:before="240"/>
        <w:jc w:val="both"/>
      </w:pPr>
      <w:r>
        <w:t xml:space="preserve">Galad Mohamed Barre (2024) focused on risk management practices (RMPs) within the Somali banking industry, utilizing a questionnaire to gather data from a large number of respondents for statistical analysis. It consists of two sections: the first addresses the background of the respondents, while the second features closed-ended questions on a Likert scale to gauge agreement with various risk management statements. The results indicate that bank </w:t>
      </w:r>
      <w:r>
        <w:lastRenderedPageBreak/>
        <w:t xml:space="preserve">personnel in Somalia have a strong belief in their banking system, with an average agreement score of 2.09, suggesting confidence in their institutions and a potential reduction in perceived risks. </w:t>
      </w:r>
    </w:p>
    <w:p w14:paraId="3CAB53D8" w14:textId="77777777" w:rsidR="00861482" w:rsidRDefault="00861482" w:rsidP="00861482">
      <w:pPr>
        <w:pStyle w:val="ListParagraph"/>
        <w:spacing w:before="240"/>
        <w:jc w:val="both"/>
      </w:pPr>
    </w:p>
    <w:p w14:paraId="344FC37F" w14:textId="0FE8A443" w:rsidR="00861482" w:rsidRDefault="000E2E47" w:rsidP="00861482">
      <w:pPr>
        <w:pStyle w:val="ListParagraph"/>
        <w:numPr>
          <w:ilvl w:val="0"/>
          <w:numId w:val="3"/>
        </w:numPr>
        <w:spacing w:before="240"/>
        <w:jc w:val="both"/>
      </w:pPr>
      <w:r>
        <w:t xml:space="preserve">Aleksi Harju, Kati Schaefer, et al. (2024) explored the complexities of risk management practices in service procurement within the financial sector, highlighting both the benefits and potential downsides of an excessive focus on risk management. It discusses how rigorous risk management can lead to issues such as contract inflexibility, over-specification of services, and decreased interest from service providers. The authors suggest that future research should investigate the specific conditions under which intensive risk management efforts may negatively impact service performance. </w:t>
      </w:r>
    </w:p>
    <w:p w14:paraId="19ED0118" w14:textId="77777777" w:rsidR="00861482" w:rsidRDefault="00861482" w:rsidP="00861482">
      <w:pPr>
        <w:pStyle w:val="ListParagraph"/>
        <w:spacing w:before="240"/>
        <w:jc w:val="both"/>
      </w:pPr>
    </w:p>
    <w:p w14:paraId="737DE07F" w14:textId="72398A41" w:rsidR="00861482" w:rsidRDefault="00AE4665" w:rsidP="00861482">
      <w:pPr>
        <w:pStyle w:val="ListParagraph"/>
        <w:numPr>
          <w:ilvl w:val="0"/>
          <w:numId w:val="3"/>
        </w:numPr>
        <w:spacing w:before="240"/>
        <w:jc w:val="both"/>
      </w:pPr>
      <w:proofErr w:type="spellStart"/>
      <w:r>
        <w:t>Suharini</w:t>
      </w:r>
      <w:proofErr w:type="spellEnd"/>
      <w:r>
        <w:t xml:space="preserve"> and Ratih </w:t>
      </w:r>
      <w:proofErr w:type="spellStart"/>
      <w:r>
        <w:t>Hastasari</w:t>
      </w:r>
      <w:proofErr w:type="spellEnd"/>
      <w:r>
        <w:t xml:space="preserve"> (2023) focused on Bank Mega, a prominent bank in Indonesia, </w:t>
      </w:r>
      <w:proofErr w:type="spellStart"/>
      <w:r>
        <w:t>analyzing</w:t>
      </w:r>
      <w:proofErr w:type="spellEnd"/>
      <w:r>
        <w:t xml:space="preserve"> its risk management practices to address financial risks in a dynamic banking environment. Utilizing secondary data from financial and annual reports, the research evaluates the effectiveness of Bank Mega's risk management framework, which adheres to regulatory standards set by the Financial Services Authority (OJK). The findings indicate that Bank Mega has established a robust risk management policy</w:t>
      </w:r>
      <w:r w:rsidR="008C2942">
        <w:t xml:space="preserve">. </w:t>
      </w:r>
      <w:r>
        <w:t>As of June 2023, the bank's financial performance ratios suggest positive outcomes, highlighting sufficient capital, good credit quality, and operational efficiency.</w:t>
      </w:r>
    </w:p>
    <w:p w14:paraId="743A167E" w14:textId="77777777" w:rsidR="00861482" w:rsidRDefault="00861482" w:rsidP="00861482">
      <w:pPr>
        <w:pStyle w:val="ListParagraph"/>
        <w:spacing w:before="240"/>
        <w:jc w:val="both"/>
      </w:pPr>
    </w:p>
    <w:p w14:paraId="298DA65D" w14:textId="62D6918E" w:rsidR="00861482" w:rsidRDefault="00AE4665" w:rsidP="00FB51A2">
      <w:pPr>
        <w:pStyle w:val="ListParagraph"/>
        <w:numPr>
          <w:ilvl w:val="0"/>
          <w:numId w:val="3"/>
        </w:numPr>
        <w:spacing w:before="240"/>
        <w:jc w:val="both"/>
      </w:pPr>
      <w:r>
        <w:t xml:space="preserve">Indra Saputra, Etty </w:t>
      </w:r>
      <w:proofErr w:type="spellStart"/>
      <w:r>
        <w:t>Murwaningsari</w:t>
      </w:r>
      <w:proofErr w:type="spellEnd"/>
      <w:r>
        <w:t xml:space="preserve"> and Yvonne Augustine (2023) focused on enhancing management control systems within the banking industry to effectively manage the impacts of information technology developments. It emphasizes the importance of reliable IT security, a robust complaint management system, and an integrated whistleblowing mechanism to improve stakeholder and customer satisfaction. The research highlights the influence of institutional pressures on voluntary environmental strategies in corporate settings, suggesting a comprehensive approach to management control that aligns with sustainable practices. This study aims to contribute to the development of enterprise risk management and digital transformation in banking.</w:t>
      </w:r>
    </w:p>
    <w:p w14:paraId="65844AE8" w14:textId="77777777" w:rsidR="008C2942" w:rsidRDefault="008C2942" w:rsidP="008C2942">
      <w:pPr>
        <w:pStyle w:val="ListParagraph"/>
      </w:pPr>
    </w:p>
    <w:p w14:paraId="67FAD850" w14:textId="77777777" w:rsidR="008C2942" w:rsidRDefault="008C2942" w:rsidP="008C2942">
      <w:pPr>
        <w:pStyle w:val="ListParagraph"/>
        <w:numPr>
          <w:ilvl w:val="0"/>
          <w:numId w:val="3"/>
        </w:numPr>
        <w:spacing w:before="240"/>
        <w:jc w:val="both"/>
      </w:pPr>
      <w:r>
        <w:t xml:space="preserve">Gerry </w:t>
      </w:r>
      <w:proofErr w:type="spellStart"/>
      <w:r>
        <w:t>Mutibo</w:t>
      </w:r>
      <w:proofErr w:type="spellEnd"/>
      <w:r>
        <w:t xml:space="preserve"> </w:t>
      </w:r>
      <w:proofErr w:type="spellStart"/>
      <w:r>
        <w:t>Siampondo</w:t>
      </w:r>
      <w:proofErr w:type="spellEnd"/>
      <w:r>
        <w:t xml:space="preserve"> and Mbuyu </w:t>
      </w:r>
      <w:proofErr w:type="spellStart"/>
      <w:r>
        <w:t>Sumbwanyambe</w:t>
      </w:r>
      <w:proofErr w:type="spellEnd"/>
      <w:r>
        <w:t xml:space="preserve"> (2023) focused on the critical role of risk management in online transactions, particularly concerning network and system security in Zambia's financial institutions. Utilizing a mixed-methods design, it combines an extensive literature review with primary data from interviews with key stakeholders. The findings highlight the importance of effective risk management strategies to mitigate vulnerabilities associated with internet-based transactions. The research identifies challenges faced by financial institutions in securing their networks and suggests recommendations to enhance risk management frameworks and strengthen security measures in the digital commerce landscape. Overall, this study aims to provide valuable insights for improving practices and policies in Zambia's financial sector.</w:t>
      </w:r>
    </w:p>
    <w:p w14:paraId="1D49557F" w14:textId="77777777" w:rsidR="008C2942" w:rsidRDefault="008C2942" w:rsidP="008C2942">
      <w:pPr>
        <w:pStyle w:val="ListParagraph"/>
        <w:spacing w:before="240"/>
        <w:jc w:val="both"/>
      </w:pPr>
    </w:p>
    <w:p w14:paraId="5A7C9227" w14:textId="3494DB79" w:rsidR="00B40085" w:rsidRPr="00B40085" w:rsidRDefault="008C2942" w:rsidP="008C2942">
      <w:pPr>
        <w:pStyle w:val="ListParagraph"/>
        <w:numPr>
          <w:ilvl w:val="0"/>
          <w:numId w:val="3"/>
        </w:numPr>
        <w:spacing w:before="240"/>
        <w:jc w:val="both"/>
        <w:sectPr w:rsidR="00B40085" w:rsidRPr="00B40085">
          <w:pgSz w:w="11906" w:h="16838"/>
          <w:pgMar w:top="1440" w:right="1440" w:bottom="1440" w:left="1440" w:header="708" w:footer="708" w:gutter="0"/>
          <w:cols w:space="708"/>
          <w:docGrid w:linePitch="360"/>
        </w:sectPr>
      </w:pPr>
      <w:r>
        <w:t xml:space="preserve">Agustinus </w:t>
      </w:r>
      <w:proofErr w:type="spellStart"/>
      <w:r>
        <w:t>Ekensianus</w:t>
      </w:r>
      <w:proofErr w:type="spellEnd"/>
      <w:r>
        <w:t xml:space="preserve">, Lis Sintha and </w:t>
      </w:r>
      <w:proofErr w:type="spellStart"/>
      <w:r>
        <w:t>Tarsicius</w:t>
      </w:r>
      <w:proofErr w:type="spellEnd"/>
      <w:r>
        <w:t xml:space="preserve"> Sunaryo (2023) focused on the role of risk management in enhancing competitiveness at PT Bank Central Asia </w:t>
      </w:r>
      <w:proofErr w:type="spellStart"/>
      <w:r>
        <w:t>Tbk</w:t>
      </w:r>
      <w:proofErr w:type="spellEnd"/>
      <w:r>
        <w:t xml:space="preserve"> (BCA) using an Enterprise Risk Management (ERM) approach. It employs a likelihood table to identify and manage potential risks effectively, ensuring the bank's integrity in the competitive banking sector. Data was collected through structured interviews and questionnaires, involving a sample of 26 participants. </w:t>
      </w:r>
    </w:p>
    <w:p w14:paraId="28DC6A66" w14:textId="0AA263F5" w:rsidR="00AD2E0F" w:rsidRPr="0041427D" w:rsidRDefault="00434C81" w:rsidP="0041427D">
      <w:pPr>
        <w:spacing w:line="360" w:lineRule="auto"/>
        <w:rPr>
          <w:rFonts w:eastAsia="Times New Roman" w:cstheme="minorHAnsi"/>
          <w:b/>
          <w:bCs/>
          <w:color w:val="000000"/>
          <w:sz w:val="28"/>
          <w:szCs w:val="28"/>
          <w:lang w:eastAsia="en-IN"/>
        </w:rPr>
      </w:pPr>
      <w:r>
        <w:rPr>
          <w:rFonts w:eastAsia="Times New Roman" w:cstheme="minorHAnsi"/>
          <w:b/>
          <w:bCs/>
          <w:color w:val="000000"/>
          <w:sz w:val="28"/>
          <w:szCs w:val="28"/>
          <w:lang w:eastAsia="en-IN"/>
        </w:rPr>
        <w:lastRenderedPageBreak/>
        <w:t>6</w:t>
      </w:r>
      <w:r w:rsidR="0041427D" w:rsidRPr="0041427D">
        <w:rPr>
          <w:rFonts w:eastAsia="Times New Roman" w:cstheme="minorHAnsi"/>
          <w:b/>
          <w:bCs/>
          <w:color w:val="000000"/>
          <w:sz w:val="28"/>
          <w:szCs w:val="28"/>
          <w:lang w:eastAsia="en-IN"/>
        </w:rPr>
        <w:t>.</w:t>
      </w:r>
      <w:r w:rsidR="0041427D">
        <w:rPr>
          <w:rFonts w:eastAsia="Times New Roman" w:cstheme="minorHAnsi"/>
          <w:b/>
          <w:bCs/>
          <w:color w:val="000000"/>
          <w:sz w:val="28"/>
          <w:szCs w:val="28"/>
          <w:lang w:eastAsia="en-IN"/>
        </w:rPr>
        <w:t xml:space="preserve"> </w:t>
      </w:r>
      <w:r w:rsidR="0037076A" w:rsidRPr="0041427D">
        <w:rPr>
          <w:rFonts w:eastAsia="Times New Roman" w:cstheme="minorHAnsi"/>
          <w:b/>
          <w:bCs/>
          <w:color w:val="000000"/>
          <w:sz w:val="28"/>
          <w:szCs w:val="28"/>
          <w:lang w:eastAsia="en-IN"/>
        </w:rPr>
        <w:t>DATA ANALYSIS AND RESULTS</w:t>
      </w:r>
    </w:p>
    <w:p w14:paraId="5862AB60" w14:textId="5E48F1BB" w:rsidR="0041427D" w:rsidRPr="0041427D" w:rsidRDefault="0041427D" w:rsidP="0041427D">
      <w:pPr>
        <w:rPr>
          <w:b/>
          <w:bCs/>
          <w:lang w:eastAsia="en-IN"/>
        </w:rPr>
      </w:pPr>
      <w:r w:rsidRPr="0041427D">
        <w:rPr>
          <w:b/>
          <w:bCs/>
          <w:lang w:eastAsia="en-IN"/>
        </w:rPr>
        <w:t>PERCENTAGE ANALYSIS</w:t>
      </w:r>
    </w:p>
    <w:p w14:paraId="21AB8F59" w14:textId="0EDFF846" w:rsidR="0037076A" w:rsidRPr="0041427D" w:rsidRDefault="0037076A" w:rsidP="0037076A">
      <w:pPr>
        <w:spacing w:after="0" w:line="360" w:lineRule="auto"/>
        <w:jc w:val="center"/>
        <w:rPr>
          <w:rFonts w:eastAsia="Times New Roman" w:cstheme="minorHAnsi"/>
          <w:b/>
          <w:bCs/>
          <w:color w:val="000000"/>
          <w:lang w:eastAsia="en-IN"/>
        </w:rPr>
      </w:pPr>
      <w:r w:rsidRPr="0041427D">
        <w:rPr>
          <w:rFonts w:eastAsia="Times New Roman" w:cstheme="minorHAnsi"/>
          <w:b/>
          <w:bCs/>
          <w:color w:val="000000"/>
          <w:lang w:eastAsia="en-IN"/>
        </w:rPr>
        <w:t xml:space="preserve">TABLE 1. </w:t>
      </w:r>
      <w:r w:rsidRPr="0041427D">
        <w:rPr>
          <w:rFonts w:eastAsia="Times New Roman" w:cstheme="minorHAnsi"/>
          <w:color w:val="000000"/>
          <w:lang w:eastAsia="en-IN"/>
        </w:rPr>
        <w:t>CUSTOMERS PROFILE OF BANKS</w:t>
      </w:r>
    </w:p>
    <w:tbl>
      <w:tblPr>
        <w:tblStyle w:val="TableGrid"/>
        <w:tblW w:w="0" w:type="auto"/>
        <w:jc w:val="center"/>
        <w:tblLayout w:type="fixed"/>
        <w:tblLook w:val="04A0" w:firstRow="1" w:lastRow="0" w:firstColumn="1" w:lastColumn="0" w:noHBand="0" w:noVBand="1"/>
      </w:tblPr>
      <w:tblGrid>
        <w:gridCol w:w="1775"/>
        <w:gridCol w:w="2420"/>
        <w:gridCol w:w="2643"/>
        <w:gridCol w:w="2178"/>
      </w:tblGrid>
      <w:tr w:rsidR="00A50453" w14:paraId="09D05B04" w14:textId="77777777" w:rsidTr="00CC7920">
        <w:trPr>
          <w:trHeight w:val="454"/>
          <w:jc w:val="center"/>
        </w:trPr>
        <w:tc>
          <w:tcPr>
            <w:tcW w:w="9016" w:type="dxa"/>
            <w:gridSpan w:val="4"/>
            <w:tcBorders>
              <w:bottom w:val="single" w:sz="4" w:space="0" w:color="auto"/>
            </w:tcBorders>
            <w:vAlign w:val="center"/>
          </w:tcPr>
          <w:p w14:paraId="0BDF1FB7" w14:textId="6CE07D56" w:rsidR="00A50453" w:rsidRPr="00A50453" w:rsidRDefault="00A50453" w:rsidP="006D7FE7">
            <w:pPr>
              <w:spacing w:line="360" w:lineRule="auto"/>
              <w:jc w:val="center"/>
              <w:rPr>
                <w:rFonts w:cstheme="minorHAnsi"/>
                <w:lang w:val="en-US"/>
              </w:rPr>
            </w:pPr>
            <w:r w:rsidRPr="00A50453">
              <w:rPr>
                <w:rFonts w:cstheme="minorHAnsi"/>
                <w:lang w:val="en-US"/>
              </w:rPr>
              <w:t>USER SURVEY (n=120)</w:t>
            </w:r>
          </w:p>
        </w:tc>
      </w:tr>
      <w:tr w:rsidR="00D749F5" w14:paraId="15231B44" w14:textId="77777777" w:rsidTr="00A50453">
        <w:trPr>
          <w:trHeight w:val="454"/>
          <w:jc w:val="center"/>
        </w:trPr>
        <w:tc>
          <w:tcPr>
            <w:tcW w:w="1775" w:type="dxa"/>
            <w:tcBorders>
              <w:bottom w:val="single" w:sz="4" w:space="0" w:color="auto"/>
            </w:tcBorders>
            <w:vAlign w:val="center"/>
          </w:tcPr>
          <w:p w14:paraId="00F223D1" w14:textId="5DFA9782" w:rsidR="00D749F5" w:rsidRPr="00A50453" w:rsidRDefault="00A50453" w:rsidP="0020326C">
            <w:pPr>
              <w:autoSpaceDE w:val="0"/>
              <w:autoSpaceDN w:val="0"/>
              <w:adjustRightInd w:val="0"/>
              <w:spacing w:line="360" w:lineRule="auto"/>
              <w:rPr>
                <w:rFonts w:cstheme="minorHAnsi"/>
                <w:b/>
                <w:color w:val="000000" w:themeColor="text1"/>
              </w:rPr>
            </w:pPr>
            <w:r>
              <w:rPr>
                <w:rFonts w:cstheme="minorHAnsi"/>
                <w:b/>
                <w:color w:val="000000" w:themeColor="text1"/>
              </w:rPr>
              <w:t xml:space="preserve">   </w:t>
            </w:r>
            <w:r w:rsidR="0020326C" w:rsidRPr="00A50453">
              <w:rPr>
                <w:rFonts w:cstheme="minorHAnsi"/>
                <w:b/>
                <w:color w:val="000000" w:themeColor="text1"/>
              </w:rPr>
              <w:t>DESCRIPTION</w:t>
            </w:r>
          </w:p>
        </w:tc>
        <w:tc>
          <w:tcPr>
            <w:tcW w:w="2420" w:type="dxa"/>
            <w:vAlign w:val="center"/>
          </w:tcPr>
          <w:p w14:paraId="2AEAA498" w14:textId="3E69B8D6" w:rsidR="00D749F5" w:rsidRPr="00A50453" w:rsidRDefault="0020326C" w:rsidP="006D7FE7">
            <w:pPr>
              <w:autoSpaceDE w:val="0"/>
              <w:autoSpaceDN w:val="0"/>
              <w:adjustRightInd w:val="0"/>
              <w:spacing w:line="360" w:lineRule="auto"/>
              <w:jc w:val="center"/>
              <w:rPr>
                <w:rFonts w:cstheme="minorHAnsi"/>
                <w:b/>
                <w:color w:val="000000" w:themeColor="text1"/>
                <w:kern w:val="0"/>
              </w:rPr>
            </w:pPr>
            <w:r w:rsidRPr="00A50453">
              <w:rPr>
                <w:rFonts w:cstheme="minorHAnsi"/>
                <w:b/>
                <w:color w:val="000000" w:themeColor="text1"/>
                <w:kern w:val="0"/>
              </w:rPr>
              <w:t>CLASSIFICATION</w:t>
            </w:r>
          </w:p>
        </w:tc>
        <w:tc>
          <w:tcPr>
            <w:tcW w:w="2643" w:type="dxa"/>
            <w:vAlign w:val="center"/>
          </w:tcPr>
          <w:p w14:paraId="06B93762" w14:textId="77777777" w:rsidR="00D749F5" w:rsidRPr="00A50453" w:rsidRDefault="00D749F5" w:rsidP="006D7FE7">
            <w:pPr>
              <w:spacing w:line="360" w:lineRule="auto"/>
              <w:jc w:val="center"/>
              <w:rPr>
                <w:rFonts w:cstheme="minorHAnsi"/>
                <w:b/>
                <w:bCs/>
                <w:lang w:val="en-US"/>
              </w:rPr>
            </w:pPr>
            <w:r w:rsidRPr="00A50453">
              <w:rPr>
                <w:rFonts w:cstheme="minorHAnsi"/>
                <w:b/>
                <w:color w:val="000000"/>
                <w:kern w:val="0"/>
                <w:lang w:val="en-US" w:bidi="ta-IN"/>
                <w14:ligatures w14:val="none"/>
              </w:rPr>
              <w:t>NO. OF</w:t>
            </w:r>
            <w:r w:rsidRPr="00A50453">
              <w:rPr>
                <w:rFonts w:cstheme="minorHAnsi"/>
                <w:b/>
                <w:bCs/>
              </w:rPr>
              <w:t xml:space="preserve"> </w:t>
            </w:r>
            <w:r w:rsidRPr="00A50453">
              <w:rPr>
                <w:rFonts w:cstheme="minorHAnsi"/>
                <w:b/>
                <w:color w:val="000000"/>
                <w:kern w:val="0"/>
                <w:lang w:val="en-US" w:bidi="ta-IN"/>
                <w14:ligatures w14:val="none"/>
              </w:rPr>
              <w:t>RESPONDENTS</w:t>
            </w:r>
          </w:p>
        </w:tc>
        <w:tc>
          <w:tcPr>
            <w:tcW w:w="2178" w:type="dxa"/>
            <w:vAlign w:val="center"/>
          </w:tcPr>
          <w:p w14:paraId="0A8E6E1E" w14:textId="77777777" w:rsidR="00D749F5" w:rsidRPr="00A50453" w:rsidRDefault="00D749F5" w:rsidP="006D7FE7">
            <w:pPr>
              <w:spacing w:line="360" w:lineRule="auto"/>
              <w:jc w:val="center"/>
              <w:rPr>
                <w:rFonts w:cstheme="minorHAnsi"/>
                <w:b/>
                <w:bCs/>
                <w:lang w:val="en-US"/>
              </w:rPr>
            </w:pPr>
            <w:r w:rsidRPr="00A50453">
              <w:rPr>
                <w:rFonts w:cstheme="minorHAnsi"/>
                <w:b/>
                <w:bCs/>
                <w:lang w:val="en-US"/>
              </w:rPr>
              <w:t>PERCENTAGE</w:t>
            </w:r>
          </w:p>
        </w:tc>
      </w:tr>
      <w:tr w:rsidR="00D749F5" w14:paraId="3B596B3E" w14:textId="77777777" w:rsidTr="00CD4F29">
        <w:trPr>
          <w:trHeight w:val="434"/>
          <w:jc w:val="center"/>
        </w:trPr>
        <w:tc>
          <w:tcPr>
            <w:tcW w:w="1775" w:type="dxa"/>
            <w:tcBorders>
              <w:bottom w:val="nil"/>
            </w:tcBorders>
            <w:vAlign w:val="center"/>
          </w:tcPr>
          <w:p w14:paraId="241F9253" w14:textId="22943362" w:rsidR="00D749F5" w:rsidRPr="00A50453" w:rsidRDefault="0020326C" w:rsidP="006D7FE7">
            <w:pPr>
              <w:spacing w:line="360" w:lineRule="auto"/>
              <w:jc w:val="center"/>
              <w:rPr>
                <w:rFonts w:cstheme="minorHAnsi"/>
                <w:bCs/>
                <w:lang w:val="en-US"/>
              </w:rPr>
            </w:pPr>
            <w:r w:rsidRPr="00A50453">
              <w:rPr>
                <w:rFonts w:cstheme="minorHAnsi"/>
                <w:bCs/>
                <w:lang w:val="en-US"/>
              </w:rPr>
              <w:t>GENDER</w:t>
            </w:r>
          </w:p>
        </w:tc>
        <w:tc>
          <w:tcPr>
            <w:tcW w:w="2420" w:type="dxa"/>
            <w:vAlign w:val="center"/>
          </w:tcPr>
          <w:p w14:paraId="7ED9B32D" w14:textId="6454CBE9" w:rsidR="00D749F5" w:rsidRPr="00A50453" w:rsidRDefault="00D749F5" w:rsidP="006D7FE7">
            <w:pPr>
              <w:spacing w:line="360" w:lineRule="auto"/>
              <w:jc w:val="center"/>
              <w:rPr>
                <w:rFonts w:cstheme="minorHAnsi"/>
                <w:bCs/>
                <w:lang w:val="en-US"/>
              </w:rPr>
            </w:pPr>
            <w:r w:rsidRPr="00A50453">
              <w:rPr>
                <w:rFonts w:cstheme="minorHAnsi"/>
                <w:bCs/>
                <w:lang w:val="en-US"/>
              </w:rPr>
              <w:t>Male</w:t>
            </w:r>
          </w:p>
        </w:tc>
        <w:tc>
          <w:tcPr>
            <w:tcW w:w="2643" w:type="dxa"/>
            <w:vAlign w:val="center"/>
          </w:tcPr>
          <w:p w14:paraId="00BBBD63" w14:textId="77777777" w:rsidR="00D749F5" w:rsidRPr="00A50453" w:rsidRDefault="00D749F5" w:rsidP="006D7FE7">
            <w:pPr>
              <w:spacing w:line="360" w:lineRule="auto"/>
              <w:jc w:val="center"/>
              <w:rPr>
                <w:rFonts w:cstheme="minorHAnsi"/>
                <w:bCs/>
                <w:lang w:val="en-US"/>
              </w:rPr>
            </w:pPr>
            <w:r w:rsidRPr="00A50453">
              <w:rPr>
                <w:rFonts w:cstheme="minorHAnsi"/>
                <w:bCs/>
                <w:lang w:val="en-US"/>
              </w:rPr>
              <w:t>74</w:t>
            </w:r>
          </w:p>
        </w:tc>
        <w:tc>
          <w:tcPr>
            <w:tcW w:w="2178" w:type="dxa"/>
            <w:vAlign w:val="center"/>
          </w:tcPr>
          <w:p w14:paraId="3D5D3224" w14:textId="77777777" w:rsidR="00D749F5" w:rsidRPr="00A50453" w:rsidRDefault="00D749F5" w:rsidP="006D7FE7">
            <w:pPr>
              <w:spacing w:line="360" w:lineRule="auto"/>
              <w:jc w:val="center"/>
              <w:rPr>
                <w:rFonts w:cstheme="minorHAnsi"/>
                <w:bCs/>
                <w:lang w:val="en-US"/>
              </w:rPr>
            </w:pPr>
            <w:r w:rsidRPr="00A50453">
              <w:rPr>
                <w:rFonts w:cstheme="minorHAnsi"/>
                <w:bCs/>
                <w:lang w:val="en-US"/>
              </w:rPr>
              <w:t>61.7%</w:t>
            </w:r>
          </w:p>
        </w:tc>
      </w:tr>
      <w:tr w:rsidR="00D749F5" w14:paraId="6E8266E2" w14:textId="77777777" w:rsidTr="00CD4F29">
        <w:trPr>
          <w:trHeight w:val="103"/>
          <w:jc w:val="center"/>
        </w:trPr>
        <w:tc>
          <w:tcPr>
            <w:tcW w:w="1775" w:type="dxa"/>
            <w:tcBorders>
              <w:top w:val="nil"/>
              <w:bottom w:val="single" w:sz="4" w:space="0" w:color="auto"/>
            </w:tcBorders>
            <w:vAlign w:val="center"/>
          </w:tcPr>
          <w:p w14:paraId="485707CC" w14:textId="77777777" w:rsidR="00D749F5" w:rsidRPr="00A50453" w:rsidRDefault="00D749F5" w:rsidP="006D7FE7">
            <w:pPr>
              <w:spacing w:line="360" w:lineRule="auto"/>
              <w:jc w:val="center"/>
              <w:rPr>
                <w:rFonts w:cstheme="minorHAnsi"/>
                <w:bCs/>
                <w:lang w:val="en-US"/>
              </w:rPr>
            </w:pPr>
          </w:p>
        </w:tc>
        <w:tc>
          <w:tcPr>
            <w:tcW w:w="2420" w:type="dxa"/>
            <w:vAlign w:val="center"/>
          </w:tcPr>
          <w:p w14:paraId="7073F87F" w14:textId="6A3D2F93" w:rsidR="00D749F5" w:rsidRPr="00A50453" w:rsidRDefault="00D749F5" w:rsidP="006D7FE7">
            <w:pPr>
              <w:spacing w:line="360" w:lineRule="auto"/>
              <w:jc w:val="center"/>
              <w:rPr>
                <w:rFonts w:cstheme="minorHAnsi"/>
                <w:bCs/>
                <w:lang w:val="en-US"/>
              </w:rPr>
            </w:pPr>
            <w:r w:rsidRPr="00A50453">
              <w:rPr>
                <w:rFonts w:cstheme="minorHAnsi"/>
                <w:bCs/>
                <w:lang w:val="en-US"/>
              </w:rPr>
              <w:t>Female</w:t>
            </w:r>
          </w:p>
        </w:tc>
        <w:tc>
          <w:tcPr>
            <w:tcW w:w="2643" w:type="dxa"/>
            <w:vAlign w:val="center"/>
          </w:tcPr>
          <w:p w14:paraId="2C110B36" w14:textId="77777777" w:rsidR="00D749F5" w:rsidRPr="00A50453" w:rsidRDefault="00D749F5" w:rsidP="006D7FE7">
            <w:pPr>
              <w:spacing w:line="360" w:lineRule="auto"/>
              <w:jc w:val="center"/>
              <w:rPr>
                <w:rFonts w:cstheme="minorHAnsi"/>
                <w:bCs/>
                <w:lang w:val="en-US"/>
              </w:rPr>
            </w:pPr>
            <w:r w:rsidRPr="00A50453">
              <w:rPr>
                <w:rFonts w:cstheme="minorHAnsi"/>
                <w:bCs/>
                <w:lang w:val="en-US"/>
              </w:rPr>
              <w:t>46</w:t>
            </w:r>
          </w:p>
        </w:tc>
        <w:tc>
          <w:tcPr>
            <w:tcW w:w="2178" w:type="dxa"/>
            <w:vAlign w:val="center"/>
          </w:tcPr>
          <w:p w14:paraId="24E7DFD3" w14:textId="77777777" w:rsidR="00D749F5" w:rsidRPr="00A50453" w:rsidRDefault="00D749F5" w:rsidP="006D7FE7">
            <w:pPr>
              <w:spacing w:line="360" w:lineRule="auto"/>
              <w:jc w:val="center"/>
              <w:rPr>
                <w:rFonts w:cstheme="minorHAnsi"/>
                <w:bCs/>
                <w:lang w:val="en-US"/>
              </w:rPr>
            </w:pPr>
            <w:r w:rsidRPr="00A50453">
              <w:rPr>
                <w:rFonts w:cstheme="minorHAnsi"/>
                <w:bCs/>
                <w:lang w:val="en-US"/>
              </w:rPr>
              <w:t>38.3%</w:t>
            </w:r>
          </w:p>
        </w:tc>
      </w:tr>
      <w:tr w:rsidR="0020326C" w14:paraId="6A17FF3C" w14:textId="77777777" w:rsidTr="00CD4F29">
        <w:trPr>
          <w:trHeight w:val="393"/>
          <w:jc w:val="center"/>
        </w:trPr>
        <w:tc>
          <w:tcPr>
            <w:tcW w:w="1775" w:type="dxa"/>
            <w:tcBorders>
              <w:bottom w:val="nil"/>
            </w:tcBorders>
            <w:vAlign w:val="center"/>
          </w:tcPr>
          <w:p w14:paraId="6ED0FF9D" w14:textId="77777777" w:rsidR="0020326C" w:rsidRPr="00A50453" w:rsidRDefault="0020326C" w:rsidP="0020326C">
            <w:pPr>
              <w:spacing w:line="360" w:lineRule="auto"/>
              <w:jc w:val="center"/>
              <w:rPr>
                <w:rFonts w:cstheme="minorHAnsi"/>
                <w:bCs/>
                <w:lang w:val="en-US"/>
              </w:rPr>
            </w:pPr>
          </w:p>
        </w:tc>
        <w:tc>
          <w:tcPr>
            <w:tcW w:w="2420" w:type="dxa"/>
            <w:vAlign w:val="center"/>
          </w:tcPr>
          <w:p w14:paraId="62EB193B" w14:textId="48CC8CAC" w:rsidR="0020326C" w:rsidRPr="00A50453" w:rsidRDefault="0020326C" w:rsidP="0020326C">
            <w:pPr>
              <w:spacing w:line="360" w:lineRule="auto"/>
              <w:jc w:val="center"/>
              <w:rPr>
                <w:rFonts w:cstheme="minorHAnsi"/>
                <w:bCs/>
                <w:lang w:val="en-US"/>
              </w:rPr>
            </w:pPr>
            <w:r w:rsidRPr="00A50453">
              <w:rPr>
                <w:rFonts w:cstheme="minorHAnsi"/>
                <w:bCs/>
                <w:lang w:val="en-US"/>
              </w:rPr>
              <w:t>18-25</w:t>
            </w:r>
          </w:p>
        </w:tc>
        <w:tc>
          <w:tcPr>
            <w:tcW w:w="2643" w:type="dxa"/>
            <w:vAlign w:val="center"/>
          </w:tcPr>
          <w:p w14:paraId="7033CC44" w14:textId="6A3D6E9C" w:rsidR="0020326C" w:rsidRPr="00A50453" w:rsidRDefault="0020326C" w:rsidP="0020326C">
            <w:pPr>
              <w:spacing w:line="360" w:lineRule="auto"/>
              <w:jc w:val="center"/>
              <w:rPr>
                <w:rFonts w:cstheme="minorHAnsi"/>
                <w:bCs/>
                <w:lang w:val="en-US"/>
              </w:rPr>
            </w:pPr>
            <w:r w:rsidRPr="00A50453">
              <w:rPr>
                <w:rFonts w:cstheme="minorHAnsi"/>
                <w:color w:val="010205"/>
                <w:kern w:val="0"/>
              </w:rPr>
              <w:t>40</w:t>
            </w:r>
          </w:p>
        </w:tc>
        <w:tc>
          <w:tcPr>
            <w:tcW w:w="2178" w:type="dxa"/>
            <w:vAlign w:val="center"/>
          </w:tcPr>
          <w:p w14:paraId="0E3032C2" w14:textId="51C9457D" w:rsidR="0020326C" w:rsidRPr="00A50453" w:rsidRDefault="0020326C" w:rsidP="0020326C">
            <w:pPr>
              <w:spacing w:line="360" w:lineRule="auto"/>
              <w:jc w:val="center"/>
              <w:rPr>
                <w:rFonts w:cstheme="minorHAnsi"/>
                <w:bCs/>
                <w:lang w:val="en-US"/>
              </w:rPr>
            </w:pPr>
            <w:r w:rsidRPr="00A50453">
              <w:rPr>
                <w:rFonts w:cstheme="minorHAnsi"/>
                <w:color w:val="010205"/>
                <w:kern w:val="0"/>
              </w:rPr>
              <w:t>33.3%</w:t>
            </w:r>
          </w:p>
        </w:tc>
      </w:tr>
      <w:tr w:rsidR="0020326C" w14:paraId="4A421007" w14:textId="77777777" w:rsidTr="00CD4F29">
        <w:trPr>
          <w:trHeight w:val="287"/>
          <w:jc w:val="center"/>
        </w:trPr>
        <w:tc>
          <w:tcPr>
            <w:tcW w:w="1775" w:type="dxa"/>
            <w:tcBorders>
              <w:top w:val="nil"/>
              <w:bottom w:val="nil"/>
            </w:tcBorders>
            <w:vAlign w:val="center"/>
          </w:tcPr>
          <w:p w14:paraId="5EDFEB9C" w14:textId="77777777" w:rsidR="0020326C" w:rsidRPr="00A50453" w:rsidRDefault="0020326C" w:rsidP="0020326C">
            <w:pPr>
              <w:spacing w:line="360" w:lineRule="auto"/>
              <w:jc w:val="center"/>
              <w:rPr>
                <w:rFonts w:cstheme="minorHAnsi"/>
                <w:bCs/>
                <w:lang w:val="en-US"/>
              </w:rPr>
            </w:pPr>
          </w:p>
        </w:tc>
        <w:tc>
          <w:tcPr>
            <w:tcW w:w="2420" w:type="dxa"/>
            <w:vAlign w:val="center"/>
          </w:tcPr>
          <w:p w14:paraId="4F5EA426" w14:textId="317BBF0D" w:rsidR="0020326C" w:rsidRPr="00A50453" w:rsidRDefault="0020326C" w:rsidP="0020326C">
            <w:pPr>
              <w:spacing w:line="360" w:lineRule="auto"/>
              <w:jc w:val="center"/>
              <w:rPr>
                <w:rFonts w:cstheme="minorHAnsi"/>
                <w:bCs/>
                <w:lang w:val="en-US"/>
              </w:rPr>
            </w:pPr>
            <w:r w:rsidRPr="00A50453">
              <w:rPr>
                <w:rFonts w:cstheme="minorHAnsi"/>
                <w:bCs/>
                <w:lang w:val="en-US"/>
              </w:rPr>
              <w:t>26-35</w:t>
            </w:r>
          </w:p>
        </w:tc>
        <w:tc>
          <w:tcPr>
            <w:tcW w:w="2643" w:type="dxa"/>
            <w:vAlign w:val="center"/>
          </w:tcPr>
          <w:p w14:paraId="7CCC35E5" w14:textId="735D2C1D" w:rsidR="0020326C" w:rsidRPr="00A50453" w:rsidRDefault="0020326C" w:rsidP="0020326C">
            <w:pPr>
              <w:spacing w:line="360" w:lineRule="auto"/>
              <w:jc w:val="center"/>
              <w:rPr>
                <w:rFonts w:cstheme="minorHAnsi"/>
                <w:bCs/>
                <w:lang w:val="en-US"/>
              </w:rPr>
            </w:pPr>
            <w:r w:rsidRPr="00A50453">
              <w:rPr>
                <w:rFonts w:cstheme="minorHAnsi"/>
                <w:color w:val="010205"/>
                <w:kern w:val="0"/>
              </w:rPr>
              <w:t>22</w:t>
            </w:r>
          </w:p>
        </w:tc>
        <w:tc>
          <w:tcPr>
            <w:tcW w:w="2178" w:type="dxa"/>
            <w:vAlign w:val="center"/>
          </w:tcPr>
          <w:p w14:paraId="413C8834" w14:textId="58723EEF" w:rsidR="0020326C" w:rsidRPr="00A50453" w:rsidRDefault="0020326C" w:rsidP="0020326C">
            <w:pPr>
              <w:spacing w:line="360" w:lineRule="auto"/>
              <w:jc w:val="center"/>
              <w:rPr>
                <w:rFonts w:cstheme="minorHAnsi"/>
                <w:bCs/>
                <w:lang w:val="en-US"/>
              </w:rPr>
            </w:pPr>
            <w:r w:rsidRPr="00A50453">
              <w:rPr>
                <w:rFonts w:cstheme="minorHAnsi"/>
                <w:color w:val="010205"/>
                <w:kern w:val="0"/>
              </w:rPr>
              <w:t>18.3%</w:t>
            </w:r>
          </w:p>
        </w:tc>
      </w:tr>
      <w:tr w:rsidR="0020326C" w14:paraId="77DBB6E7" w14:textId="77777777" w:rsidTr="00CD4F29">
        <w:trPr>
          <w:trHeight w:val="323"/>
          <w:jc w:val="center"/>
        </w:trPr>
        <w:tc>
          <w:tcPr>
            <w:tcW w:w="1775" w:type="dxa"/>
            <w:tcBorders>
              <w:top w:val="nil"/>
              <w:bottom w:val="nil"/>
            </w:tcBorders>
            <w:vAlign w:val="center"/>
          </w:tcPr>
          <w:p w14:paraId="70FD92A6" w14:textId="77777777" w:rsidR="0020326C" w:rsidRPr="00A50453" w:rsidRDefault="0020326C" w:rsidP="0020326C">
            <w:pPr>
              <w:spacing w:line="360" w:lineRule="auto"/>
              <w:jc w:val="center"/>
              <w:rPr>
                <w:rFonts w:cstheme="minorHAnsi"/>
                <w:bCs/>
                <w:lang w:val="en-US"/>
              </w:rPr>
            </w:pPr>
          </w:p>
        </w:tc>
        <w:tc>
          <w:tcPr>
            <w:tcW w:w="2420" w:type="dxa"/>
            <w:vAlign w:val="center"/>
          </w:tcPr>
          <w:p w14:paraId="4AEFD54D" w14:textId="31E52DF8" w:rsidR="0020326C" w:rsidRPr="00A50453" w:rsidRDefault="0020326C" w:rsidP="0020326C">
            <w:pPr>
              <w:spacing w:line="360" w:lineRule="auto"/>
              <w:jc w:val="center"/>
              <w:rPr>
                <w:rFonts w:cstheme="minorHAnsi"/>
                <w:bCs/>
                <w:lang w:val="en-US"/>
              </w:rPr>
            </w:pPr>
            <w:r w:rsidRPr="00A50453">
              <w:rPr>
                <w:rFonts w:cstheme="minorHAnsi"/>
                <w:bCs/>
                <w:lang w:val="en-US"/>
              </w:rPr>
              <w:t>36-45</w:t>
            </w:r>
          </w:p>
        </w:tc>
        <w:tc>
          <w:tcPr>
            <w:tcW w:w="2643" w:type="dxa"/>
            <w:vAlign w:val="center"/>
          </w:tcPr>
          <w:p w14:paraId="6DD6D37F" w14:textId="40214016" w:rsidR="0020326C" w:rsidRPr="00A50453" w:rsidRDefault="0020326C" w:rsidP="0020326C">
            <w:pPr>
              <w:spacing w:line="360" w:lineRule="auto"/>
              <w:jc w:val="center"/>
              <w:rPr>
                <w:rFonts w:cstheme="minorHAnsi"/>
                <w:bCs/>
                <w:lang w:val="en-US"/>
              </w:rPr>
            </w:pPr>
            <w:r w:rsidRPr="00A50453">
              <w:rPr>
                <w:rFonts w:cstheme="minorHAnsi"/>
                <w:color w:val="010205"/>
                <w:kern w:val="0"/>
              </w:rPr>
              <w:t>19</w:t>
            </w:r>
          </w:p>
        </w:tc>
        <w:tc>
          <w:tcPr>
            <w:tcW w:w="2178" w:type="dxa"/>
            <w:vAlign w:val="center"/>
          </w:tcPr>
          <w:p w14:paraId="657C97E2" w14:textId="56A46049" w:rsidR="0020326C" w:rsidRPr="00A50453" w:rsidRDefault="0020326C" w:rsidP="0020326C">
            <w:pPr>
              <w:spacing w:line="360" w:lineRule="auto"/>
              <w:jc w:val="center"/>
              <w:rPr>
                <w:rFonts w:cstheme="minorHAnsi"/>
                <w:bCs/>
                <w:lang w:val="en-US"/>
              </w:rPr>
            </w:pPr>
            <w:r w:rsidRPr="00A50453">
              <w:rPr>
                <w:rFonts w:cstheme="minorHAnsi"/>
                <w:color w:val="010205"/>
                <w:kern w:val="0"/>
              </w:rPr>
              <w:t>15.8%</w:t>
            </w:r>
          </w:p>
        </w:tc>
      </w:tr>
      <w:tr w:rsidR="0020326C" w14:paraId="0E9FD9C9" w14:textId="77777777" w:rsidTr="00CD4F29">
        <w:trPr>
          <w:trHeight w:val="373"/>
          <w:jc w:val="center"/>
        </w:trPr>
        <w:tc>
          <w:tcPr>
            <w:tcW w:w="1775" w:type="dxa"/>
            <w:tcBorders>
              <w:top w:val="nil"/>
              <w:bottom w:val="nil"/>
            </w:tcBorders>
            <w:vAlign w:val="center"/>
          </w:tcPr>
          <w:p w14:paraId="57D1C133" w14:textId="1C6F7B5E" w:rsidR="0020326C" w:rsidRPr="00A50453" w:rsidRDefault="0020326C" w:rsidP="0020326C">
            <w:pPr>
              <w:spacing w:line="360" w:lineRule="auto"/>
              <w:jc w:val="center"/>
              <w:rPr>
                <w:rFonts w:cstheme="minorHAnsi"/>
                <w:bCs/>
                <w:lang w:val="en-US"/>
              </w:rPr>
            </w:pPr>
            <w:r w:rsidRPr="00A50453">
              <w:rPr>
                <w:rFonts w:cstheme="minorHAnsi"/>
                <w:bCs/>
                <w:lang w:val="en-US"/>
              </w:rPr>
              <w:t>AGE</w:t>
            </w:r>
          </w:p>
        </w:tc>
        <w:tc>
          <w:tcPr>
            <w:tcW w:w="2420" w:type="dxa"/>
            <w:vAlign w:val="center"/>
          </w:tcPr>
          <w:p w14:paraId="24EDB4FE" w14:textId="7B0EB79E" w:rsidR="0020326C" w:rsidRPr="00A50453" w:rsidRDefault="0020326C" w:rsidP="0020326C">
            <w:pPr>
              <w:spacing w:line="360" w:lineRule="auto"/>
              <w:jc w:val="center"/>
              <w:rPr>
                <w:rFonts w:cstheme="minorHAnsi"/>
                <w:bCs/>
                <w:lang w:val="en-US"/>
              </w:rPr>
            </w:pPr>
            <w:r w:rsidRPr="00A50453">
              <w:rPr>
                <w:rFonts w:cstheme="minorHAnsi"/>
                <w:bCs/>
                <w:lang w:val="en-US"/>
              </w:rPr>
              <w:t>46-55</w:t>
            </w:r>
          </w:p>
        </w:tc>
        <w:tc>
          <w:tcPr>
            <w:tcW w:w="2643" w:type="dxa"/>
            <w:vAlign w:val="center"/>
          </w:tcPr>
          <w:p w14:paraId="4E454A97" w14:textId="7EA72633" w:rsidR="0020326C" w:rsidRPr="00A50453" w:rsidRDefault="0020326C" w:rsidP="0020326C">
            <w:pPr>
              <w:spacing w:line="360" w:lineRule="auto"/>
              <w:jc w:val="center"/>
              <w:rPr>
                <w:rFonts w:cstheme="minorHAnsi"/>
                <w:bCs/>
                <w:lang w:val="en-US"/>
              </w:rPr>
            </w:pPr>
            <w:r w:rsidRPr="00A50453">
              <w:rPr>
                <w:rFonts w:cstheme="minorHAnsi"/>
                <w:color w:val="010205"/>
                <w:kern w:val="0"/>
              </w:rPr>
              <w:t>19</w:t>
            </w:r>
          </w:p>
        </w:tc>
        <w:tc>
          <w:tcPr>
            <w:tcW w:w="2178" w:type="dxa"/>
            <w:vAlign w:val="center"/>
          </w:tcPr>
          <w:p w14:paraId="534B6649" w14:textId="6D7171D4" w:rsidR="0020326C" w:rsidRPr="00A50453" w:rsidRDefault="0020326C" w:rsidP="0020326C">
            <w:pPr>
              <w:spacing w:line="360" w:lineRule="auto"/>
              <w:jc w:val="center"/>
              <w:rPr>
                <w:rFonts w:cstheme="minorHAnsi"/>
                <w:bCs/>
                <w:lang w:val="en-US"/>
              </w:rPr>
            </w:pPr>
            <w:r w:rsidRPr="00A50453">
              <w:rPr>
                <w:rFonts w:cstheme="minorHAnsi"/>
                <w:color w:val="010205"/>
                <w:kern w:val="0"/>
              </w:rPr>
              <w:t>15.8%</w:t>
            </w:r>
          </w:p>
        </w:tc>
      </w:tr>
      <w:tr w:rsidR="0020326C" w14:paraId="70E5C6A1" w14:textId="77777777" w:rsidTr="00CD4F29">
        <w:trPr>
          <w:trHeight w:val="423"/>
          <w:jc w:val="center"/>
        </w:trPr>
        <w:tc>
          <w:tcPr>
            <w:tcW w:w="1775" w:type="dxa"/>
            <w:tcBorders>
              <w:top w:val="nil"/>
              <w:bottom w:val="nil"/>
            </w:tcBorders>
            <w:vAlign w:val="center"/>
          </w:tcPr>
          <w:p w14:paraId="1459C967" w14:textId="77777777" w:rsidR="0020326C" w:rsidRPr="00A50453" w:rsidRDefault="0020326C" w:rsidP="0020326C">
            <w:pPr>
              <w:spacing w:line="360" w:lineRule="auto"/>
              <w:jc w:val="center"/>
              <w:rPr>
                <w:rFonts w:cstheme="minorHAnsi"/>
                <w:bCs/>
                <w:lang w:val="en-US"/>
              </w:rPr>
            </w:pPr>
          </w:p>
        </w:tc>
        <w:tc>
          <w:tcPr>
            <w:tcW w:w="2420" w:type="dxa"/>
            <w:vAlign w:val="center"/>
          </w:tcPr>
          <w:p w14:paraId="53902C2A" w14:textId="3428C33C" w:rsidR="0020326C" w:rsidRPr="00A50453" w:rsidRDefault="0020326C" w:rsidP="0020326C">
            <w:pPr>
              <w:spacing w:line="360" w:lineRule="auto"/>
              <w:jc w:val="center"/>
              <w:rPr>
                <w:rFonts w:cstheme="minorHAnsi"/>
                <w:bCs/>
                <w:lang w:val="en-US"/>
              </w:rPr>
            </w:pPr>
            <w:r w:rsidRPr="00A50453">
              <w:rPr>
                <w:rFonts w:cstheme="minorHAnsi"/>
                <w:bCs/>
                <w:lang w:val="en-US"/>
              </w:rPr>
              <w:t>56-65</w:t>
            </w:r>
          </w:p>
        </w:tc>
        <w:tc>
          <w:tcPr>
            <w:tcW w:w="2643" w:type="dxa"/>
            <w:vAlign w:val="center"/>
          </w:tcPr>
          <w:p w14:paraId="5CFB267D" w14:textId="1AD699F5" w:rsidR="0020326C" w:rsidRPr="00A50453" w:rsidRDefault="0020326C" w:rsidP="0020326C">
            <w:pPr>
              <w:spacing w:line="360" w:lineRule="auto"/>
              <w:jc w:val="center"/>
              <w:rPr>
                <w:rFonts w:cstheme="minorHAnsi"/>
                <w:bCs/>
                <w:lang w:val="en-US"/>
              </w:rPr>
            </w:pPr>
            <w:r w:rsidRPr="00A50453">
              <w:rPr>
                <w:rFonts w:cstheme="minorHAnsi"/>
                <w:color w:val="010205"/>
                <w:kern w:val="0"/>
              </w:rPr>
              <w:t>16</w:t>
            </w:r>
          </w:p>
        </w:tc>
        <w:tc>
          <w:tcPr>
            <w:tcW w:w="2178" w:type="dxa"/>
            <w:vAlign w:val="center"/>
          </w:tcPr>
          <w:p w14:paraId="2A008472" w14:textId="35DD1895" w:rsidR="0020326C" w:rsidRPr="00A50453" w:rsidRDefault="0020326C" w:rsidP="0020326C">
            <w:pPr>
              <w:spacing w:line="360" w:lineRule="auto"/>
              <w:jc w:val="center"/>
              <w:rPr>
                <w:rFonts w:cstheme="minorHAnsi"/>
                <w:bCs/>
                <w:lang w:val="en-US"/>
              </w:rPr>
            </w:pPr>
            <w:r w:rsidRPr="00A50453">
              <w:rPr>
                <w:rFonts w:cstheme="minorHAnsi"/>
                <w:color w:val="010205"/>
                <w:kern w:val="0"/>
              </w:rPr>
              <w:t>13.3%</w:t>
            </w:r>
          </w:p>
        </w:tc>
      </w:tr>
      <w:tr w:rsidR="0020326C" w14:paraId="09A94BA0" w14:textId="77777777" w:rsidTr="00CD4F29">
        <w:trPr>
          <w:trHeight w:val="331"/>
          <w:jc w:val="center"/>
        </w:trPr>
        <w:tc>
          <w:tcPr>
            <w:tcW w:w="1775" w:type="dxa"/>
            <w:tcBorders>
              <w:top w:val="nil"/>
              <w:bottom w:val="single" w:sz="4" w:space="0" w:color="auto"/>
            </w:tcBorders>
            <w:vAlign w:val="center"/>
          </w:tcPr>
          <w:p w14:paraId="23AEFDAA" w14:textId="77777777" w:rsidR="0020326C" w:rsidRPr="00A50453" w:rsidRDefault="0020326C" w:rsidP="0020326C">
            <w:pPr>
              <w:spacing w:line="360" w:lineRule="auto"/>
              <w:jc w:val="center"/>
              <w:rPr>
                <w:rFonts w:cstheme="minorHAnsi"/>
                <w:bCs/>
                <w:lang w:val="en-US"/>
              </w:rPr>
            </w:pPr>
          </w:p>
        </w:tc>
        <w:tc>
          <w:tcPr>
            <w:tcW w:w="2420" w:type="dxa"/>
            <w:tcBorders>
              <w:bottom w:val="single" w:sz="4" w:space="0" w:color="auto"/>
            </w:tcBorders>
            <w:vAlign w:val="center"/>
          </w:tcPr>
          <w:p w14:paraId="0B462260" w14:textId="7E04D807" w:rsidR="0020326C" w:rsidRPr="00A50453" w:rsidRDefault="0020326C" w:rsidP="0020326C">
            <w:pPr>
              <w:spacing w:line="360" w:lineRule="auto"/>
              <w:jc w:val="center"/>
              <w:rPr>
                <w:rFonts w:cstheme="minorHAnsi"/>
                <w:bCs/>
                <w:lang w:val="en-US"/>
              </w:rPr>
            </w:pPr>
            <w:r w:rsidRPr="00A50453">
              <w:rPr>
                <w:rFonts w:cstheme="minorHAnsi"/>
                <w:bCs/>
                <w:lang w:val="en-US"/>
              </w:rPr>
              <w:t>66 and above</w:t>
            </w:r>
          </w:p>
        </w:tc>
        <w:tc>
          <w:tcPr>
            <w:tcW w:w="2643" w:type="dxa"/>
            <w:vAlign w:val="center"/>
          </w:tcPr>
          <w:p w14:paraId="1CA17885" w14:textId="1AE084D3" w:rsidR="0020326C" w:rsidRPr="00A50453" w:rsidRDefault="0020326C" w:rsidP="0020326C">
            <w:pPr>
              <w:spacing w:line="360" w:lineRule="auto"/>
              <w:jc w:val="center"/>
              <w:rPr>
                <w:rFonts w:cstheme="minorHAnsi"/>
                <w:bCs/>
                <w:lang w:val="en-US"/>
              </w:rPr>
            </w:pPr>
            <w:r w:rsidRPr="00A50453">
              <w:rPr>
                <w:rFonts w:cstheme="minorHAnsi"/>
                <w:color w:val="010205"/>
                <w:kern w:val="0"/>
              </w:rPr>
              <w:t>4</w:t>
            </w:r>
          </w:p>
        </w:tc>
        <w:tc>
          <w:tcPr>
            <w:tcW w:w="2178" w:type="dxa"/>
            <w:vAlign w:val="center"/>
          </w:tcPr>
          <w:p w14:paraId="79995044" w14:textId="325444EE" w:rsidR="0020326C" w:rsidRPr="00A50453" w:rsidRDefault="0020326C" w:rsidP="0020326C">
            <w:pPr>
              <w:spacing w:line="360" w:lineRule="auto"/>
              <w:jc w:val="center"/>
              <w:rPr>
                <w:rFonts w:cstheme="minorHAnsi"/>
                <w:bCs/>
                <w:lang w:val="en-US"/>
              </w:rPr>
            </w:pPr>
            <w:r w:rsidRPr="00A50453">
              <w:rPr>
                <w:rFonts w:cstheme="minorHAnsi"/>
                <w:color w:val="010205"/>
                <w:kern w:val="0"/>
              </w:rPr>
              <w:t>3.3%</w:t>
            </w:r>
          </w:p>
        </w:tc>
      </w:tr>
      <w:tr w:rsidR="00CD4F29" w14:paraId="0F9B428B" w14:textId="77777777" w:rsidTr="007D3808">
        <w:trPr>
          <w:trHeight w:val="367"/>
          <w:jc w:val="center"/>
        </w:trPr>
        <w:tc>
          <w:tcPr>
            <w:tcW w:w="1775" w:type="dxa"/>
            <w:vMerge w:val="restart"/>
            <w:tcBorders>
              <w:top w:val="single" w:sz="4" w:space="0" w:color="auto"/>
            </w:tcBorders>
            <w:vAlign w:val="center"/>
          </w:tcPr>
          <w:p w14:paraId="0E092055" w14:textId="370381A6" w:rsidR="00CD4F29" w:rsidRPr="00A50453" w:rsidRDefault="00CD4F29" w:rsidP="0020326C">
            <w:pPr>
              <w:spacing w:line="360" w:lineRule="auto"/>
              <w:jc w:val="center"/>
              <w:rPr>
                <w:rFonts w:cstheme="minorHAnsi"/>
                <w:bCs/>
                <w:lang w:val="en-US"/>
              </w:rPr>
            </w:pPr>
            <w:r w:rsidRPr="00A50453">
              <w:rPr>
                <w:rFonts w:cstheme="minorHAnsi"/>
                <w:bCs/>
                <w:lang w:val="en-US"/>
              </w:rPr>
              <w:t>MONTHLY INCOME</w:t>
            </w:r>
          </w:p>
        </w:tc>
        <w:tc>
          <w:tcPr>
            <w:tcW w:w="2420" w:type="dxa"/>
            <w:tcBorders>
              <w:top w:val="single" w:sz="4" w:space="0" w:color="auto"/>
            </w:tcBorders>
            <w:vAlign w:val="center"/>
          </w:tcPr>
          <w:p w14:paraId="0F2A0F4F" w14:textId="590C5F51" w:rsidR="00CD4F29" w:rsidRPr="00A50453" w:rsidRDefault="00CD4F29" w:rsidP="0020326C">
            <w:pPr>
              <w:spacing w:line="360" w:lineRule="auto"/>
              <w:jc w:val="center"/>
              <w:rPr>
                <w:rFonts w:cstheme="minorHAnsi"/>
                <w:bCs/>
                <w:lang w:val="en-US"/>
              </w:rPr>
            </w:pPr>
            <w:r w:rsidRPr="00A50453">
              <w:rPr>
                <w:rFonts w:cstheme="minorHAnsi"/>
                <w:color w:val="000000" w:themeColor="text1"/>
                <w:kern w:val="0"/>
              </w:rPr>
              <w:t>Below 25000</w:t>
            </w:r>
          </w:p>
        </w:tc>
        <w:tc>
          <w:tcPr>
            <w:tcW w:w="2643" w:type="dxa"/>
            <w:vAlign w:val="center"/>
          </w:tcPr>
          <w:p w14:paraId="5B9A068A" w14:textId="4AB18D14" w:rsidR="00CD4F29" w:rsidRPr="00A50453" w:rsidRDefault="00CD4F29" w:rsidP="0020326C">
            <w:pPr>
              <w:spacing w:line="360" w:lineRule="auto"/>
              <w:jc w:val="center"/>
              <w:rPr>
                <w:rFonts w:cstheme="minorHAnsi"/>
                <w:color w:val="010205"/>
              </w:rPr>
            </w:pPr>
            <w:r w:rsidRPr="00A50453">
              <w:rPr>
                <w:rFonts w:cstheme="minorHAnsi"/>
                <w:color w:val="000000" w:themeColor="text1"/>
                <w:kern w:val="0"/>
              </w:rPr>
              <w:t>36</w:t>
            </w:r>
          </w:p>
        </w:tc>
        <w:tc>
          <w:tcPr>
            <w:tcW w:w="2178" w:type="dxa"/>
            <w:vAlign w:val="center"/>
          </w:tcPr>
          <w:p w14:paraId="3EF9C8DB" w14:textId="187E0C43" w:rsidR="00CD4F29" w:rsidRPr="00A50453" w:rsidRDefault="00CD4F29" w:rsidP="0020326C">
            <w:pPr>
              <w:spacing w:line="360" w:lineRule="auto"/>
              <w:jc w:val="center"/>
              <w:rPr>
                <w:rFonts w:cstheme="minorHAnsi"/>
                <w:color w:val="010205"/>
              </w:rPr>
            </w:pPr>
            <w:r w:rsidRPr="00A50453">
              <w:rPr>
                <w:rFonts w:cstheme="minorHAnsi"/>
                <w:color w:val="000000" w:themeColor="text1"/>
                <w:kern w:val="0"/>
              </w:rPr>
              <w:t>30.0%</w:t>
            </w:r>
          </w:p>
        </w:tc>
      </w:tr>
      <w:tr w:rsidR="00CD4F29" w14:paraId="53696EA3" w14:textId="77777777" w:rsidTr="007D3808">
        <w:trPr>
          <w:trHeight w:val="274"/>
          <w:jc w:val="center"/>
        </w:trPr>
        <w:tc>
          <w:tcPr>
            <w:tcW w:w="1775" w:type="dxa"/>
            <w:vMerge/>
            <w:vAlign w:val="center"/>
          </w:tcPr>
          <w:p w14:paraId="48FE4B18" w14:textId="29DDA4AE" w:rsidR="00CD4F29" w:rsidRPr="00A50453" w:rsidRDefault="00CD4F29" w:rsidP="0020326C">
            <w:pPr>
              <w:spacing w:line="360" w:lineRule="auto"/>
              <w:jc w:val="center"/>
              <w:rPr>
                <w:rFonts w:cstheme="minorHAnsi"/>
                <w:bCs/>
                <w:lang w:val="en-US"/>
              </w:rPr>
            </w:pPr>
          </w:p>
        </w:tc>
        <w:tc>
          <w:tcPr>
            <w:tcW w:w="2420" w:type="dxa"/>
            <w:vAlign w:val="center"/>
          </w:tcPr>
          <w:p w14:paraId="5E93B2C1" w14:textId="36A93192" w:rsidR="00CD4F29" w:rsidRPr="00A50453" w:rsidRDefault="00CD4F29" w:rsidP="0020326C">
            <w:pPr>
              <w:spacing w:line="360" w:lineRule="auto"/>
              <w:jc w:val="center"/>
              <w:rPr>
                <w:rFonts w:cstheme="minorHAnsi"/>
                <w:bCs/>
                <w:lang w:val="en-US"/>
              </w:rPr>
            </w:pPr>
            <w:r w:rsidRPr="00A50453">
              <w:rPr>
                <w:rFonts w:cstheme="minorHAnsi"/>
                <w:color w:val="000000" w:themeColor="text1"/>
                <w:kern w:val="0"/>
              </w:rPr>
              <w:t>25001 - 40000</w:t>
            </w:r>
          </w:p>
        </w:tc>
        <w:tc>
          <w:tcPr>
            <w:tcW w:w="2643" w:type="dxa"/>
            <w:vAlign w:val="center"/>
          </w:tcPr>
          <w:p w14:paraId="633D8A8D" w14:textId="13DF6F9B" w:rsidR="00CD4F29" w:rsidRPr="00A50453" w:rsidRDefault="00CD4F29" w:rsidP="0020326C">
            <w:pPr>
              <w:spacing w:line="360" w:lineRule="auto"/>
              <w:jc w:val="center"/>
              <w:rPr>
                <w:rFonts w:cstheme="minorHAnsi"/>
                <w:color w:val="010205"/>
              </w:rPr>
            </w:pPr>
            <w:r w:rsidRPr="00A50453">
              <w:rPr>
                <w:rFonts w:cstheme="minorHAnsi"/>
                <w:color w:val="000000" w:themeColor="text1"/>
                <w:kern w:val="0"/>
              </w:rPr>
              <w:t>32</w:t>
            </w:r>
          </w:p>
        </w:tc>
        <w:tc>
          <w:tcPr>
            <w:tcW w:w="2178" w:type="dxa"/>
            <w:vAlign w:val="center"/>
          </w:tcPr>
          <w:p w14:paraId="4AF92767" w14:textId="7DC93E4F" w:rsidR="00CD4F29" w:rsidRPr="00A50453" w:rsidRDefault="00CD4F29" w:rsidP="0020326C">
            <w:pPr>
              <w:spacing w:line="360" w:lineRule="auto"/>
              <w:jc w:val="center"/>
              <w:rPr>
                <w:rFonts w:cstheme="minorHAnsi"/>
                <w:color w:val="010205"/>
              </w:rPr>
            </w:pPr>
            <w:r w:rsidRPr="00A50453">
              <w:rPr>
                <w:rFonts w:cstheme="minorHAnsi"/>
                <w:color w:val="000000" w:themeColor="text1"/>
                <w:kern w:val="0"/>
              </w:rPr>
              <w:t>26.7%</w:t>
            </w:r>
          </w:p>
        </w:tc>
      </w:tr>
      <w:tr w:rsidR="00CD4F29" w14:paraId="66F69334" w14:textId="77777777" w:rsidTr="007D3808">
        <w:trPr>
          <w:trHeight w:val="466"/>
          <w:jc w:val="center"/>
        </w:trPr>
        <w:tc>
          <w:tcPr>
            <w:tcW w:w="1775" w:type="dxa"/>
            <w:vMerge/>
            <w:vAlign w:val="center"/>
          </w:tcPr>
          <w:p w14:paraId="1BE3E6C5" w14:textId="1150A027" w:rsidR="00CD4F29" w:rsidRPr="00A50453" w:rsidRDefault="00CD4F29" w:rsidP="0020326C">
            <w:pPr>
              <w:spacing w:line="360" w:lineRule="auto"/>
              <w:jc w:val="center"/>
              <w:rPr>
                <w:rFonts w:cstheme="minorHAnsi"/>
                <w:bCs/>
                <w:lang w:val="en-US"/>
              </w:rPr>
            </w:pPr>
          </w:p>
        </w:tc>
        <w:tc>
          <w:tcPr>
            <w:tcW w:w="2420" w:type="dxa"/>
            <w:vAlign w:val="center"/>
          </w:tcPr>
          <w:p w14:paraId="1118D189" w14:textId="6A274C37" w:rsidR="00CD4F29" w:rsidRPr="00A50453" w:rsidRDefault="00CD4F29" w:rsidP="0020326C">
            <w:pPr>
              <w:spacing w:line="360" w:lineRule="auto"/>
              <w:jc w:val="center"/>
              <w:rPr>
                <w:rFonts w:cstheme="minorHAnsi"/>
                <w:bCs/>
                <w:lang w:val="en-US"/>
              </w:rPr>
            </w:pPr>
            <w:r w:rsidRPr="00A50453">
              <w:rPr>
                <w:rFonts w:cstheme="minorHAnsi"/>
                <w:color w:val="000000" w:themeColor="text1"/>
                <w:kern w:val="0"/>
              </w:rPr>
              <w:t>40001 - 60000</w:t>
            </w:r>
          </w:p>
        </w:tc>
        <w:tc>
          <w:tcPr>
            <w:tcW w:w="2643" w:type="dxa"/>
            <w:vAlign w:val="center"/>
          </w:tcPr>
          <w:p w14:paraId="002B3091" w14:textId="39902960" w:rsidR="00CD4F29" w:rsidRPr="00A50453" w:rsidRDefault="00CD4F29" w:rsidP="0020326C">
            <w:pPr>
              <w:spacing w:line="360" w:lineRule="auto"/>
              <w:jc w:val="center"/>
              <w:rPr>
                <w:rFonts w:cstheme="minorHAnsi"/>
                <w:color w:val="010205"/>
              </w:rPr>
            </w:pPr>
            <w:r w:rsidRPr="00A50453">
              <w:rPr>
                <w:rFonts w:cstheme="minorHAnsi"/>
                <w:color w:val="000000" w:themeColor="text1"/>
                <w:kern w:val="0"/>
              </w:rPr>
              <w:t>17</w:t>
            </w:r>
          </w:p>
        </w:tc>
        <w:tc>
          <w:tcPr>
            <w:tcW w:w="2178" w:type="dxa"/>
            <w:vAlign w:val="center"/>
          </w:tcPr>
          <w:p w14:paraId="13F2DC35" w14:textId="6A9010B4" w:rsidR="00CD4F29" w:rsidRPr="00A50453" w:rsidRDefault="00CD4F29" w:rsidP="0020326C">
            <w:pPr>
              <w:spacing w:line="360" w:lineRule="auto"/>
              <w:jc w:val="center"/>
              <w:rPr>
                <w:rFonts w:cstheme="minorHAnsi"/>
                <w:color w:val="010205"/>
              </w:rPr>
            </w:pPr>
            <w:r w:rsidRPr="00A50453">
              <w:rPr>
                <w:rFonts w:cstheme="minorHAnsi"/>
                <w:color w:val="000000" w:themeColor="text1"/>
                <w:kern w:val="0"/>
              </w:rPr>
              <w:t>14.2%</w:t>
            </w:r>
          </w:p>
        </w:tc>
      </w:tr>
      <w:tr w:rsidR="00CD4F29" w14:paraId="5A2DE683" w14:textId="77777777" w:rsidTr="007D3808">
        <w:trPr>
          <w:trHeight w:val="269"/>
          <w:jc w:val="center"/>
        </w:trPr>
        <w:tc>
          <w:tcPr>
            <w:tcW w:w="1775" w:type="dxa"/>
            <w:vMerge/>
            <w:tcBorders>
              <w:bottom w:val="single" w:sz="4" w:space="0" w:color="auto"/>
            </w:tcBorders>
            <w:vAlign w:val="center"/>
          </w:tcPr>
          <w:p w14:paraId="54DA447C" w14:textId="77777777" w:rsidR="00CD4F29" w:rsidRPr="00A50453" w:rsidRDefault="00CD4F29" w:rsidP="0020326C">
            <w:pPr>
              <w:spacing w:line="360" w:lineRule="auto"/>
              <w:jc w:val="center"/>
              <w:rPr>
                <w:rFonts w:cstheme="minorHAnsi"/>
                <w:bCs/>
                <w:lang w:val="en-US"/>
              </w:rPr>
            </w:pPr>
          </w:p>
        </w:tc>
        <w:tc>
          <w:tcPr>
            <w:tcW w:w="2420" w:type="dxa"/>
            <w:tcBorders>
              <w:bottom w:val="single" w:sz="4" w:space="0" w:color="auto"/>
            </w:tcBorders>
            <w:vAlign w:val="center"/>
          </w:tcPr>
          <w:p w14:paraId="54822A74" w14:textId="33DDB883" w:rsidR="00CD4F29" w:rsidRPr="00A50453" w:rsidRDefault="00CD4F29" w:rsidP="0020326C">
            <w:pPr>
              <w:spacing w:line="360" w:lineRule="auto"/>
              <w:jc w:val="center"/>
              <w:rPr>
                <w:rFonts w:cstheme="minorHAnsi"/>
                <w:bCs/>
                <w:lang w:val="en-US"/>
              </w:rPr>
            </w:pPr>
            <w:r w:rsidRPr="00A50453">
              <w:rPr>
                <w:rFonts w:cstheme="minorHAnsi"/>
                <w:color w:val="000000" w:themeColor="text1"/>
                <w:kern w:val="0"/>
              </w:rPr>
              <w:t>Above 60000</w:t>
            </w:r>
          </w:p>
        </w:tc>
        <w:tc>
          <w:tcPr>
            <w:tcW w:w="2643" w:type="dxa"/>
            <w:vAlign w:val="center"/>
          </w:tcPr>
          <w:p w14:paraId="20A38314" w14:textId="5BFC3B60" w:rsidR="00CD4F29" w:rsidRPr="00A50453" w:rsidRDefault="00CD4F29" w:rsidP="0020326C">
            <w:pPr>
              <w:spacing w:line="360" w:lineRule="auto"/>
              <w:jc w:val="center"/>
              <w:rPr>
                <w:rFonts w:cstheme="minorHAnsi"/>
                <w:color w:val="010205"/>
              </w:rPr>
            </w:pPr>
            <w:r w:rsidRPr="00A50453">
              <w:rPr>
                <w:rFonts w:cstheme="minorHAnsi"/>
                <w:color w:val="000000" w:themeColor="text1"/>
                <w:kern w:val="0"/>
              </w:rPr>
              <w:t>35</w:t>
            </w:r>
          </w:p>
        </w:tc>
        <w:tc>
          <w:tcPr>
            <w:tcW w:w="2178" w:type="dxa"/>
            <w:vAlign w:val="center"/>
          </w:tcPr>
          <w:p w14:paraId="3BE84F10" w14:textId="767EBE25" w:rsidR="00CD4F29" w:rsidRPr="00A50453" w:rsidRDefault="00CD4F29" w:rsidP="0020326C">
            <w:pPr>
              <w:spacing w:line="360" w:lineRule="auto"/>
              <w:jc w:val="center"/>
              <w:rPr>
                <w:rFonts w:cstheme="minorHAnsi"/>
                <w:color w:val="010205"/>
              </w:rPr>
            </w:pPr>
            <w:r w:rsidRPr="00A50453">
              <w:rPr>
                <w:rFonts w:cstheme="minorHAnsi"/>
                <w:color w:val="000000" w:themeColor="text1"/>
                <w:kern w:val="0"/>
              </w:rPr>
              <w:t>29.2%</w:t>
            </w:r>
          </w:p>
        </w:tc>
      </w:tr>
      <w:tr w:rsidR="00CD4F29" w14:paraId="588C300C" w14:textId="77777777" w:rsidTr="0067246B">
        <w:trPr>
          <w:trHeight w:val="319"/>
          <w:jc w:val="center"/>
        </w:trPr>
        <w:tc>
          <w:tcPr>
            <w:tcW w:w="1775" w:type="dxa"/>
            <w:vMerge w:val="restart"/>
            <w:tcBorders>
              <w:top w:val="single" w:sz="4" w:space="0" w:color="auto"/>
            </w:tcBorders>
            <w:vAlign w:val="center"/>
          </w:tcPr>
          <w:p w14:paraId="5D5F854B" w14:textId="78A173D3" w:rsidR="00CD4F29" w:rsidRPr="00A50453" w:rsidRDefault="00CD4F29" w:rsidP="0020326C">
            <w:pPr>
              <w:spacing w:line="360" w:lineRule="auto"/>
              <w:jc w:val="center"/>
              <w:rPr>
                <w:rFonts w:cstheme="minorHAnsi"/>
                <w:bCs/>
                <w:lang w:val="en-US"/>
              </w:rPr>
            </w:pPr>
            <w:r w:rsidRPr="00A50453">
              <w:rPr>
                <w:rFonts w:cstheme="minorHAnsi"/>
                <w:bCs/>
                <w:lang w:val="en-US"/>
              </w:rPr>
              <w:t>MARITAL STATUS</w:t>
            </w:r>
          </w:p>
        </w:tc>
        <w:tc>
          <w:tcPr>
            <w:tcW w:w="2420" w:type="dxa"/>
            <w:tcBorders>
              <w:top w:val="single" w:sz="4" w:space="0" w:color="auto"/>
            </w:tcBorders>
            <w:vAlign w:val="center"/>
          </w:tcPr>
          <w:p w14:paraId="34897E44" w14:textId="7D7E83A8" w:rsidR="00CD4F29" w:rsidRPr="00A50453" w:rsidRDefault="00CD4F29" w:rsidP="0020326C">
            <w:pPr>
              <w:spacing w:line="360" w:lineRule="auto"/>
              <w:jc w:val="center"/>
              <w:rPr>
                <w:rFonts w:cstheme="minorHAnsi"/>
                <w:color w:val="000000" w:themeColor="text1"/>
              </w:rPr>
            </w:pPr>
            <w:r w:rsidRPr="00A50453">
              <w:rPr>
                <w:rFonts w:cstheme="minorHAnsi"/>
                <w:color w:val="000000" w:themeColor="text1"/>
                <w:kern w:val="0"/>
              </w:rPr>
              <w:t>Married</w:t>
            </w:r>
          </w:p>
        </w:tc>
        <w:tc>
          <w:tcPr>
            <w:tcW w:w="2643" w:type="dxa"/>
            <w:vAlign w:val="center"/>
          </w:tcPr>
          <w:p w14:paraId="19BDBF63" w14:textId="798DAF7A" w:rsidR="00CD4F29" w:rsidRPr="00A50453" w:rsidRDefault="00CD4F29" w:rsidP="0020326C">
            <w:pPr>
              <w:spacing w:line="360" w:lineRule="auto"/>
              <w:jc w:val="center"/>
              <w:rPr>
                <w:rFonts w:cstheme="minorHAnsi"/>
                <w:color w:val="000000" w:themeColor="text1"/>
              </w:rPr>
            </w:pPr>
            <w:r w:rsidRPr="00A50453">
              <w:rPr>
                <w:rFonts w:cstheme="minorHAnsi"/>
                <w:color w:val="000000" w:themeColor="text1"/>
                <w:kern w:val="0"/>
              </w:rPr>
              <w:t>66</w:t>
            </w:r>
          </w:p>
        </w:tc>
        <w:tc>
          <w:tcPr>
            <w:tcW w:w="2178" w:type="dxa"/>
            <w:vAlign w:val="center"/>
          </w:tcPr>
          <w:p w14:paraId="1F63F3C9" w14:textId="4B91C771" w:rsidR="00CD4F29" w:rsidRPr="00A50453" w:rsidRDefault="00CD4F29" w:rsidP="0020326C">
            <w:pPr>
              <w:spacing w:line="360" w:lineRule="auto"/>
              <w:jc w:val="center"/>
              <w:rPr>
                <w:rFonts w:cstheme="minorHAnsi"/>
                <w:color w:val="000000" w:themeColor="text1"/>
              </w:rPr>
            </w:pPr>
            <w:r w:rsidRPr="00A50453">
              <w:rPr>
                <w:rFonts w:cstheme="minorHAnsi"/>
                <w:color w:val="000000" w:themeColor="text1"/>
                <w:kern w:val="0"/>
              </w:rPr>
              <w:t>55%</w:t>
            </w:r>
          </w:p>
        </w:tc>
      </w:tr>
      <w:tr w:rsidR="00CD4F29" w14:paraId="787B4794" w14:textId="77777777" w:rsidTr="00CD4F29">
        <w:trPr>
          <w:trHeight w:val="305"/>
          <w:jc w:val="center"/>
        </w:trPr>
        <w:tc>
          <w:tcPr>
            <w:tcW w:w="1775" w:type="dxa"/>
            <w:vMerge/>
            <w:vAlign w:val="center"/>
          </w:tcPr>
          <w:p w14:paraId="6D5A5E49" w14:textId="2F8E13FC" w:rsidR="00CD4F29" w:rsidRPr="00A50453" w:rsidRDefault="00CD4F29" w:rsidP="0020326C">
            <w:pPr>
              <w:spacing w:line="360" w:lineRule="auto"/>
              <w:jc w:val="center"/>
              <w:rPr>
                <w:rFonts w:cstheme="minorHAnsi"/>
                <w:bCs/>
                <w:lang w:val="en-US"/>
              </w:rPr>
            </w:pPr>
          </w:p>
        </w:tc>
        <w:tc>
          <w:tcPr>
            <w:tcW w:w="2420" w:type="dxa"/>
            <w:vAlign w:val="center"/>
          </w:tcPr>
          <w:p w14:paraId="3EE00E08" w14:textId="329D1816" w:rsidR="00CD4F29" w:rsidRPr="00A50453" w:rsidRDefault="00CD4F29" w:rsidP="0020326C">
            <w:pPr>
              <w:spacing w:line="360" w:lineRule="auto"/>
              <w:jc w:val="center"/>
              <w:rPr>
                <w:rFonts w:cstheme="minorHAnsi"/>
                <w:color w:val="000000" w:themeColor="text1"/>
              </w:rPr>
            </w:pPr>
            <w:r w:rsidRPr="00A50453">
              <w:rPr>
                <w:rFonts w:cstheme="minorHAnsi"/>
                <w:color w:val="000000" w:themeColor="text1"/>
                <w:kern w:val="0"/>
              </w:rPr>
              <w:t>Unmarried</w:t>
            </w:r>
          </w:p>
        </w:tc>
        <w:tc>
          <w:tcPr>
            <w:tcW w:w="2643" w:type="dxa"/>
            <w:vAlign w:val="center"/>
          </w:tcPr>
          <w:p w14:paraId="348717F5" w14:textId="4FB1DC42" w:rsidR="00CD4F29" w:rsidRPr="00A50453" w:rsidRDefault="00CD4F29" w:rsidP="0020326C">
            <w:pPr>
              <w:spacing w:line="360" w:lineRule="auto"/>
              <w:jc w:val="center"/>
              <w:rPr>
                <w:rFonts w:cstheme="minorHAnsi"/>
                <w:color w:val="000000" w:themeColor="text1"/>
              </w:rPr>
            </w:pPr>
            <w:r w:rsidRPr="00A50453">
              <w:rPr>
                <w:rFonts w:cstheme="minorHAnsi"/>
                <w:color w:val="000000" w:themeColor="text1"/>
                <w:kern w:val="0"/>
              </w:rPr>
              <w:t>54</w:t>
            </w:r>
          </w:p>
        </w:tc>
        <w:tc>
          <w:tcPr>
            <w:tcW w:w="2178" w:type="dxa"/>
            <w:vAlign w:val="center"/>
          </w:tcPr>
          <w:p w14:paraId="3DAEDDAF" w14:textId="755BA8C3" w:rsidR="00CD4F29" w:rsidRPr="00A50453" w:rsidRDefault="00CD4F29" w:rsidP="0020326C">
            <w:pPr>
              <w:spacing w:line="360" w:lineRule="auto"/>
              <w:jc w:val="center"/>
              <w:rPr>
                <w:rFonts w:cstheme="minorHAnsi"/>
                <w:color w:val="000000" w:themeColor="text1"/>
              </w:rPr>
            </w:pPr>
            <w:r w:rsidRPr="00A50453">
              <w:rPr>
                <w:rFonts w:cstheme="minorHAnsi"/>
                <w:color w:val="000000" w:themeColor="text1"/>
                <w:kern w:val="0"/>
              </w:rPr>
              <w:t>45%</w:t>
            </w:r>
          </w:p>
        </w:tc>
      </w:tr>
    </w:tbl>
    <w:p w14:paraId="18E6849D" w14:textId="37AC866D" w:rsidR="00126FFC" w:rsidRPr="00A50453" w:rsidRDefault="0041427D" w:rsidP="0041427D">
      <w:pPr>
        <w:spacing w:after="0" w:line="360" w:lineRule="auto"/>
        <w:jc w:val="both"/>
        <w:sectPr w:rsidR="00126FFC" w:rsidRPr="00A50453">
          <w:pgSz w:w="11906" w:h="16838"/>
          <w:pgMar w:top="1440" w:right="1440" w:bottom="1440" w:left="1440" w:header="708" w:footer="708" w:gutter="0"/>
          <w:pgNumType w:start="1"/>
          <w:cols w:space="708"/>
          <w:docGrid w:linePitch="360"/>
        </w:sectPr>
      </w:pPr>
      <w:r w:rsidRPr="0041427D">
        <w:rPr>
          <w:rFonts w:cstheme="minorHAnsi"/>
          <w:kern w:val="2"/>
          <w:lang w:val="en-US"/>
          <w14:ligatures w14:val="standardContextual"/>
        </w:rPr>
        <w:t xml:space="preserve">Table 1 reveals </w:t>
      </w:r>
      <w:r w:rsidR="00A50453">
        <w:t>a diverse demographic profile of respondents. A majority (61.7%) of respondents are male, with a significant portion (33.3%) falling in the 18-25 age group. In terms of income, respondents are fairly distributed across income brackets, with the highest percentage (30%) earning below 25,000 and the second largest group (29.2%) earning above 60,000. Additionally, marital status data shows that 55% of participants are married. This demographic mix suggests that the bank’s customer base is varied across age, gender, income, and marital status. The findings underscore the importance of effective risk management in fostering customer trust across these diverse groups, as risk mitigation is likely a key concern for all segments, whether young adults starting out in their careers or more established professionals with higher incomes.</w:t>
      </w:r>
    </w:p>
    <w:p w14:paraId="2D111FC9" w14:textId="555DDADD" w:rsidR="00213645" w:rsidRPr="00A50453" w:rsidRDefault="00000000" w:rsidP="0041427D">
      <w:pPr>
        <w:pStyle w:val="Heading1"/>
        <w:spacing w:after="122" w:line="360" w:lineRule="auto"/>
        <w:ind w:left="0" w:firstLine="0"/>
        <w:jc w:val="left"/>
        <w:rPr>
          <w:rFonts w:asciiTheme="minorHAnsi" w:hAnsiTheme="minorHAnsi" w:cstheme="minorHAnsi"/>
          <w:sz w:val="22"/>
        </w:rPr>
      </w:pPr>
      <w:r w:rsidRPr="00A50453">
        <w:rPr>
          <w:rFonts w:asciiTheme="minorHAnsi" w:hAnsiTheme="minorHAnsi" w:cstheme="minorHAnsi"/>
          <w:sz w:val="22"/>
        </w:rPr>
        <w:lastRenderedPageBreak/>
        <w:t>CORRELATION ANALYSIS</w:t>
      </w:r>
    </w:p>
    <w:p w14:paraId="5B45F547" w14:textId="05E36B33" w:rsidR="0041427D" w:rsidRDefault="00000000" w:rsidP="0041427D">
      <w:pPr>
        <w:spacing w:after="0" w:line="358" w:lineRule="auto"/>
        <w:ind w:left="-5" w:right="-8" w:hanging="10"/>
        <w:jc w:val="both"/>
        <w:rPr>
          <w:rFonts w:eastAsia="Times New Roman" w:cstheme="minorHAnsi"/>
          <w:color w:val="000000"/>
          <w:lang w:val="en-US" w:bidi="ta-IN"/>
        </w:rPr>
      </w:pPr>
      <w:r w:rsidRPr="00A50453">
        <w:rPr>
          <w:rFonts w:eastAsia="Times New Roman" w:cstheme="minorHAnsi"/>
          <w:b/>
          <w:color w:val="000000"/>
          <w:lang w:val="en-US" w:bidi="ta-IN"/>
        </w:rPr>
        <w:t>Null hypothesis (H</w:t>
      </w:r>
      <w:r w:rsidRPr="00A50453">
        <w:rPr>
          <w:rFonts w:eastAsia="Times New Roman" w:cstheme="minorHAnsi"/>
          <w:b/>
          <w:color w:val="000000"/>
          <w:vertAlign w:val="subscript"/>
          <w:lang w:val="en-US" w:bidi="ta-IN"/>
        </w:rPr>
        <w:t>o</w:t>
      </w:r>
      <w:r w:rsidRPr="00A50453">
        <w:rPr>
          <w:rFonts w:eastAsia="Times New Roman" w:cstheme="minorHAnsi"/>
          <w:b/>
          <w:color w:val="000000"/>
          <w:lang w:val="en-US" w:bidi="ta-IN"/>
        </w:rPr>
        <w:t xml:space="preserve">): </w:t>
      </w:r>
      <w:bookmarkStart w:id="0" w:name="_Hlk178277985"/>
      <w:r w:rsidRPr="00A50453">
        <w:rPr>
          <w:rFonts w:eastAsia="Times New Roman" w:cstheme="minorHAnsi"/>
          <w:color w:val="000000"/>
          <w:lang w:val="en-US" w:bidi="ta-IN"/>
        </w:rPr>
        <w:t xml:space="preserve">There is no relationship between the dimensions of </w:t>
      </w:r>
      <w:r w:rsidR="00271AB5" w:rsidRPr="00A50453">
        <w:rPr>
          <w:rFonts w:eastAsia="Times New Roman" w:cstheme="minorHAnsi"/>
          <w:color w:val="000000"/>
          <w:lang w:val="en-US" w:bidi="ta-IN"/>
        </w:rPr>
        <w:t xml:space="preserve">Risk management system </w:t>
      </w:r>
      <w:r w:rsidRPr="00A50453">
        <w:rPr>
          <w:rFonts w:eastAsia="Times New Roman" w:cstheme="minorHAnsi"/>
          <w:color w:val="000000"/>
          <w:lang w:val="en-US" w:bidi="ta-IN"/>
        </w:rPr>
        <w:t xml:space="preserve">and </w:t>
      </w:r>
      <w:r w:rsidR="00271AB5" w:rsidRPr="00A50453">
        <w:rPr>
          <w:rFonts w:eastAsia="Times New Roman" w:cstheme="minorHAnsi"/>
          <w:color w:val="000000"/>
          <w:lang w:val="en-US" w:bidi="ta-IN"/>
        </w:rPr>
        <w:t xml:space="preserve">Customer Trust </w:t>
      </w:r>
      <w:r w:rsidRPr="00A50453">
        <w:rPr>
          <w:rFonts w:eastAsia="Times New Roman" w:cstheme="minorHAnsi"/>
          <w:color w:val="000000"/>
          <w:lang w:val="en-US" w:bidi="ta-IN"/>
        </w:rPr>
        <w:t xml:space="preserve">at </w:t>
      </w:r>
      <w:r w:rsidR="00271AB5" w:rsidRPr="00A50453">
        <w:rPr>
          <w:rFonts w:eastAsia="Times New Roman" w:cstheme="minorHAnsi"/>
          <w:color w:val="000000"/>
          <w:lang w:val="en-US" w:bidi="ta-IN"/>
        </w:rPr>
        <w:t xml:space="preserve">the </w:t>
      </w:r>
      <w:bookmarkEnd w:id="0"/>
      <w:r w:rsidR="0041427D">
        <w:rPr>
          <w:rFonts w:eastAsia="Times New Roman" w:cstheme="minorHAnsi"/>
          <w:color w:val="000000"/>
          <w:lang w:val="en-US" w:bidi="ta-IN"/>
        </w:rPr>
        <w:t>Banks</w:t>
      </w:r>
    </w:p>
    <w:p w14:paraId="79058DD3" w14:textId="77777777" w:rsidR="0041427D" w:rsidRDefault="00000000" w:rsidP="0041427D">
      <w:pPr>
        <w:spacing w:after="0" w:line="358" w:lineRule="auto"/>
        <w:ind w:left="-5" w:right="-8" w:hanging="10"/>
        <w:jc w:val="both"/>
        <w:rPr>
          <w:rFonts w:eastAsia="Times New Roman" w:cstheme="minorHAnsi"/>
          <w:b/>
          <w:bCs/>
          <w:color w:val="000000"/>
          <w:lang w:eastAsia="en-IN"/>
        </w:rPr>
      </w:pPr>
      <w:r w:rsidRPr="00A50453">
        <w:rPr>
          <w:rFonts w:eastAsia="Times New Roman" w:cstheme="minorHAnsi"/>
          <w:b/>
          <w:color w:val="000000"/>
          <w:lang w:val="en-US" w:bidi="ta-IN"/>
        </w:rPr>
        <w:t>Alternate hypothesis (H</w:t>
      </w:r>
      <w:r w:rsidRPr="00A50453">
        <w:rPr>
          <w:rFonts w:eastAsia="Times New Roman" w:cstheme="minorHAnsi"/>
          <w:b/>
          <w:color w:val="000000"/>
          <w:vertAlign w:val="subscript"/>
          <w:lang w:val="en-US" w:bidi="ta-IN"/>
        </w:rPr>
        <w:t>1</w:t>
      </w:r>
      <w:r w:rsidRPr="00A50453">
        <w:rPr>
          <w:rFonts w:eastAsia="Times New Roman" w:cstheme="minorHAnsi"/>
          <w:b/>
          <w:color w:val="000000"/>
          <w:lang w:val="en-US" w:bidi="ta-IN"/>
        </w:rPr>
        <w:t>):</w:t>
      </w:r>
      <w:r w:rsidRPr="00A50453">
        <w:rPr>
          <w:rFonts w:eastAsia="Times New Roman" w:cstheme="minorHAnsi"/>
          <w:color w:val="000000"/>
          <w:lang w:val="en-US" w:bidi="ta-IN"/>
        </w:rPr>
        <w:t xml:space="preserve"> </w:t>
      </w:r>
      <w:r w:rsidR="00271AB5" w:rsidRPr="00A50453">
        <w:rPr>
          <w:rFonts w:eastAsia="Times New Roman" w:cstheme="minorHAnsi"/>
          <w:color w:val="000000"/>
          <w:lang w:val="en-US" w:bidi="ta-IN"/>
        </w:rPr>
        <w:t xml:space="preserve">There is relationship between the dimensions of Risk management system and Customer Trust at the </w:t>
      </w:r>
      <w:r w:rsidR="0041427D">
        <w:rPr>
          <w:rFonts w:eastAsia="Times New Roman" w:cstheme="minorHAnsi"/>
          <w:color w:val="000000"/>
          <w:lang w:val="en-US" w:bidi="ta-IN"/>
        </w:rPr>
        <w:t>Banks</w:t>
      </w:r>
      <w:r w:rsidR="0041427D">
        <w:rPr>
          <w:rFonts w:eastAsia="Times New Roman" w:cstheme="minorHAnsi"/>
          <w:b/>
          <w:bCs/>
          <w:color w:val="000000"/>
          <w:lang w:eastAsia="en-IN"/>
        </w:rPr>
        <w:t>.</w:t>
      </w:r>
    </w:p>
    <w:p w14:paraId="7F1E7F82" w14:textId="39073582" w:rsidR="0041427D" w:rsidRPr="0041427D" w:rsidRDefault="0041427D" w:rsidP="0041427D">
      <w:pPr>
        <w:spacing w:after="0" w:line="358" w:lineRule="auto"/>
        <w:ind w:right="-8"/>
        <w:jc w:val="center"/>
        <w:rPr>
          <w:rFonts w:eastAsia="Times New Roman" w:cstheme="minorHAnsi"/>
          <w:b/>
          <w:bCs/>
          <w:color w:val="000000"/>
          <w:lang w:eastAsia="en-IN"/>
        </w:rPr>
      </w:pPr>
      <w:r>
        <w:rPr>
          <w:rFonts w:eastAsia="Times New Roman" w:cstheme="minorHAnsi"/>
          <w:b/>
          <w:bCs/>
          <w:color w:val="000000"/>
          <w:lang w:eastAsia="en-IN"/>
        </w:rPr>
        <w:t xml:space="preserve">         </w:t>
      </w:r>
      <w:r w:rsidRPr="0041427D">
        <w:rPr>
          <w:rFonts w:eastAsia="Times New Roman" w:cstheme="minorHAnsi"/>
          <w:b/>
          <w:bCs/>
          <w:color w:val="000000"/>
          <w:lang w:eastAsia="en-IN"/>
        </w:rPr>
        <w:t xml:space="preserve">TABLE </w:t>
      </w:r>
      <w:r>
        <w:rPr>
          <w:rFonts w:eastAsia="Times New Roman" w:cstheme="minorHAnsi"/>
          <w:b/>
          <w:bCs/>
          <w:color w:val="000000"/>
          <w:lang w:eastAsia="en-IN"/>
        </w:rPr>
        <w:t>2</w:t>
      </w:r>
      <w:r w:rsidRPr="0041427D">
        <w:rPr>
          <w:rFonts w:eastAsia="Times New Roman" w:cstheme="minorHAnsi"/>
          <w:b/>
          <w:bCs/>
          <w:color w:val="000000"/>
          <w:lang w:eastAsia="en-IN"/>
        </w:rPr>
        <w:t xml:space="preserve">. </w:t>
      </w:r>
      <w:r>
        <w:rPr>
          <w:rFonts w:eastAsia="Times New Roman" w:cstheme="minorHAnsi"/>
          <w:color w:val="000000"/>
          <w:lang w:val="en-US" w:bidi="ta-IN"/>
        </w:rPr>
        <w:t>R</w:t>
      </w:r>
      <w:r w:rsidRPr="00A50453">
        <w:rPr>
          <w:rFonts w:eastAsia="Times New Roman" w:cstheme="minorHAnsi"/>
          <w:color w:val="000000"/>
          <w:lang w:val="en-US" w:bidi="ta-IN"/>
        </w:rPr>
        <w:t>elationship between the dimensions of Risk management system and Customer Trust</w:t>
      </w:r>
    </w:p>
    <w:tbl>
      <w:tblPr>
        <w:tblW w:w="9355" w:type="dxa"/>
        <w:tblLook w:val="04A0" w:firstRow="1" w:lastRow="0" w:firstColumn="1" w:lastColumn="0" w:noHBand="0" w:noVBand="1"/>
      </w:tblPr>
      <w:tblGrid>
        <w:gridCol w:w="1568"/>
        <w:gridCol w:w="1571"/>
        <w:gridCol w:w="1296"/>
        <w:gridCol w:w="1222"/>
        <w:gridCol w:w="1248"/>
        <w:gridCol w:w="1168"/>
        <w:gridCol w:w="1420"/>
      </w:tblGrid>
      <w:tr w:rsidR="00AE4C70" w:rsidRPr="00A50453" w14:paraId="0BB287E3" w14:textId="77777777" w:rsidTr="0041427D">
        <w:trPr>
          <w:trHeight w:val="559"/>
        </w:trPr>
        <w:tc>
          <w:tcPr>
            <w:tcW w:w="1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55DA62" w14:textId="77777777" w:rsidR="00271AB5" w:rsidRPr="00A50453" w:rsidRDefault="00000000" w:rsidP="00271AB5">
            <w:pPr>
              <w:spacing w:after="0" w:line="240" w:lineRule="auto"/>
              <w:jc w:val="center"/>
              <w:rPr>
                <w:rFonts w:eastAsia="Times New Roman" w:cstheme="minorHAnsi"/>
                <w:b/>
                <w:bCs/>
                <w:color w:val="000000"/>
                <w:lang w:val="en-US" w:bidi="ta-IN"/>
              </w:rPr>
            </w:pPr>
            <w:r w:rsidRPr="00A50453">
              <w:rPr>
                <w:rFonts w:eastAsia="Times New Roman" w:cstheme="minorHAnsi"/>
                <w:b/>
                <w:bCs/>
                <w:color w:val="000000"/>
                <w:lang w:val="en-US" w:bidi="ta-IN"/>
              </w:rPr>
              <w:t xml:space="preserve">Relationship </w:t>
            </w:r>
          </w:p>
        </w:tc>
        <w:tc>
          <w:tcPr>
            <w:tcW w:w="1571" w:type="dxa"/>
            <w:tcBorders>
              <w:top w:val="single" w:sz="4" w:space="0" w:color="auto"/>
              <w:left w:val="nil"/>
              <w:bottom w:val="single" w:sz="4" w:space="0" w:color="auto"/>
              <w:right w:val="single" w:sz="4" w:space="0" w:color="auto"/>
            </w:tcBorders>
            <w:shd w:val="clear" w:color="auto" w:fill="auto"/>
            <w:noWrap/>
            <w:vAlign w:val="center"/>
            <w:hideMark/>
          </w:tcPr>
          <w:p w14:paraId="4CA7CD59" w14:textId="77777777" w:rsidR="00271AB5" w:rsidRPr="00A50453" w:rsidRDefault="00000000" w:rsidP="00271AB5">
            <w:pPr>
              <w:spacing w:after="0" w:line="240" w:lineRule="auto"/>
              <w:jc w:val="center"/>
              <w:rPr>
                <w:rFonts w:eastAsia="Times New Roman" w:cstheme="minorHAnsi"/>
                <w:b/>
                <w:bCs/>
                <w:color w:val="202124"/>
                <w:lang w:val="en-US" w:bidi="ta-IN"/>
              </w:rPr>
            </w:pPr>
            <w:r w:rsidRPr="00A50453">
              <w:rPr>
                <w:rFonts w:eastAsia="Times New Roman" w:cstheme="minorHAnsi"/>
                <w:b/>
                <w:bCs/>
                <w:color w:val="202124"/>
                <w:lang w:val="en-US" w:bidi="ta-IN"/>
              </w:rPr>
              <w:t>Risk Identification</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14:paraId="5C7DBC47" w14:textId="77777777" w:rsidR="00271AB5" w:rsidRPr="00A50453" w:rsidRDefault="00000000" w:rsidP="00271AB5">
            <w:pPr>
              <w:spacing w:after="0" w:line="240" w:lineRule="auto"/>
              <w:jc w:val="center"/>
              <w:rPr>
                <w:rFonts w:eastAsia="Times New Roman" w:cstheme="minorHAnsi"/>
                <w:b/>
                <w:bCs/>
                <w:color w:val="202124"/>
                <w:lang w:val="en-US" w:bidi="ta-IN"/>
              </w:rPr>
            </w:pPr>
            <w:r w:rsidRPr="00A50453">
              <w:rPr>
                <w:rFonts w:eastAsia="Times New Roman" w:cstheme="minorHAnsi"/>
                <w:b/>
                <w:bCs/>
                <w:color w:val="202124"/>
                <w:lang w:val="en-US" w:bidi="ta-IN"/>
              </w:rPr>
              <w:t>Risk Assessment</w:t>
            </w:r>
          </w:p>
        </w:tc>
        <w:tc>
          <w:tcPr>
            <w:tcW w:w="1193" w:type="dxa"/>
            <w:tcBorders>
              <w:top w:val="single" w:sz="4" w:space="0" w:color="auto"/>
              <w:left w:val="nil"/>
              <w:bottom w:val="single" w:sz="4" w:space="0" w:color="auto"/>
              <w:right w:val="single" w:sz="4" w:space="0" w:color="auto"/>
            </w:tcBorders>
            <w:shd w:val="clear" w:color="auto" w:fill="auto"/>
            <w:noWrap/>
            <w:vAlign w:val="center"/>
            <w:hideMark/>
          </w:tcPr>
          <w:p w14:paraId="5EACCDAD" w14:textId="77777777" w:rsidR="00271AB5" w:rsidRPr="00A50453" w:rsidRDefault="00000000" w:rsidP="00271AB5">
            <w:pPr>
              <w:spacing w:after="0" w:line="240" w:lineRule="auto"/>
              <w:jc w:val="center"/>
              <w:rPr>
                <w:rFonts w:eastAsia="Times New Roman" w:cstheme="minorHAnsi"/>
                <w:b/>
                <w:bCs/>
                <w:color w:val="202124"/>
                <w:lang w:val="en-US" w:bidi="ta-IN"/>
              </w:rPr>
            </w:pPr>
            <w:r w:rsidRPr="00A50453">
              <w:rPr>
                <w:rFonts w:eastAsia="Times New Roman" w:cstheme="minorHAnsi"/>
                <w:b/>
                <w:bCs/>
                <w:color w:val="202124"/>
                <w:lang w:val="en-US" w:bidi="ta-IN"/>
              </w:rPr>
              <w:t>Risk Mitigation </w:t>
            </w:r>
          </w:p>
        </w:tc>
        <w:tc>
          <w:tcPr>
            <w:tcW w:w="1222" w:type="dxa"/>
            <w:tcBorders>
              <w:top w:val="single" w:sz="4" w:space="0" w:color="auto"/>
              <w:left w:val="nil"/>
              <w:bottom w:val="single" w:sz="4" w:space="0" w:color="auto"/>
              <w:right w:val="single" w:sz="4" w:space="0" w:color="auto"/>
            </w:tcBorders>
            <w:shd w:val="clear" w:color="auto" w:fill="auto"/>
            <w:noWrap/>
            <w:vAlign w:val="center"/>
            <w:hideMark/>
          </w:tcPr>
          <w:p w14:paraId="265B568B" w14:textId="77777777" w:rsidR="00271AB5" w:rsidRPr="00A50453" w:rsidRDefault="00000000" w:rsidP="00271AB5">
            <w:pPr>
              <w:spacing w:after="0" w:line="240" w:lineRule="auto"/>
              <w:jc w:val="center"/>
              <w:rPr>
                <w:rFonts w:eastAsia="Times New Roman" w:cstheme="minorHAnsi"/>
                <w:b/>
                <w:bCs/>
                <w:color w:val="202124"/>
                <w:lang w:val="en-US" w:bidi="ta-IN"/>
              </w:rPr>
            </w:pPr>
            <w:r w:rsidRPr="00A50453">
              <w:rPr>
                <w:rFonts w:eastAsia="Times New Roman" w:cstheme="minorHAnsi"/>
                <w:b/>
                <w:bCs/>
                <w:color w:val="202124"/>
                <w:lang w:val="en-US" w:bidi="ta-IN"/>
              </w:rPr>
              <w:t>Risk Monitoring</w:t>
            </w:r>
          </w:p>
        </w:tc>
        <w:tc>
          <w:tcPr>
            <w:tcW w:w="1159" w:type="dxa"/>
            <w:tcBorders>
              <w:top w:val="single" w:sz="4" w:space="0" w:color="auto"/>
              <w:left w:val="nil"/>
              <w:bottom w:val="single" w:sz="4" w:space="0" w:color="auto"/>
              <w:right w:val="single" w:sz="4" w:space="0" w:color="auto"/>
            </w:tcBorders>
            <w:shd w:val="clear" w:color="auto" w:fill="auto"/>
            <w:noWrap/>
            <w:vAlign w:val="center"/>
            <w:hideMark/>
          </w:tcPr>
          <w:p w14:paraId="1913CD2B" w14:textId="77777777" w:rsidR="00271AB5" w:rsidRPr="00A50453" w:rsidRDefault="00000000" w:rsidP="00271AB5">
            <w:pPr>
              <w:spacing w:after="0" w:line="240" w:lineRule="auto"/>
              <w:jc w:val="center"/>
              <w:rPr>
                <w:rFonts w:eastAsia="Times New Roman" w:cstheme="minorHAnsi"/>
                <w:b/>
                <w:bCs/>
                <w:color w:val="202124"/>
                <w:lang w:val="en-US" w:bidi="ta-IN"/>
              </w:rPr>
            </w:pPr>
            <w:r w:rsidRPr="00A50453">
              <w:rPr>
                <w:rFonts w:eastAsia="Times New Roman" w:cstheme="minorHAnsi"/>
                <w:b/>
                <w:bCs/>
                <w:color w:val="202124"/>
                <w:lang w:val="en-US" w:bidi="ta-IN"/>
              </w:rPr>
              <w:t>Risk Reporting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27B2A6B7" w14:textId="77777777" w:rsidR="00271AB5" w:rsidRPr="00A50453" w:rsidRDefault="00000000" w:rsidP="00271AB5">
            <w:pPr>
              <w:spacing w:after="0" w:line="240" w:lineRule="auto"/>
              <w:jc w:val="center"/>
              <w:rPr>
                <w:rFonts w:eastAsia="Times New Roman" w:cstheme="minorHAnsi"/>
                <w:b/>
                <w:bCs/>
                <w:color w:val="202124"/>
                <w:lang w:val="en-US" w:bidi="ta-IN"/>
              </w:rPr>
            </w:pPr>
            <w:r w:rsidRPr="00A50453">
              <w:rPr>
                <w:rFonts w:eastAsia="Times New Roman" w:cstheme="minorHAnsi"/>
                <w:b/>
                <w:bCs/>
                <w:color w:val="202124"/>
                <w:lang w:val="en-US" w:bidi="ta-IN"/>
              </w:rPr>
              <w:t>Customer Trust</w:t>
            </w:r>
          </w:p>
        </w:tc>
      </w:tr>
      <w:tr w:rsidR="00AE4C70" w:rsidRPr="00A50453" w14:paraId="28C439B5" w14:textId="77777777" w:rsidTr="0041427D">
        <w:trPr>
          <w:trHeight w:val="127"/>
        </w:trPr>
        <w:tc>
          <w:tcPr>
            <w:tcW w:w="1568" w:type="dxa"/>
            <w:tcBorders>
              <w:top w:val="nil"/>
              <w:left w:val="single" w:sz="4" w:space="0" w:color="auto"/>
              <w:bottom w:val="single" w:sz="4" w:space="0" w:color="auto"/>
              <w:right w:val="single" w:sz="4" w:space="0" w:color="auto"/>
            </w:tcBorders>
            <w:shd w:val="clear" w:color="auto" w:fill="auto"/>
            <w:noWrap/>
            <w:vAlign w:val="center"/>
            <w:hideMark/>
          </w:tcPr>
          <w:p w14:paraId="5B13B4ED" w14:textId="77777777" w:rsidR="00271AB5" w:rsidRPr="00A50453" w:rsidRDefault="00000000" w:rsidP="00271AB5">
            <w:pPr>
              <w:spacing w:after="0" w:line="240" w:lineRule="auto"/>
              <w:jc w:val="center"/>
              <w:rPr>
                <w:rFonts w:eastAsia="Times New Roman" w:cstheme="minorHAnsi"/>
                <w:color w:val="202124"/>
                <w:lang w:val="en-US" w:bidi="ta-IN"/>
              </w:rPr>
            </w:pPr>
            <w:r w:rsidRPr="00A50453">
              <w:rPr>
                <w:rFonts w:eastAsia="Times New Roman" w:cstheme="minorHAnsi"/>
                <w:color w:val="202124"/>
                <w:lang w:val="en-US" w:bidi="ta-IN"/>
              </w:rPr>
              <w:t>Risk Identification</w:t>
            </w:r>
          </w:p>
        </w:tc>
        <w:tc>
          <w:tcPr>
            <w:tcW w:w="1571" w:type="dxa"/>
            <w:tcBorders>
              <w:top w:val="nil"/>
              <w:left w:val="nil"/>
              <w:bottom w:val="single" w:sz="4" w:space="0" w:color="auto"/>
              <w:right w:val="single" w:sz="4" w:space="0" w:color="auto"/>
            </w:tcBorders>
            <w:shd w:val="clear" w:color="auto" w:fill="auto"/>
            <w:noWrap/>
            <w:vAlign w:val="center"/>
            <w:hideMark/>
          </w:tcPr>
          <w:p w14:paraId="1E10E169" w14:textId="77777777" w:rsidR="00271AB5" w:rsidRPr="00A50453" w:rsidRDefault="00000000" w:rsidP="00271AB5">
            <w:pPr>
              <w:spacing w:after="0" w:line="240" w:lineRule="auto"/>
              <w:jc w:val="center"/>
              <w:rPr>
                <w:rFonts w:eastAsia="Times New Roman" w:cstheme="minorHAnsi"/>
                <w:b/>
                <w:bCs/>
                <w:color w:val="000000"/>
                <w:lang w:val="en-US" w:bidi="ta-IN"/>
              </w:rPr>
            </w:pPr>
            <w:r w:rsidRPr="00A50453">
              <w:rPr>
                <w:rFonts w:eastAsia="Times New Roman" w:cstheme="minorHAnsi"/>
                <w:b/>
                <w:bCs/>
                <w:color w:val="000000"/>
                <w:lang w:val="en-US" w:bidi="ta-IN"/>
              </w:rPr>
              <w:t>1</w:t>
            </w:r>
          </w:p>
        </w:tc>
        <w:tc>
          <w:tcPr>
            <w:tcW w:w="1222" w:type="dxa"/>
            <w:tcBorders>
              <w:top w:val="nil"/>
              <w:left w:val="nil"/>
              <w:bottom w:val="single" w:sz="4" w:space="0" w:color="auto"/>
              <w:right w:val="single" w:sz="4" w:space="0" w:color="auto"/>
            </w:tcBorders>
            <w:shd w:val="clear" w:color="auto" w:fill="auto"/>
            <w:noWrap/>
            <w:vAlign w:val="center"/>
            <w:hideMark/>
          </w:tcPr>
          <w:p w14:paraId="08A42F8C" w14:textId="77777777" w:rsidR="00271AB5" w:rsidRPr="00A50453" w:rsidRDefault="00000000" w:rsidP="00271AB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 </w:t>
            </w:r>
          </w:p>
        </w:tc>
        <w:tc>
          <w:tcPr>
            <w:tcW w:w="1193" w:type="dxa"/>
            <w:tcBorders>
              <w:top w:val="nil"/>
              <w:left w:val="nil"/>
              <w:bottom w:val="single" w:sz="4" w:space="0" w:color="auto"/>
              <w:right w:val="single" w:sz="4" w:space="0" w:color="auto"/>
            </w:tcBorders>
            <w:shd w:val="clear" w:color="auto" w:fill="auto"/>
            <w:noWrap/>
            <w:vAlign w:val="center"/>
            <w:hideMark/>
          </w:tcPr>
          <w:p w14:paraId="1DC0BC64" w14:textId="77777777" w:rsidR="00271AB5" w:rsidRPr="00A50453" w:rsidRDefault="00000000" w:rsidP="00271AB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 </w:t>
            </w:r>
          </w:p>
        </w:tc>
        <w:tc>
          <w:tcPr>
            <w:tcW w:w="1222" w:type="dxa"/>
            <w:tcBorders>
              <w:top w:val="nil"/>
              <w:left w:val="nil"/>
              <w:bottom w:val="single" w:sz="4" w:space="0" w:color="auto"/>
              <w:right w:val="single" w:sz="4" w:space="0" w:color="auto"/>
            </w:tcBorders>
            <w:shd w:val="clear" w:color="auto" w:fill="auto"/>
            <w:noWrap/>
            <w:vAlign w:val="center"/>
            <w:hideMark/>
          </w:tcPr>
          <w:p w14:paraId="06081A74" w14:textId="77777777" w:rsidR="00271AB5" w:rsidRPr="00A50453" w:rsidRDefault="00000000" w:rsidP="00271AB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 </w:t>
            </w:r>
          </w:p>
        </w:tc>
        <w:tc>
          <w:tcPr>
            <w:tcW w:w="1159" w:type="dxa"/>
            <w:tcBorders>
              <w:top w:val="nil"/>
              <w:left w:val="nil"/>
              <w:bottom w:val="single" w:sz="4" w:space="0" w:color="auto"/>
              <w:right w:val="single" w:sz="4" w:space="0" w:color="auto"/>
            </w:tcBorders>
            <w:shd w:val="clear" w:color="auto" w:fill="auto"/>
            <w:noWrap/>
            <w:vAlign w:val="center"/>
            <w:hideMark/>
          </w:tcPr>
          <w:p w14:paraId="7FEB8A9C" w14:textId="77777777" w:rsidR="00271AB5" w:rsidRPr="00A50453" w:rsidRDefault="00000000" w:rsidP="00271AB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 </w:t>
            </w:r>
          </w:p>
        </w:tc>
        <w:tc>
          <w:tcPr>
            <w:tcW w:w="1420" w:type="dxa"/>
            <w:tcBorders>
              <w:top w:val="nil"/>
              <w:left w:val="nil"/>
              <w:bottom w:val="single" w:sz="4" w:space="0" w:color="auto"/>
              <w:right w:val="single" w:sz="4" w:space="0" w:color="auto"/>
            </w:tcBorders>
            <w:shd w:val="clear" w:color="auto" w:fill="auto"/>
            <w:noWrap/>
            <w:vAlign w:val="center"/>
            <w:hideMark/>
          </w:tcPr>
          <w:p w14:paraId="0A3184E7" w14:textId="77777777" w:rsidR="00271AB5" w:rsidRPr="00A50453" w:rsidRDefault="00000000" w:rsidP="00271AB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 </w:t>
            </w:r>
          </w:p>
        </w:tc>
      </w:tr>
      <w:tr w:rsidR="00AE4C70" w:rsidRPr="00A50453" w14:paraId="2E8B785B" w14:textId="77777777" w:rsidTr="0041427D">
        <w:trPr>
          <w:trHeight w:val="419"/>
        </w:trPr>
        <w:tc>
          <w:tcPr>
            <w:tcW w:w="1568" w:type="dxa"/>
            <w:tcBorders>
              <w:top w:val="nil"/>
              <w:left w:val="single" w:sz="4" w:space="0" w:color="auto"/>
              <w:bottom w:val="single" w:sz="4" w:space="0" w:color="auto"/>
              <w:right w:val="single" w:sz="4" w:space="0" w:color="auto"/>
            </w:tcBorders>
            <w:shd w:val="clear" w:color="auto" w:fill="auto"/>
            <w:noWrap/>
            <w:vAlign w:val="center"/>
            <w:hideMark/>
          </w:tcPr>
          <w:p w14:paraId="0AE6998B" w14:textId="77777777" w:rsidR="00271AB5" w:rsidRPr="00A50453" w:rsidRDefault="00000000" w:rsidP="00271AB5">
            <w:pPr>
              <w:spacing w:after="0" w:line="240" w:lineRule="auto"/>
              <w:jc w:val="center"/>
              <w:rPr>
                <w:rFonts w:eastAsia="Times New Roman" w:cstheme="minorHAnsi"/>
                <w:color w:val="202124"/>
                <w:lang w:val="en-US" w:bidi="ta-IN"/>
              </w:rPr>
            </w:pPr>
            <w:r w:rsidRPr="00A50453">
              <w:rPr>
                <w:rFonts w:eastAsia="Times New Roman" w:cstheme="minorHAnsi"/>
                <w:color w:val="202124"/>
                <w:lang w:val="en-US" w:bidi="ta-IN"/>
              </w:rPr>
              <w:t>Risk Assessment</w:t>
            </w:r>
          </w:p>
        </w:tc>
        <w:tc>
          <w:tcPr>
            <w:tcW w:w="1571" w:type="dxa"/>
            <w:tcBorders>
              <w:top w:val="nil"/>
              <w:left w:val="nil"/>
              <w:bottom w:val="single" w:sz="4" w:space="0" w:color="auto"/>
              <w:right w:val="single" w:sz="4" w:space="0" w:color="auto"/>
            </w:tcBorders>
            <w:shd w:val="clear" w:color="auto" w:fill="auto"/>
            <w:noWrap/>
            <w:vAlign w:val="center"/>
            <w:hideMark/>
          </w:tcPr>
          <w:p w14:paraId="4B9D133B" w14:textId="77777777" w:rsidR="00271AB5" w:rsidRPr="00A50453" w:rsidRDefault="00000000" w:rsidP="00271AB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.903</w:t>
            </w:r>
            <w:r w:rsidRPr="00A50453">
              <w:rPr>
                <w:rFonts w:eastAsia="Times New Roman" w:cstheme="minorHAnsi"/>
                <w:color w:val="000000"/>
                <w:vertAlign w:val="superscript"/>
                <w:lang w:val="en-US" w:bidi="ta-IN"/>
              </w:rPr>
              <w:t>**</w:t>
            </w:r>
          </w:p>
        </w:tc>
        <w:tc>
          <w:tcPr>
            <w:tcW w:w="1222" w:type="dxa"/>
            <w:tcBorders>
              <w:top w:val="nil"/>
              <w:left w:val="nil"/>
              <w:bottom w:val="single" w:sz="4" w:space="0" w:color="auto"/>
              <w:right w:val="single" w:sz="4" w:space="0" w:color="auto"/>
            </w:tcBorders>
            <w:shd w:val="clear" w:color="auto" w:fill="auto"/>
            <w:noWrap/>
            <w:vAlign w:val="center"/>
            <w:hideMark/>
          </w:tcPr>
          <w:p w14:paraId="63F79EF0" w14:textId="77777777" w:rsidR="00271AB5" w:rsidRPr="00A50453" w:rsidRDefault="00000000" w:rsidP="00271AB5">
            <w:pPr>
              <w:spacing w:after="0" w:line="240" w:lineRule="auto"/>
              <w:jc w:val="center"/>
              <w:rPr>
                <w:rFonts w:eastAsia="Times New Roman" w:cstheme="minorHAnsi"/>
                <w:b/>
                <w:bCs/>
                <w:color w:val="000000"/>
                <w:lang w:val="en-US" w:bidi="ta-IN"/>
              </w:rPr>
            </w:pPr>
            <w:r w:rsidRPr="00A50453">
              <w:rPr>
                <w:rFonts w:eastAsia="Times New Roman" w:cstheme="minorHAnsi"/>
                <w:b/>
                <w:bCs/>
                <w:color w:val="000000"/>
                <w:lang w:val="en-US" w:bidi="ta-IN"/>
              </w:rPr>
              <w:t>1</w:t>
            </w:r>
          </w:p>
        </w:tc>
        <w:tc>
          <w:tcPr>
            <w:tcW w:w="1193" w:type="dxa"/>
            <w:tcBorders>
              <w:top w:val="nil"/>
              <w:left w:val="nil"/>
              <w:bottom w:val="single" w:sz="4" w:space="0" w:color="auto"/>
              <w:right w:val="single" w:sz="4" w:space="0" w:color="auto"/>
            </w:tcBorders>
            <w:shd w:val="clear" w:color="auto" w:fill="auto"/>
            <w:noWrap/>
            <w:vAlign w:val="center"/>
            <w:hideMark/>
          </w:tcPr>
          <w:p w14:paraId="2D995B98" w14:textId="77777777" w:rsidR="00271AB5" w:rsidRPr="00A50453" w:rsidRDefault="00000000" w:rsidP="00271AB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 </w:t>
            </w:r>
          </w:p>
        </w:tc>
        <w:tc>
          <w:tcPr>
            <w:tcW w:w="1222" w:type="dxa"/>
            <w:tcBorders>
              <w:top w:val="nil"/>
              <w:left w:val="nil"/>
              <w:bottom w:val="single" w:sz="4" w:space="0" w:color="auto"/>
              <w:right w:val="single" w:sz="4" w:space="0" w:color="auto"/>
            </w:tcBorders>
            <w:shd w:val="clear" w:color="auto" w:fill="auto"/>
            <w:noWrap/>
            <w:vAlign w:val="center"/>
            <w:hideMark/>
          </w:tcPr>
          <w:p w14:paraId="6F5B9A1A" w14:textId="77777777" w:rsidR="00271AB5" w:rsidRPr="00A50453" w:rsidRDefault="00000000" w:rsidP="00271AB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 </w:t>
            </w:r>
          </w:p>
        </w:tc>
        <w:tc>
          <w:tcPr>
            <w:tcW w:w="1159" w:type="dxa"/>
            <w:tcBorders>
              <w:top w:val="nil"/>
              <w:left w:val="nil"/>
              <w:bottom w:val="single" w:sz="4" w:space="0" w:color="auto"/>
              <w:right w:val="single" w:sz="4" w:space="0" w:color="auto"/>
            </w:tcBorders>
            <w:shd w:val="clear" w:color="auto" w:fill="auto"/>
            <w:noWrap/>
            <w:vAlign w:val="center"/>
            <w:hideMark/>
          </w:tcPr>
          <w:p w14:paraId="2833C704" w14:textId="77777777" w:rsidR="00271AB5" w:rsidRPr="00A50453" w:rsidRDefault="00000000" w:rsidP="00271AB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 </w:t>
            </w:r>
          </w:p>
        </w:tc>
        <w:tc>
          <w:tcPr>
            <w:tcW w:w="1420" w:type="dxa"/>
            <w:tcBorders>
              <w:top w:val="nil"/>
              <w:left w:val="nil"/>
              <w:bottom w:val="single" w:sz="4" w:space="0" w:color="auto"/>
              <w:right w:val="single" w:sz="4" w:space="0" w:color="auto"/>
            </w:tcBorders>
            <w:shd w:val="clear" w:color="auto" w:fill="auto"/>
            <w:noWrap/>
            <w:vAlign w:val="center"/>
            <w:hideMark/>
          </w:tcPr>
          <w:p w14:paraId="6566A9C3" w14:textId="77777777" w:rsidR="00271AB5" w:rsidRPr="00A50453" w:rsidRDefault="00000000" w:rsidP="00271AB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 </w:t>
            </w:r>
          </w:p>
        </w:tc>
      </w:tr>
      <w:tr w:rsidR="00AE4C70" w:rsidRPr="00A50453" w14:paraId="6983ACC6" w14:textId="77777777" w:rsidTr="0041427D">
        <w:trPr>
          <w:trHeight w:val="313"/>
        </w:trPr>
        <w:tc>
          <w:tcPr>
            <w:tcW w:w="1568" w:type="dxa"/>
            <w:tcBorders>
              <w:top w:val="nil"/>
              <w:left w:val="single" w:sz="4" w:space="0" w:color="auto"/>
              <w:bottom w:val="single" w:sz="4" w:space="0" w:color="auto"/>
              <w:right w:val="single" w:sz="4" w:space="0" w:color="auto"/>
            </w:tcBorders>
            <w:shd w:val="clear" w:color="auto" w:fill="auto"/>
            <w:noWrap/>
            <w:vAlign w:val="center"/>
            <w:hideMark/>
          </w:tcPr>
          <w:p w14:paraId="3794FEB8" w14:textId="77777777" w:rsidR="00271AB5" w:rsidRPr="00A50453" w:rsidRDefault="00000000" w:rsidP="00271AB5">
            <w:pPr>
              <w:spacing w:after="0" w:line="240" w:lineRule="auto"/>
              <w:jc w:val="center"/>
              <w:rPr>
                <w:rFonts w:eastAsia="Times New Roman" w:cstheme="minorHAnsi"/>
                <w:color w:val="202124"/>
                <w:lang w:val="en-US" w:bidi="ta-IN"/>
              </w:rPr>
            </w:pPr>
            <w:r w:rsidRPr="00A50453">
              <w:rPr>
                <w:rFonts w:eastAsia="Times New Roman" w:cstheme="minorHAnsi"/>
                <w:color w:val="202124"/>
                <w:lang w:val="en-US" w:bidi="ta-IN"/>
              </w:rPr>
              <w:t>Risk Mitigation </w:t>
            </w:r>
          </w:p>
        </w:tc>
        <w:tc>
          <w:tcPr>
            <w:tcW w:w="1571" w:type="dxa"/>
            <w:tcBorders>
              <w:top w:val="nil"/>
              <w:left w:val="nil"/>
              <w:bottom w:val="single" w:sz="4" w:space="0" w:color="auto"/>
              <w:right w:val="single" w:sz="4" w:space="0" w:color="auto"/>
            </w:tcBorders>
            <w:shd w:val="clear" w:color="auto" w:fill="auto"/>
            <w:noWrap/>
            <w:vAlign w:val="center"/>
            <w:hideMark/>
          </w:tcPr>
          <w:p w14:paraId="69FCB381" w14:textId="77777777" w:rsidR="00271AB5" w:rsidRPr="00A50453" w:rsidRDefault="00000000" w:rsidP="00271AB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.908</w:t>
            </w:r>
            <w:r w:rsidRPr="00A50453">
              <w:rPr>
                <w:rFonts w:eastAsia="Times New Roman" w:cstheme="minorHAnsi"/>
                <w:color w:val="000000"/>
                <w:vertAlign w:val="superscript"/>
                <w:lang w:val="en-US" w:bidi="ta-IN"/>
              </w:rPr>
              <w:t>**</w:t>
            </w:r>
          </w:p>
        </w:tc>
        <w:tc>
          <w:tcPr>
            <w:tcW w:w="1222" w:type="dxa"/>
            <w:tcBorders>
              <w:top w:val="nil"/>
              <w:left w:val="nil"/>
              <w:bottom w:val="single" w:sz="4" w:space="0" w:color="auto"/>
              <w:right w:val="single" w:sz="4" w:space="0" w:color="auto"/>
            </w:tcBorders>
            <w:shd w:val="clear" w:color="auto" w:fill="auto"/>
            <w:noWrap/>
            <w:vAlign w:val="center"/>
            <w:hideMark/>
          </w:tcPr>
          <w:p w14:paraId="1E7F53D3" w14:textId="77777777" w:rsidR="00271AB5" w:rsidRPr="00A50453" w:rsidRDefault="00000000" w:rsidP="00271AB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.913</w:t>
            </w:r>
            <w:r w:rsidRPr="00A50453">
              <w:rPr>
                <w:rFonts w:eastAsia="Times New Roman" w:cstheme="minorHAnsi"/>
                <w:color w:val="000000"/>
                <w:vertAlign w:val="superscript"/>
                <w:lang w:val="en-US" w:bidi="ta-IN"/>
              </w:rPr>
              <w:t>**</w:t>
            </w:r>
          </w:p>
        </w:tc>
        <w:tc>
          <w:tcPr>
            <w:tcW w:w="1193" w:type="dxa"/>
            <w:tcBorders>
              <w:top w:val="nil"/>
              <w:left w:val="nil"/>
              <w:bottom w:val="single" w:sz="4" w:space="0" w:color="auto"/>
              <w:right w:val="single" w:sz="4" w:space="0" w:color="auto"/>
            </w:tcBorders>
            <w:shd w:val="clear" w:color="auto" w:fill="auto"/>
            <w:noWrap/>
            <w:vAlign w:val="center"/>
            <w:hideMark/>
          </w:tcPr>
          <w:p w14:paraId="15BF9814" w14:textId="77777777" w:rsidR="00271AB5" w:rsidRPr="00A50453" w:rsidRDefault="00000000" w:rsidP="00271AB5">
            <w:pPr>
              <w:spacing w:after="0" w:line="240" w:lineRule="auto"/>
              <w:jc w:val="center"/>
              <w:rPr>
                <w:rFonts w:eastAsia="Times New Roman" w:cstheme="minorHAnsi"/>
                <w:b/>
                <w:bCs/>
                <w:color w:val="000000"/>
                <w:lang w:val="en-US" w:bidi="ta-IN"/>
              </w:rPr>
            </w:pPr>
            <w:r w:rsidRPr="00A50453">
              <w:rPr>
                <w:rFonts w:eastAsia="Times New Roman" w:cstheme="minorHAnsi"/>
                <w:b/>
                <w:bCs/>
                <w:color w:val="000000"/>
                <w:lang w:val="en-US" w:bidi="ta-IN"/>
              </w:rPr>
              <w:t>1</w:t>
            </w:r>
          </w:p>
        </w:tc>
        <w:tc>
          <w:tcPr>
            <w:tcW w:w="1222" w:type="dxa"/>
            <w:tcBorders>
              <w:top w:val="nil"/>
              <w:left w:val="nil"/>
              <w:bottom w:val="single" w:sz="4" w:space="0" w:color="auto"/>
              <w:right w:val="single" w:sz="4" w:space="0" w:color="auto"/>
            </w:tcBorders>
            <w:shd w:val="clear" w:color="auto" w:fill="auto"/>
            <w:noWrap/>
            <w:vAlign w:val="center"/>
            <w:hideMark/>
          </w:tcPr>
          <w:p w14:paraId="7239E33F" w14:textId="77777777" w:rsidR="00271AB5" w:rsidRPr="00A50453" w:rsidRDefault="00000000" w:rsidP="00271AB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 </w:t>
            </w:r>
          </w:p>
        </w:tc>
        <w:tc>
          <w:tcPr>
            <w:tcW w:w="1159" w:type="dxa"/>
            <w:tcBorders>
              <w:top w:val="nil"/>
              <w:left w:val="nil"/>
              <w:bottom w:val="single" w:sz="4" w:space="0" w:color="auto"/>
              <w:right w:val="single" w:sz="4" w:space="0" w:color="auto"/>
            </w:tcBorders>
            <w:shd w:val="clear" w:color="auto" w:fill="auto"/>
            <w:noWrap/>
            <w:vAlign w:val="center"/>
            <w:hideMark/>
          </w:tcPr>
          <w:p w14:paraId="31CFD9A1" w14:textId="77777777" w:rsidR="00271AB5" w:rsidRPr="00A50453" w:rsidRDefault="00000000" w:rsidP="00271AB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 </w:t>
            </w:r>
          </w:p>
        </w:tc>
        <w:tc>
          <w:tcPr>
            <w:tcW w:w="1420" w:type="dxa"/>
            <w:tcBorders>
              <w:top w:val="nil"/>
              <w:left w:val="nil"/>
              <w:bottom w:val="single" w:sz="4" w:space="0" w:color="auto"/>
              <w:right w:val="single" w:sz="4" w:space="0" w:color="auto"/>
            </w:tcBorders>
            <w:shd w:val="clear" w:color="auto" w:fill="auto"/>
            <w:noWrap/>
            <w:vAlign w:val="center"/>
            <w:hideMark/>
          </w:tcPr>
          <w:p w14:paraId="0DDCC524" w14:textId="77777777" w:rsidR="00271AB5" w:rsidRPr="00A50453" w:rsidRDefault="00000000" w:rsidP="00271AB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 </w:t>
            </w:r>
          </w:p>
        </w:tc>
      </w:tr>
      <w:tr w:rsidR="00AE4C70" w:rsidRPr="00A50453" w14:paraId="1CE0D00A" w14:textId="77777777" w:rsidTr="0041427D">
        <w:trPr>
          <w:trHeight w:val="321"/>
        </w:trPr>
        <w:tc>
          <w:tcPr>
            <w:tcW w:w="1568" w:type="dxa"/>
            <w:tcBorders>
              <w:top w:val="nil"/>
              <w:left w:val="single" w:sz="4" w:space="0" w:color="auto"/>
              <w:bottom w:val="single" w:sz="4" w:space="0" w:color="auto"/>
              <w:right w:val="single" w:sz="4" w:space="0" w:color="auto"/>
            </w:tcBorders>
            <w:shd w:val="clear" w:color="auto" w:fill="auto"/>
            <w:noWrap/>
            <w:vAlign w:val="center"/>
            <w:hideMark/>
          </w:tcPr>
          <w:p w14:paraId="7B8818B2" w14:textId="77777777" w:rsidR="00271AB5" w:rsidRPr="00A50453" w:rsidRDefault="00000000" w:rsidP="00271AB5">
            <w:pPr>
              <w:spacing w:after="0" w:line="240" w:lineRule="auto"/>
              <w:jc w:val="center"/>
              <w:rPr>
                <w:rFonts w:eastAsia="Times New Roman" w:cstheme="minorHAnsi"/>
                <w:color w:val="202124"/>
                <w:lang w:val="en-US" w:bidi="ta-IN"/>
              </w:rPr>
            </w:pPr>
            <w:r w:rsidRPr="00A50453">
              <w:rPr>
                <w:rFonts w:eastAsia="Times New Roman" w:cstheme="minorHAnsi"/>
                <w:color w:val="202124"/>
                <w:lang w:val="en-US" w:bidi="ta-IN"/>
              </w:rPr>
              <w:t>Risk Monitoring</w:t>
            </w:r>
          </w:p>
        </w:tc>
        <w:tc>
          <w:tcPr>
            <w:tcW w:w="1571" w:type="dxa"/>
            <w:tcBorders>
              <w:top w:val="nil"/>
              <w:left w:val="nil"/>
              <w:bottom w:val="single" w:sz="4" w:space="0" w:color="auto"/>
              <w:right w:val="single" w:sz="4" w:space="0" w:color="auto"/>
            </w:tcBorders>
            <w:shd w:val="clear" w:color="auto" w:fill="auto"/>
            <w:noWrap/>
            <w:vAlign w:val="center"/>
            <w:hideMark/>
          </w:tcPr>
          <w:p w14:paraId="2F284CAA" w14:textId="77777777" w:rsidR="00271AB5" w:rsidRPr="00A50453" w:rsidRDefault="00000000" w:rsidP="00271AB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.856</w:t>
            </w:r>
            <w:r w:rsidRPr="00A50453">
              <w:rPr>
                <w:rFonts w:eastAsia="Times New Roman" w:cstheme="minorHAnsi"/>
                <w:color w:val="000000"/>
                <w:vertAlign w:val="superscript"/>
                <w:lang w:val="en-US" w:bidi="ta-IN"/>
              </w:rPr>
              <w:t>**</w:t>
            </w:r>
          </w:p>
        </w:tc>
        <w:tc>
          <w:tcPr>
            <w:tcW w:w="1222" w:type="dxa"/>
            <w:tcBorders>
              <w:top w:val="nil"/>
              <w:left w:val="nil"/>
              <w:bottom w:val="single" w:sz="4" w:space="0" w:color="auto"/>
              <w:right w:val="single" w:sz="4" w:space="0" w:color="auto"/>
            </w:tcBorders>
            <w:shd w:val="clear" w:color="auto" w:fill="auto"/>
            <w:noWrap/>
            <w:vAlign w:val="center"/>
            <w:hideMark/>
          </w:tcPr>
          <w:p w14:paraId="3811F418" w14:textId="77777777" w:rsidR="00271AB5" w:rsidRPr="00A50453" w:rsidRDefault="00000000" w:rsidP="00271AB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.908</w:t>
            </w:r>
            <w:r w:rsidRPr="00A50453">
              <w:rPr>
                <w:rFonts w:eastAsia="Times New Roman" w:cstheme="minorHAnsi"/>
                <w:color w:val="000000"/>
                <w:vertAlign w:val="superscript"/>
                <w:lang w:val="en-US" w:bidi="ta-IN"/>
              </w:rPr>
              <w:t>**</w:t>
            </w:r>
          </w:p>
        </w:tc>
        <w:tc>
          <w:tcPr>
            <w:tcW w:w="1193" w:type="dxa"/>
            <w:tcBorders>
              <w:top w:val="nil"/>
              <w:left w:val="nil"/>
              <w:bottom w:val="single" w:sz="4" w:space="0" w:color="auto"/>
              <w:right w:val="single" w:sz="4" w:space="0" w:color="auto"/>
            </w:tcBorders>
            <w:shd w:val="clear" w:color="auto" w:fill="auto"/>
            <w:noWrap/>
            <w:vAlign w:val="center"/>
            <w:hideMark/>
          </w:tcPr>
          <w:p w14:paraId="23CE0A7F" w14:textId="77777777" w:rsidR="00271AB5" w:rsidRPr="00A50453" w:rsidRDefault="00000000" w:rsidP="00271AB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.877</w:t>
            </w:r>
            <w:r w:rsidRPr="00A50453">
              <w:rPr>
                <w:rFonts w:eastAsia="Times New Roman" w:cstheme="minorHAnsi"/>
                <w:color w:val="000000"/>
                <w:vertAlign w:val="superscript"/>
                <w:lang w:val="en-US" w:bidi="ta-IN"/>
              </w:rPr>
              <w:t>**</w:t>
            </w:r>
          </w:p>
        </w:tc>
        <w:tc>
          <w:tcPr>
            <w:tcW w:w="1222" w:type="dxa"/>
            <w:tcBorders>
              <w:top w:val="nil"/>
              <w:left w:val="nil"/>
              <w:bottom w:val="single" w:sz="4" w:space="0" w:color="auto"/>
              <w:right w:val="single" w:sz="4" w:space="0" w:color="auto"/>
            </w:tcBorders>
            <w:shd w:val="clear" w:color="auto" w:fill="auto"/>
            <w:noWrap/>
            <w:vAlign w:val="center"/>
            <w:hideMark/>
          </w:tcPr>
          <w:p w14:paraId="32757272" w14:textId="77777777" w:rsidR="00271AB5" w:rsidRPr="00A50453" w:rsidRDefault="00000000" w:rsidP="00271AB5">
            <w:pPr>
              <w:spacing w:after="0" w:line="240" w:lineRule="auto"/>
              <w:jc w:val="center"/>
              <w:rPr>
                <w:rFonts w:eastAsia="Times New Roman" w:cstheme="minorHAnsi"/>
                <w:b/>
                <w:bCs/>
                <w:color w:val="000000"/>
                <w:lang w:val="en-US" w:bidi="ta-IN"/>
              </w:rPr>
            </w:pPr>
            <w:r w:rsidRPr="00A50453">
              <w:rPr>
                <w:rFonts w:eastAsia="Times New Roman" w:cstheme="minorHAnsi"/>
                <w:b/>
                <w:bCs/>
                <w:color w:val="000000"/>
                <w:lang w:val="en-US" w:bidi="ta-IN"/>
              </w:rPr>
              <w:t>1</w:t>
            </w:r>
          </w:p>
        </w:tc>
        <w:tc>
          <w:tcPr>
            <w:tcW w:w="1159" w:type="dxa"/>
            <w:tcBorders>
              <w:top w:val="nil"/>
              <w:left w:val="nil"/>
              <w:bottom w:val="single" w:sz="4" w:space="0" w:color="auto"/>
              <w:right w:val="single" w:sz="4" w:space="0" w:color="auto"/>
            </w:tcBorders>
            <w:shd w:val="clear" w:color="auto" w:fill="auto"/>
            <w:noWrap/>
            <w:vAlign w:val="center"/>
            <w:hideMark/>
          </w:tcPr>
          <w:p w14:paraId="5EB43DC1" w14:textId="77777777" w:rsidR="00271AB5" w:rsidRPr="00A50453" w:rsidRDefault="00000000" w:rsidP="00271AB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 </w:t>
            </w:r>
          </w:p>
        </w:tc>
        <w:tc>
          <w:tcPr>
            <w:tcW w:w="1420" w:type="dxa"/>
            <w:tcBorders>
              <w:top w:val="nil"/>
              <w:left w:val="nil"/>
              <w:bottom w:val="single" w:sz="4" w:space="0" w:color="auto"/>
              <w:right w:val="single" w:sz="4" w:space="0" w:color="auto"/>
            </w:tcBorders>
            <w:shd w:val="clear" w:color="auto" w:fill="auto"/>
            <w:noWrap/>
            <w:vAlign w:val="center"/>
            <w:hideMark/>
          </w:tcPr>
          <w:p w14:paraId="43B1F3BF" w14:textId="77777777" w:rsidR="00271AB5" w:rsidRPr="00A50453" w:rsidRDefault="00000000" w:rsidP="00271AB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 </w:t>
            </w:r>
          </w:p>
        </w:tc>
      </w:tr>
      <w:tr w:rsidR="00AE4C70" w:rsidRPr="00A50453" w14:paraId="2850003F" w14:textId="77777777" w:rsidTr="0041427D">
        <w:trPr>
          <w:trHeight w:val="627"/>
        </w:trPr>
        <w:tc>
          <w:tcPr>
            <w:tcW w:w="1568" w:type="dxa"/>
            <w:tcBorders>
              <w:top w:val="nil"/>
              <w:left w:val="single" w:sz="4" w:space="0" w:color="auto"/>
              <w:bottom w:val="single" w:sz="4" w:space="0" w:color="auto"/>
              <w:right w:val="single" w:sz="4" w:space="0" w:color="auto"/>
            </w:tcBorders>
            <w:shd w:val="clear" w:color="auto" w:fill="auto"/>
            <w:noWrap/>
            <w:vAlign w:val="center"/>
            <w:hideMark/>
          </w:tcPr>
          <w:p w14:paraId="7799C774" w14:textId="77777777" w:rsidR="00271AB5" w:rsidRPr="00A50453" w:rsidRDefault="00000000" w:rsidP="00271AB5">
            <w:pPr>
              <w:spacing w:after="0" w:line="240" w:lineRule="auto"/>
              <w:jc w:val="center"/>
              <w:rPr>
                <w:rFonts w:eastAsia="Times New Roman" w:cstheme="minorHAnsi"/>
                <w:color w:val="202124"/>
                <w:lang w:val="en-US" w:bidi="ta-IN"/>
              </w:rPr>
            </w:pPr>
            <w:r w:rsidRPr="00A50453">
              <w:rPr>
                <w:rFonts w:eastAsia="Times New Roman" w:cstheme="minorHAnsi"/>
                <w:color w:val="202124"/>
                <w:lang w:val="en-US" w:bidi="ta-IN"/>
              </w:rPr>
              <w:t>Risk Reporting </w:t>
            </w:r>
          </w:p>
        </w:tc>
        <w:tc>
          <w:tcPr>
            <w:tcW w:w="1571" w:type="dxa"/>
            <w:tcBorders>
              <w:top w:val="nil"/>
              <w:left w:val="nil"/>
              <w:bottom w:val="single" w:sz="4" w:space="0" w:color="auto"/>
              <w:right w:val="single" w:sz="4" w:space="0" w:color="auto"/>
            </w:tcBorders>
            <w:shd w:val="clear" w:color="auto" w:fill="auto"/>
            <w:noWrap/>
            <w:vAlign w:val="center"/>
            <w:hideMark/>
          </w:tcPr>
          <w:p w14:paraId="61859357" w14:textId="77777777" w:rsidR="00271AB5" w:rsidRPr="00A50453" w:rsidRDefault="00000000" w:rsidP="00271AB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.867</w:t>
            </w:r>
            <w:r w:rsidRPr="00A50453">
              <w:rPr>
                <w:rFonts w:eastAsia="Times New Roman" w:cstheme="minorHAnsi"/>
                <w:color w:val="000000"/>
                <w:vertAlign w:val="superscript"/>
                <w:lang w:val="en-US" w:bidi="ta-IN"/>
              </w:rPr>
              <w:t>**</w:t>
            </w:r>
          </w:p>
        </w:tc>
        <w:tc>
          <w:tcPr>
            <w:tcW w:w="1222" w:type="dxa"/>
            <w:tcBorders>
              <w:top w:val="nil"/>
              <w:left w:val="nil"/>
              <w:bottom w:val="single" w:sz="4" w:space="0" w:color="auto"/>
              <w:right w:val="single" w:sz="4" w:space="0" w:color="auto"/>
            </w:tcBorders>
            <w:shd w:val="clear" w:color="auto" w:fill="auto"/>
            <w:noWrap/>
            <w:vAlign w:val="center"/>
            <w:hideMark/>
          </w:tcPr>
          <w:p w14:paraId="5C726784" w14:textId="77777777" w:rsidR="00271AB5" w:rsidRPr="00A50453" w:rsidRDefault="00000000" w:rsidP="00271AB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.861</w:t>
            </w:r>
            <w:r w:rsidRPr="00A50453">
              <w:rPr>
                <w:rFonts w:eastAsia="Times New Roman" w:cstheme="minorHAnsi"/>
                <w:color w:val="000000"/>
                <w:vertAlign w:val="superscript"/>
                <w:lang w:val="en-US" w:bidi="ta-IN"/>
              </w:rPr>
              <w:t>**</w:t>
            </w:r>
          </w:p>
        </w:tc>
        <w:tc>
          <w:tcPr>
            <w:tcW w:w="1193" w:type="dxa"/>
            <w:tcBorders>
              <w:top w:val="nil"/>
              <w:left w:val="nil"/>
              <w:bottom w:val="single" w:sz="4" w:space="0" w:color="auto"/>
              <w:right w:val="single" w:sz="4" w:space="0" w:color="auto"/>
            </w:tcBorders>
            <w:shd w:val="clear" w:color="auto" w:fill="auto"/>
            <w:noWrap/>
            <w:vAlign w:val="center"/>
            <w:hideMark/>
          </w:tcPr>
          <w:p w14:paraId="2BFA16E9" w14:textId="77777777" w:rsidR="00271AB5" w:rsidRPr="00A50453" w:rsidRDefault="00000000" w:rsidP="00271AB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.889</w:t>
            </w:r>
            <w:r w:rsidRPr="00A50453">
              <w:rPr>
                <w:rFonts w:eastAsia="Times New Roman" w:cstheme="minorHAnsi"/>
                <w:color w:val="000000"/>
                <w:vertAlign w:val="superscript"/>
                <w:lang w:val="en-US" w:bidi="ta-IN"/>
              </w:rPr>
              <w:t>**</w:t>
            </w:r>
          </w:p>
        </w:tc>
        <w:tc>
          <w:tcPr>
            <w:tcW w:w="1222" w:type="dxa"/>
            <w:tcBorders>
              <w:top w:val="nil"/>
              <w:left w:val="nil"/>
              <w:bottom w:val="single" w:sz="4" w:space="0" w:color="auto"/>
              <w:right w:val="single" w:sz="4" w:space="0" w:color="auto"/>
            </w:tcBorders>
            <w:shd w:val="clear" w:color="auto" w:fill="auto"/>
            <w:noWrap/>
            <w:vAlign w:val="center"/>
            <w:hideMark/>
          </w:tcPr>
          <w:p w14:paraId="344DA7F6" w14:textId="77777777" w:rsidR="00271AB5" w:rsidRPr="00A50453" w:rsidRDefault="00000000" w:rsidP="00271AB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.868</w:t>
            </w:r>
            <w:r w:rsidRPr="00A50453">
              <w:rPr>
                <w:rFonts w:eastAsia="Times New Roman" w:cstheme="minorHAnsi"/>
                <w:color w:val="000000"/>
                <w:vertAlign w:val="superscript"/>
                <w:lang w:val="en-US" w:bidi="ta-IN"/>
              </w:rPr>
              <w:t>**</w:t>
            </w:r>
          </w:p>
        </w:tc>
        <w:tc>
          <w:tcPr>
            <w:tcW w:w="1159" w:type="dxa"/>
            <w:tcBorders>
              <w:top w:val="nil"/>
              <w:left w:val="nil"/>
              <w:bottom w:val="single" w:sz="4" w:space="0" w:color="auto"/>
              <w:right w:val="single" w:sz="4" w:space="0" w:color="auto"/>
            </w:tcBorders>
            <w:shd w:val="clear" w:color="auto" w:fill="auto"/>
            <w:noWrap/>
            <w:vAlign w:val="center"/>
            <w:hideMark/>
          </w:tcPr>
          <w:p w14:paraId="22314E81" w14:textId="77777777" w:rsidR="00271AB5" w:rsidRPr="00A50453" w:rsidRDefault="00000000" w:rsidP="00271AB5">
            <w:pPr>
              <w:spacing w:after="0" w:line="240" w:lineRule="auto"/>
              <w:jc w:val="center"/>
              <w:rPr>
                <w:rFonts w:eastAsia="Times New Roman" w:cstheme="minorHAnsi"/>
                <w:b/>
                <w:bCs/>
                <w:color w:val="000000"/>
                <w:lang w:val="en-US" w:bidi="ta-IN"/>
              </w:rPr>
            </w:pPr>
            <w:r w:rsidRPr="00A50453">
              <w:rPr>
                <w:rFonts w:eastAsia="Times New Roman" w:cstheme="minorHAnsi"/>
                <w:b/>
                <w:bCs/>
                <w:color w:val="000000"/>
                <w:lang w:val="en-US" w:bidi="ta-IN"/>
              </w:rPr>
              <w:t>1</w:t>
            </w:r>
          </w:p>
        </w:tc>
        <w:tc>
          <w:tcPr>
            <w:tcW w:w="1420" w:type="dxa"/>
            <w:tcBorders>
              <w:top w:val="nil"/>
              <w:left w:val="nil"/>
              <w:bottom w:val="single" w:sz="4" w:space="0" w:color="auto"/>
              <w:right w:val="single" w:sz="4" w:space="0" w:color="auto"/>
            </w:tcBorders>
            <w:shd w:val="clear" w:color="auto" w:fill="auto"/>
            <w:noWrap/>
            <w:vAlign w:val="center"/>
            <w:hideMark/>
          </w:tcPr>
          <w:p w14:paraId="589D5EF0" w14:textId="77777777" w:rsidR="00271AB5" w:rsidRPr="00A50453" w:rsidRDefault="00000000" w:rsidP="00271AB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 </w:t>
            </w:r>
          </w:p>
        </w:tc>
      </w:tr>
      <w:tr w:rsidR="00AE4C70" w:rsidRPr="00A50453" w14:paraId="13021C1D" w14:textId="77777777" w:rsidTr="0041427D">
        <w:trPr>
          <w:trHeight w:val="565"/>
        </w:trPr>
        <w:tc>
          <w:tcPr>
            <w:tcW w:w="1568" w:type="dxa"/>
            <w:tcBorders>
              <w:top w:val="nil"/>
              <w:left w:val="single" w:sz="4" w:space="0" w:color="auto"/>
              <w:bottom w:val="single" w:sz="4" w:space="0" w:color="auto"/>
              <w:right w:val="single" w:sz="4" w:space="0" w:color="auto"/>
            </w:tcBorders>
            <w:shd w:val="clear" w:color="auto" w:fill="auto"/>
            <w:noWrap/>
            <w:vAlign w:val="center"/>
            <w:hideMark/>
          </w:tcPr>
          <w:p w14:paraId="2026294F" w14:textId="77777777" w:rsidR="00271AB5" w:rsidRPr="00A50453" w:rsidRDefault="00000000" w:rsidP="00271AB5">
            <w:pPr>
              <w:spacing w:after="0" w:line="240" w:lineRule="auto"/>
              <w:jc w:val="center"/>
              <w:rPr>
                <w:rFonts w:eastAsia="Times New Roman" w:cstheme="minorHAnsi"/>
                <w:color w:val="202124"/>
                <w:lang w:val="en-US" w:bidi="ta-IN"/>
              </w:rPr>
            </w:pPr>
            <w:r w:rsidRPr="00A50453">
              <w:rPr>
                <w:rFonts w:eastAsia="Times New Roman" w:cstheme="minorHAnsi"/>
                <w:color w:val="202124"/>
                <w:lang w:val="en-US" w:bidi="ta-IN"/>
              </w:rPr>
              <w:t>Customer Trust</w:t>
            </w:r>
          </w:p>
        </w:tc>
        <w:tc>
          <w:tcPr>
            <w:tcW w:w="1571" w:type="dxa"/>
            <w:tcBorders>
              <w:top w:val="nil"/>
              <w:left w:val="nil"/>
              <w:bottom w:val="single" w:sz="4" w:space="0" w:color="auto"/>
              <w:right w:val="single" w:sz="4" w:space="0" w:color="auto"/>
            </w:tcBorders>
            <w:shd w:val="clear" w:color="auto" w:fill="auto"/>
            <w:noWrap/>
            <w:vAlign w:val="center"/>
            <w:hideMark/>
          </w:tcPr>
          <w:p w14:paraId="730B8CEB" w14:textId="77777777" w:rsidR="00271AB5" w:rsidRPr="00A50453" w:rsidRDefault="00000000" w:rsidP="00271AB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.906</w:t>
            </w:r>
            <w:r w:rsidRPr="00A50453">
              <w:rPr>
                <w:rFonts w:eastAsia="Times New Roman" w:cstheme="minorHAnsi"/>
                <w:color w:val="000000"/>
                <w:vertAlign w:val="superscript"/>
                <w:lang w:val="en-US" w:bidi="ta-IN"/>
              </w:rPr>
              <w:t>**</w:t>
            </w:r>
          </w:p>
        </w:tc>
        <w:tc>
          <w:tcPr>
            <w:tcW w:w="1222" w:type="dxa"/>
            <w:tcBorders>
              <w:top w:val="nil"/>
              <w:left w:val="nil"/>
              <w:bottom w:val="single" w:sz="4" w:space="0" w:color="auto"/>
              <w:right w:val="single" w:sz="4" w:space="0" w:color="auto"/>
            </w:tcBorders>
            <w:shd w:val="clear" w:color="auto" w:fill="auto"/>
            <w:noWrap/>
            <w:vAlign w:val="center"/>
            <w:hideMark/>
          </w:tcPr>
          <w:p w14:paraId="1D2A0FAE" w14:textId="77777777" w:rsidR="00271AB5" w:rsidRPr="00A50453" w:rsidRDefault="00000000" w:rsidP="00271AB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.920</w:t>
            </w:r>
            <w:r w:rsidRPr="00A50453">
              <w:rPr>
                <w:rFonts w:eastAsia="Times New Roman" w:cstheme="minorHAnsi"/>
                <w:color w:val="000000"/>
                <w:vertAlign w:val="superscript"/>
                <w:lang w:val="en-US" w:bidi="ta-IN"/>
              </w:rPr>
              <w:t>**</w:t>
            </w:r>
          </w:p>
        </w:tc>
        <w:tc>
          <w:tcPr>
            <w:tcW w:w="1193" w:type="dxa"/>
            <w:tcBorders>
              <w:top w:val="nil"/>
              <w:left w:val="nil"/>
              <w:bottom w:val="single" w:sz="4" w:space="0" w:color="auto"/>
              <w:right w:val="single" w:sz="4" w:space="0" w:color="auto"/>
            </w:tcBorders>
            <w:shd w:val="clear" w:color="auto" w:fill="auto"/>
            <w:noWrap/>
            <w:vAlign w:val="center"/>
            <w:hideMark/>
          </w:tcPr>
          <w:p w14:paraId="71A846DF" w14:textId="77777777" w:rsidR="00271AB5" w:rsidRPr="00A50453" w:rsidRDefault="00000000" w:rsidP="00271AB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.935</w:t>
            </w:r>
            <w:r w:rsidRPr="00A50453">
              <w:rPr>
                <w:rFonts w:eastAsia="Times New Roman" w:cstheme="minorHAnsi"/>
                <w:color w:val="000000"/>
                <w:vertAlign w:val="superscript"/>
                <w:lang w:val="en-US" w:bidi="ta-IN"/>
              </w:rPr>
              <w:t>**</w:t>
            </w:r>
          </w:p>
        </w:tc>
        <w:tc>
          <w:tcPr>
            <w:tcW w:w="1222" w:type="dxa"/>
            <w:tcBorders>
              <w:top w:val="nil"/>
              <w:left w:val="nil"/>
              <w:bottom w:val="single" w:sz="4" w:space="0" w:color="auto"/>
              <w:right w:val="single" w:sz="4" w:space="0" w:color="auto"/>
            </w:tcBorders>
            <w:shd w:val="clear" w:color="auto" w:fill="auto"/>
            <w:noWrap/>
            <w:vAlign w:val="center"/>
            <w:hideMark/>
          </w:tcPr>
          <w:p w14:paraId="5FB3CFD9" w14:textId="77777777" w:rsidR="00271AB5" w:rsidRPr="00A50453" w:rsidRDefault="00000000" w:rsidP="00271AB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.917</w:t>
            </w:r>
            <w:r w:rsidRPr="00A50453">
              <w:rPr>
                <w:rFonts w:eastAsia="Times New Roman" w:cstheme="minorHAnsi"/>
                <w:color w:val="000000"/>
                <w:vertAlign w:val="superscript"/>
                <w:lang w:val="en-US" w:bidi="ta-IN"/>
              </w:rPr>
              <w:t>**</w:t>
            </w:r>
          </w:p>
        </w:tc>
        <w:tc>
          <w:tcPr>
            <w:tcW w:w="1159" w:type="dxa"/>
            <w:tcBorders>
              <w:top w:val="nil"/>
              <w:left w:val="nil"/>
              <w:bottom w:val="single" w:sz="4" w:space="0" w:color="auto"/>
              <w:right w:val="single" w:sz="4" w:space="0" w:color="auto"/>
            </w:tcBorders>
            <w:shd w:val="clear" w:color="auto" w:fill="auto"/>
            <w:noWrap/>
            <w:vAlign w:val="center"/>
            <w:hideMark/>
          </w:tcPr>
          <w:p w14:paraId="103994F9" w14:textId="77777777" w:rsidR="00271AB5" w:rsidRPr="00A50453" w:rsidRDefault="00000000" w:rsidP="00271AB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.909</w:t>
            </w:r>
            <w:r w:rsidRPr="00A50453">
              <w:rPr>
                <w:rFonts w:eastAsia="Times New Roman" w:cstheme="minorHAnsi"/>
                <w:color w:val="000000"/>
                <w:vertAlign w:val="superscript"/>
                <w:lang w:val="en-US" w:bidi="ta-IN"/>
              </w:rPr>
              <w:t>**</w:t>
            </w:r>
          </w:p>
        </w:tc>
        <w:tc>
          <w:tcPr>
            <w:tcW w:w="1420" w:type="dxa"/>
            <w:tcBorders>
              <w:top w:val="nil"/>
              <w:left w:val="nil"/>
              <w:bottom w:val="single" w:sz="4" w:space="0" w:color="auto"/>
              <w:right w:val="single" w:sz="4" w:space="0" w:color="auto"/>
            </w:tcBorders>
            <w:shd w:val="clear" w:color="auto" w:fill="auto"/>
            <w:noWrap/>
            <w:vAlign w:val="center"/>
            <w:hideMark/>
          </w:tcPr>
          <w:p w14:paraId="0C14BF78" w14:textId="77777777" w:rsidR="00271AB5" w:rsidRPr="00A50453" w:rsidRDefault="00000000" w:rsidP="00271AB5">
            <w:pPr>
              <w:spacing w:after="0" w:line="240" w:lineRule="auto"/>
              <w:jc w:val="center"/>
              <w:rPr>
                <w:rFonts w:eastAsia="Times New Roman" w:cstheme="minorHAnsi"/>
                <w:b/>
                <w:bCs/>
                <w:color w:val="000000"/>
                <w:lang w:val="en-US" w:bidi="ta-IN"/>
              </w:rPr>
            </w:pPr>
            <w:r w:rsidRPr="00A50453">
              <w:rPr>
                <w:rFonts w:eastAsia="Times New Roman" w:cstheme="minorHAnsi"/>
                <w:b/>
                <w:bCs/>
                <w:color w:val="000000"/>
                <w:lang w:val="en-US" w:bidi="ta-IN"/>
              </w:rPr>
              <w:t>1</w:t>
            </w:r>
          </w:p>
        </w:tc>
      </w:tr>
    </w:tbl>
    <w:p w14:paraId="4A1DA11F" w14:textId="5FEBD6EF" w:rsidR="00213645" w:rsidRPr="0041427D" w:rsidRDefault="00000000" w:rsidP="0041427D">
      <w:pPr>
        <w:autoSpaceDE w:val="0"/>
        <w:autoSpaceDN w:val="0"/>
        <w:adjustRightInd w:val="0"/>
        <w:spacing w:after="0" w:line="360" w:lineRule="auto"/>
        <w:jc w:val="both"/>
        <w:rPr>
          <w:rFonts w:cstheme="minorHAnsi"/>
          <w:b/>
          <w:color w:val="000000" w:themeColor="text1"/>
          <w14:ligatures w14:val="standardContextual"/>
        </w:rPr>
      </w:pPr>
      <w:r w:rsidRPr="00A50453">
        <w:rPr>
          <w:rFonts w:eastAsia="Times New Roman" w:cstheme="minorHAnsi"/>
          <w:color w:val="000000" w:themeColor="text1"/>
          <w:lang w:val="en-US" w:bidi="ta-IN"/>
        </w:rPr>
        <w:t xml:space="preserve">The correlation coefficient between </w:t>
      </w:r>
      <w:r w:rsidR="00EF55F3" w:rsidRPr="00A50453">
        <w:rPr>
          <w:rFonts w:eastAsia="Times New Roman" w:cstheme="minorHAnsi"/>
          <w:color w:val="000000" w:themeColor="text1"/>
          <w:lang w:val="en-US" w:bidi="ta-IN"/>
        </w:rPr>
        <w:t>Risk m</w:t>
      </w:r>
      <w:r w:rsidR="00CF56E7" w:rsidRPr="00A50453">
        <w:rPr>
          <w:rFonts w:eastAsia="Times New Roman" w:cstheme="minorHAnsi"/>
          <w:color w:val="000000" w:themeColor="text1"/>
          <w:lang w:val="en-US" w:bidi="ta-IN"/>
        </w:rPr>
        <w:t>anagement</w:t>
      </w:r>
      <w:r w:rsidR="00EF55F3" w:rsidRPr="00A50453">
        <w:rPr>
          <w:rFonts w:eastAsia="Times New Roman" w:cstheme="minorHAnsi"/>
          <w:color w:val="000000" w:themeColor="text1"/>
          <w:lang w:val="en-US" w:bidi="ta-IN"/>
        </w:rPr>
        <w:t xml:space="preserve"> </w:t>
      </w:r>
      <w:r w:rsidRPr="00A50453">
        <w:rPr>
          <w:rFonts w:eastAsia="Times New Roman" w:cstheme="minorHAnsi"/>
          <w:color w:val="000000" w:themeColor="text1"/>
          <w:lang w:val="en-US" w:bidi="ta-IN"/>
        </w:rPr>
        <w:t xml:space="preserve">and </w:t>
      </w:r>
      <w:r w:rsidR="00EF55F3" w:rsidRPr="00A50453">
        <w:rPr>
          <w:rFonts w:eastAsia="Times New Roman" w:cstheme="minorHAnsi"/>
          <w:color w:val="000000" w:themeColor="text1"/>
          <w:lang w:val="en-US" w:bidi="ta-IN"/>
        </w:rPr>
        <w:t xml:space="preserve">Customer Trust at </w:t>
      </w:r>
      <w:r w:rsidR="00CF56E7" w:rsidRPr="00A50453">
        <w:rPr>
          <w:rFonts w:eastAsia="Times New Roman" w:cstheme="minorHAnsi"/>
          <w:color w:val="000000" w:themeColor="text1"/>
          <w:lang w:val="en-US" w:bidi="ta-IN"/>
        </w:rPr>
        <w:t xml:space="preserve">the </w:t>
      </w:r>
      <w:r w:rsidR="00881ACB">
        <w:rPr>
          <w:rFonts w:eastAsia="Times New Roman" w:cstheme="minorHAnsi"/>
          <w:color w:val="000000" w:themeColor="text1"/>
          <w:lang w:val="en-US" w:bidi="ta-IN"/>
        </w:rPr>
        <w:t>Banks</w:t>
      </w:r>
      <w:r w:rsidR="00EF55F3" w:rsidRPr="00A50453">
        <w:rPr>
          <w:rFonts w:eastAsia="Times New Roman" w:cstheme="minorHAnsi"/>
          <w:color w:val="000000" w:themeColor="text1"/>
          <w:lang w:val="en-US" w:bidi="ta-IN"/>
        </w:rPr>
        <w:t xml:space="preserve"> </w:t>
      </w:r>
      <w:r w:rsidRPr="00A50453">
        <w:rPr>
          <w:rFonts w:eastAsia="Times New Roman" w:cstheme="minorHAnsi"/>
          <w:color w:val="000000" w:themeColor="text1"/>
          <w:lang w:val="en-US" w:bidi="ta-IN"/>
        </w:rPr>
        <w:t>is 0</w:t>
      </w:r>
      <w:r w:rsidR="00EF55F3" w:rsidRPr="00A50453">
        <w:rPr>
          <w:rFonts w:eastAsia="Times New Roman" w:cstheme="minorHAnsi"/>
          <w:color w:val="000000" w:themeColor="text1"/>
          <w:lang w:val="en-US" w:bidi="ta-IN"/>
        </w:rPr>
        <w:t>.935</w:t>
      </w:r>
      <w:r w:rsidRPr="00A50453">
        <w:rPr>
          <w:rFonts w:eastAsia="Times New Roman" w:cstheme="minorHAnsi"/>
          <w:color w:val="000000" w:themeColor="text1"/>
          <w:lang w:val="en-US" w:bidi="ta-IN"/>
        </w:rPr>
        <w:t xml:space="preserve"> which indicates there is a strong and positive relationship between the dimension at 1% level of significance. Besides P value is less than 0.05 and hence Null hypothesis is rejected. </w:t>
      </w:r>
      <w:r w:rsidR="00491B5A" w:rsidRPr="00A50453">
        <w:rPr>
          <w:rFonts w:eastAsia="Times New Roman" w:cstheme="minorHAnsi"/>
          <w:color w:val="000000" w:themeColor="text1"/>
          <w:lang w:val="en-US" w:bidi="ta-IN"/>
        </w:rPr>
        <w:t>Therefore,</w:t>
      </w:r>
      <w:r w:rsidRPr="00A50453">
        <w:rPr>
          <w:rFonts w:eastAsia="Times New Roman" w:cstheme="minorHAnsi"/>
          <w:color w:val="000000" w:themeColor="text1"/>
          <w:lang w:val="en-US" w:bidi="ta-IN"/>
        </w:rPr>
        <w:t xml:space="preserve"> it was concluded that there is positive relationship between the </w:t>
      </w:r>
      <w:r w:rsidR="00EF55F3" w:rsidRPr="00A50453">
        <w:rPr>
          <w:rFonts w:eastAsia="Times New Roman" w:cstheme="minorHAnsi"/>
          <w:color w:val="000000" w:themeColor="text1"/>
          <w:lang w:val="en-US" w:bidi="ta-IN"/>
        </w:rPr>
        <w:t xml:space="preserve">the Risk </w:t>
      </w:r>
      <w:r w:rsidR="00CF56E7" w:rsidRPr="00A50453">
        <w:rPr>
          <w:rFonts w:eastAsia="Times New Roman" w:cstheme="minorHAnsi"/>
          <w:color w:val="000000" w:themeColor="text1"/>
          <w:lang w:val="en-US" w:bidi="ta-IN"/>
        </w:rPr>
        <w:t>management</w:t>
      </w:r>
      <w:r w:rsidR="00EF55F3" w:rsidRPr="00A50453">
        <w:rPr>
          <w:rFonts w:eastAsia="Times New Roman" w:cstheme="minorHAnsi"/>
          <w:color w:val="000000" w:themeColor="text1"/>
          <w:lang w:val="en-US" w:bidi="ta-IN"/>
        </w:rPr>
        <w:t xml:space="preserve"> and Customer Trust at the </w:t>
      </w:r>
      <w:r w:rsidR="00881ACB">
        <w:rPr>
          <w:rFonts w:eastAsia="Times New Roman" w:cstheme="minorHAnsi"/>
          <w:color w:val="000000" w:themeColor="text1"/>
          <w:lang w:val="en-US" w:bidi="ta-IN"/>
        </w:rPr>
        <w:t>banks</w:t>
      </w:r>
      <w:r w:rsidR="00EF55F3" w:rsidRPr="00A50453">
        <w:rPr>
          <w:rFonts w:eastAsia="Times New Roman" w:cstheme="minorHAnsi"/>
          <w:color w:val="000000" w:themeColor="text1"/>
          <w:lang w:val="en-US" w:bidi="ta-IN"/>
        </w:rPr>
        <w:t>.</w:t>
      </w:r>
    </w:p>
    <w:p w14:paraId="7B3CC027" w14:textId="77777777" w:rsidR="0041427D" w:rsidRDefault="0041427D" w:rsidP="0041427D">
      <w:pPr>
        <w:pStyle w:val="Heading1"/>
        <w:spacing w:after="0"/>
        <w:ind w:left="0" w:right="0" w:firstLine="0"/>
        <w:jc w:val="left"/>
        <w:rPr>
          <w:rFonts w:asciiTheme="minorHAnsi" w:hAnsiTheme="minorHAnsi" w:cstheme="minorHAnsi"/>
          <w:sz w:val="22"/>
        </w:rPr>
      </w:pPr>
    </w:p>
    <w:p w14:paraId="3B4EED22" w14:textId="736EC306" w:rsidR="00F83887" w:rsidRDefault="00000000" w:rsidP="0041427D">
      <w:pPr>
        <w:pStyle w:val="Heading1"/>
        <w:spacing w:after="0"/>
        <w:ind w:left="0" w:right="0" w:firstLine="0"/>
        <w:jc w:val="left"/>
        <w:rPr>
          <w:rFonts w:asciiTheme="minorHAnsi" w:hAnsiTheme="minorHAnsi" w:cstheme="minorHAnsi"/>
          <w:sz w:val="22"/>
        </w:rPr>
      </w:pPr>
      <w:r w:rsidRPr="00A50453">
        <w:rPr>
          <w:rFonts w:asciiTheme="minorHAnsi" w:hAnsiTheme="minorHAnsi" w:cstheme="minorHAnsi"/>
          <w:sz w:val="22"/>
        </w:rPr>
        <w:t>MULTIPLE REGRESSION ANALYSIS</w:t>
      </w:r>
    </w:p>
    <w:p w14:paraId="16A1E6DA" w14:textId="34D6AA27" w:rsidR="0041427D" w:rsidRPr="009B067A" w:rsidRDefault="0041427D" w:rsidP="009B067A">
      <w:pPr>
        <w:spacing w:after="0" w:line="358" w:lineRule="auto"/>
        <w:ind w:right="-8"/>
        <w:jc w:val="center"/>
        <w:rPr>
          <w:rFonts w:eastAsia="Times New Roman" w:cstheme="minorHAnsi"/>
          <w:b/>
          <w:bCs/>
          <w:color w:val="000000"/>
          <w:lang w:eastAsia="en-IN"/>
        </w:rPr>
      </w:pPr>
      <w:r w:rsidRPr="0041427D">
        <w:rPr>
          <w:rFonts w:eastAsia="Times New Roman" w:cstheme="minorHAnsi"/>
          <w:b/>
          <w:bCs/>
          <w:color w:val="000000"/>
          <w:lang w:eastAsia="en-IN"/>
        </w:rPr>
        <w:t xml:space="preserve">TABLE </w:t>
      </w:r>
      <w:r>
        <w:rPr>
          <w:rFonts w:eastAsia="Times New Roman" w:cstheme="minorHAnsi"/>
          <w:b/>
          <w:bCs/>
          <w:color w:val="000000"/>
          <w:lang w:eastAsia="en-IN"/>
        </w:rPr>
        <w:t>3</w:t>
      </w:r>
      <w:r w:rsidRPr="0041427D">
        <w:rPr>
          <w:rFonts w:eastAsia="Times New Roman" w:cstheme="minorHAnsi"/>
          <w:b/>
          <w:bCs/>
          <w:color w:val="000000"/>
          <w:lang w:eastAsia="en-IN"/>
        </w:rPr>
        <w:t xml:space="preserve">. </w:t>
      </w:r>
      <w:r w:rsidR="009B067A">
        <w:rPr>
          <w:rFonts w:eastAsia="Times New Roman" w:cstheme="minorHAnsi"/>
          <w:color w:val="000000"/>
          <w:lang w:val="en-US" w:bidi="ta-IN"/>
        </w:rPr>
        <w:t>MRA Summary of Customer Trust in Risk Management practices</w:t>
      </w:r>
    </w:p>
    <w:tbl>
      <w:tblPr>
        <w:tblStyle w:val="TableGrid0"/>
        <w:tblW w:w="9330" w:type="dxa"/>
        <w:tblInd w:w="-151" w:type="dxa"/>
        <w:tblCellMar>
          <w:top w:w="14" w:type="dxa"/>
          <w:right w:w="60" w:type="dxa"/>
        </w:tblCellMar>
        <w:tblLook w:val="04A0" w:firstRow="1" w:lastRow="0" w:firstColumn="1" w:lastColumn="0" w:noHBand="0" w:noVBand="1"/>
      </w:tblPr>
      <w:tblGrid>
        <w:gridCol w:w="3926"/>
        <w:gridCol w:w="5404"/>
      </w:tblGrid>
      <w:tr w:rsidR="00AE4C70" w:rsidRPr="00A50453" w14:paraId="58799AA7" w14:textId="77777777" w:rsidTr="00EF55F3">
        <w:trPr>
          <w:trHeight w:val="425"/>
        </w:trPr>
        <w:tc>
          <w:tcPr>
            <w:tcW w:w="3926" w:type="dxa"/>
            <w:tcBorders>
              <w:top w:val="single" w:sz="4" w:space="0" w:color="000000"/>
              <w:left w:val="single" w:sz="4" w:space="0" w:color="000000"/>
              <w:bottom w:val="single" w:sz="4" w:space="0" w:color="000000"/>
              <w:right w:val="nil"/>
            </w:tcBorders>
          </w:tcPr>
          <w:p w14:paraId="5DEC00B3" w14:textId="77777777" w:rsidR="00213645" w:rsidRPr="00A50453" w:rsidRDefault="00213645" w:rsidP="00EF55F3">
            <w:pPr>
              <w:spacing w:line="259" w:lineRule="auto"/>
              <w:jc w:val="center"/>
              <w:rPr>
                <w:rFonts w:asciiTheme="minorHAnsi" w:hAnsiTheme="minorHAnsi" w:cstheme="minorHAnsi"/>
                <w:color w:val="000000"/>
              </w:rPr>
            </w:pPr>
          </w:p>
        </w:tc>
        <w:tc>
          <w:tcPr>
            <w:tcW w:w="5404" w:type="dxa"/>
            <w:tcBorders>
              <w:top w:val="single" w:sz="4" w:space="0" w:color="000000"/>
              <w:left w:val="nil"/>
              <w:bottom w:val="single" w:sz="4" w:space="0" w:color="000000"/>
              <w:right w:val="single" w:sz="4" w:space="0" w:color="000000"/>
            </w:tcBorders>
          </w:tcPr>
          <w:p w14:paraId="41E3BA94" w14:textId="77777777" w:rsidR="00213645" w:rsidRPr="00A50453" w:rsidRDefault="00000000" w:rsidP="00491B5A">
            <w:pPr>
              <w:rPr>
                <w:rFonts w:asciiTheme="minorHAnsi" w:hAnsiTheme="minorHAnsi" w:cstheme="minorHAnsi"/>
                <w:color w:val="000000"/>
              </w:rPr>
            </w:pPr>
            <w:r w:rsidRPr="00A50453">
              <w:rPr>
                <w:rFonts w:asciiTheme="minorHAnsi" w:hAnsiTheme="minorHAnsi" w:cstheme="minorHAnsi"/>
                <w:b/>
                <w:color w:val="000000"/>
              </w:rPr>
              <w:t>Summary</w:t>
            </w:r>
          </w:p>
        </w:tc>
      </w:tr>
      <w:tr w:rsidR="00AE4C70" w:rsidRPr="00A50453" w14:paraId="1D7BB678" w14:textId="77777777" w:rsidTr="00EF55F3">
        <w:trPr>
          <w:trHeight w:val="422"/>
        </w:trPr>
        <w:tc>
          <w:tcPr>
            <w:tcW w:w="3926" w:type="dxa"/>
            <w:tcBorders>
              <w:top w:val="single" w:sz="4" w:space="0" w:color="000000"/>
              <w:left w:val="single" w:sz="4" w:space="0" w:color="000000"/>
              <w:bottom w:val="single" w:sz="4" w:space="0" w:color="000000"/>
              <w:right w:val="single" w:sz="4" w:space="0" w:color="000000"/>
            </w:tcBorders>
          </w:tcPr>
          <w:p w14:paraId="4C2EDF2B" w14:textId="2A4A63FA" w:rsidR="00213645" w:rsidRPr="00A50453" w:rsidRDefault="00000000" w:rsidP="009B067A">
            <w:pPr>
              <w:spacing w:line="259" w:lineRule="auto"/>
              <w:ind w:left="108"/>
              <w:jc w:val="center"/>
              <w:rPr>
                <w:rFonts w:asciiTheme="minorHAnsi" w:hAnsiTheme="minorHAnsi" w:cstheme="minorHAnsi"/>
                <w:color w:val="000000"/>
              </w:rPr>
            </w:pPr>
            <w:r w:rsidRPr="00A50453">
              <w:rPr>
                <w:rFonts w:asciiTheme="minorHAnsi" w:hAnsiTheme="minorHAnsi" w:cstheme="minorHAnsi"/>
                <w:color w:val="000000"/>
              </w:rPr>
              <w:t>Dependent Variable</w:t>
            </w:r>
          </w:p>
        </w:tc>
        <w:tc>
          <w:tcPr>
            <w:tcW w:w="5404" w:type="dxa"/>
            <w:tcBorders>
              <w:top w:val="single" w:sz="4" w:space="0" w:color="000000"/>
              <w:left w:val="single" w:sz="4" w:space="0" w:color="000000"/>
              <w:bottom w:val="single" w:sz="4" w:space="0" w:color="000000"/>
              <w:right w:val="single" w:sz="4" w:space="0" w:color="000000"/>
            </w:tcBorders>
          </w:tcPr>
          <w:p w14:paraId="3D34610B" w14:textId="6C49D3FD" w:rsidR="00213645" w:rsidRPr="00A50453" w:rsidRDefault="005E6809" w:rsidP="009B067A">
            <w:pPr>
              <w:jc w:val="center"/>
              <w:rPr>
                <w:rFonts w:asciiTheme="minorHAnsi" w:hAnsiTheme="minorHAnsi" w:cstheme="minorHAnsi"/>
                <w:color w:val="000000"/>
              </w:rPr>
            </w:pPr>
            <w:r w:rsidRPr="00A50453">
              <w:rPr>
                <w:rFonts w:asciiTheme="minorHAnsi" w:hAnsiTheme="minorHAnsi" w:cstheme="minorHAnsi"/>
                <w:color w:val="202124"/>
              </w:rPr>
              <w:t>Customer Trust</w:t>
            </w:r>
            <w:r w:rsidRPr="00A50453">
              <w:rPr>
                <w:rFonts w:asciiTheme="minorHAnsi" w:hAnsiTheme="minorHAnsi" w:cstheme="minorHAnsi"/>
                <w:color w:val="000000"/>
              </w:rPr>
              <w:t xml:space="preserve"> </w:t>
            </w:r>
            <w:r w:rsidR="00AF57D5" w:rsidRPr="00A50453">
              <w:rPr>
                <w:rFonts w:asciiTheme="minorHAnsi" w:hAnsiTheme="minorHAnsi" w:cstheme="minorHAnsi"/>
                <w:color w:val="000000"/>
              </w:rPr>
              <w:t>(Y)</w:t>
            </w:r>
          </w:p>
        </w:tc>
      </w:tr>
      <w:tr w:rsidR="00AE4C70" w:rsidRPr="00A50453" w14:paraId="39284A7F" w14:textId="77777777" w:rsidTr="0041427D">
        <w:trPr>
          <w:trHeight w:val="1431"/>
        </w:trPr>
        <w:tc>
          <w:tcPr>
            <w:tcW w:w="3926" w:type="dxa"/>
            <w:tcBorders>
              <w:top w:val="single" w:sz="4" w:space="0" w:color="000000"/>
              <w:left w:val="single" w:sz="4" w:space="0" w:color="000000"/>
              <w:bottom w:val="single" w:sz="4" w:space="0" w:color="000000"/>
              <w:right w:val="single" w:sz="4" w:space="0" w:color="000000"/>
            </w:tcBorders>
          </w:tcPr>
          <w:p w14:paraId="2E13DA68" w14:textId="67568277" w:rsidR="00213645" w:rsidRPr="00A50453" w:rsidRDefault="00000000" w:rsidP="009B067A">
            <w:pPr>
              <w:spacing w:line="259" w:lineRule="auto"/>
              <w:ind w:left="108"/>
              <w:jc w:val="center"/>
              <w:rPr>
                <w:rFonts w:asciiTheme="minorHAnsi" w:hAnsiTheme="minorHAnsi" w:cstheme="minorHAnsi"/>
                <w:color w:val="000000"/>
              </w:rPr>
            </w:pPr>
            <w:r w:rsidRPr="00A50453">
              <w:rPr>
                <w:rFonts w:asciiTheme="minorHAnsi" w:hAnsiTheme="minorHAnsi" w:cstheme="minorHAnsi"/>
                <w:color w:val="000000"/>
              </w:rPr>
              <w:t>Independent Variables</w:t>
            </w:r>
          </w:p>
        </w:tc>
        <w:tc>
          <w:tcPr>
            <w:tcW w:w="5404" w:type="dxa"/>
            <w:tcBorders>
              <w:top w:val="single" w:sz="4" w:space="0" w:color="000000"/>
              <w:left w:val="single" w:sz="4" w:space="0" w:color="000000"/>
              <w:bottom w:val="single" w:sz="4" w:space="0" w:color="000000"/>
              <w:right w:val="single" w:sz="4" w:space="0" w:color="000000"/>
            </w:tcBorders>
          </w:tcPr>
          <w:p w14:paraId="4AAEA631" w14:textId="7CD7F79A" w:rsidR="00EF55F3" w:rsidRPr="00A50453" w:rsidRDefault="005E6809" w:rsidP="009B067A">
            <w:pPr>
              <w:spacing w:line="256" w:lineRule="auto"/>
              <w:jc w:val="center"/>
              <w:rPr>
                <w:rFonts w:asciiTheme="minorHAnsi" w:hAnsiTheme="minorHAnsi" w:cstheme="minorHAnsi"/>
                <w:color w:val="000000"/>
              </w:rPr>
            </w:pPr>
            <w:r w:rsidRPr="00A50453">
              <w:rPr>
                <w:rFonts w:asciiTheme="minorHAnsi" w:hAnsiTheme="minorHAnsi" w:cstheme="minorHAnsi"/>
                <w:color w:val="000000"/>
              </w:rPr>
              <w:t>Risk Identification(X</w:t>
            </w:r>
            <w:r w:rsidRPr="00A50453">
              <w:rPr>
                <w:rFonts w:asciiTheme="minorHAnsi" w:hAnsiTheme="minorHAnsi" w:cstheme="minorHAnsi"/>
                <w:color w:val="000000"/>
                <w:vertAlign w:val="subscript"/>
              </w:rPr>
              <w:t>1</w:t>
            </w:r>
            <w:r w:rsidRPr="00A50453">
              <w:rPr>
                <w:rFonts w:asciiTheme="minorHAnsi" w:hAnsiTheme="minorHAnsi" w:cstheme="minorHAnsi"/>
                <w:color w:val="000000"/>
              </w:rPr>
              <w:t>)</w:t>
            </w:r>
          </w:p>
          <w:p w14:paraId="292A7A8C" w14:textId="0442D020" w:rsidR="00EF55F3" w:rsidRPr="00A50453" w:rsidRDefault="005E6809" w:rsidP="009B067A">
            <w:pPr>
              <w:spacing w:line="256" w:lineRule="auto"/>
              <w:jc w:val="center"/>
              <w:rPr>
                <w:rFonts w:asciiTheme="minorHAnsi" w:hAnsiTheme="minorHAnsi" w:cstheme="minorHAnsi"/>
                <w:color w:val="000000"/>
              </w:rPr>
            </w:pPr>
            <w:r w:rsidRPr="00A50453">
              <w:rPr>
                <w:rFonts w:asciiTheme="minorHAnsi" w:hAnsiTheme="minorHAnsi" w:cstheme="minorHAnsi"/>
                <w:color w:val="000000"/>
              </w:rPr>
              <w:t>Risk Assessment(X</w:t>
            </w:r>
            <w:r w:rsidRPr="00A50453">
              <w:rPr>
                <w:rFonts w:asciiTheme="minorHAnsi" w:hAnsiTheme="minorHAnsi" w:cstheme="minorHAnsi"/>
                <w:color w:val="000000"/>
                <w:vertAlign w:val="subscript"/>
              </w:rPr>
              <w:t>2</w:t>
            </w:r>
            <w:r w:rsidRPr="00A50453">
              <w:rPr>
                <w:rFonts w:asciiTheme="minorHAnsi" w:hAnsiTheme="minorHAnsi" w:cstheme="minorHAnsi"/>
                <w:color w:val="000000"/>
              </w:rPr>
              <w:t>)</w:t>
            </w:r>
          </w:p>
          <w:p w14:paraId="5DAC110B" w14:textId="123714CC" w:rsidR="00EF55F3" w:rsidRPr="00A50453" w:rsidRDefault="005E6809" w:rsidP="009B067A">
            <w:pPr>
              <w:spacing w:line="256" w:lineRule="auto"/>
              <w:jc w:val="center"/>
              <w:rPr>
                <w:rFonts w:asciiTheme="minorHAnsi" w:hAnsiTheme="minorHAnsi" w:cstheme="minorHAnsi"/>
                <w:color w:val="000000"/>
              </w:rPr>
            </w:pPr>
            <w:r w:rsidRPr="00A50453">
              <w:rPr>
                <w:rFonts w:asciiTheme="minorHAnsi" w:hAnsiTheme="minorHAnsi" w:cstheme="minorHAnsi"/>
                <w:color w:val="000000"/>
              </w:rPr>
              <w:t>Risk Mitigation (X</w:t>
            </w:r>
            <w:r w:rsidRPr="00A50453">
              <w:rPr>
                <w:rFonts w:asciiTheme="minorHAnsi" w:hAnsiTheme="minorHAnsi" w:cstheme="minorHAnsi"/>
                <w:color w:val="000000"/>
                <w:vertAlign w:val="subscript"/>
              </w:rPr>
              <w:t>3</w:t>
            </w:r>
            <w:r w:rsidRPr="00A50453">
              <w:rPr>
                <w:rFonts w:asciiTheme="minorHAnsi" w:hAnsiTheme="minorHAnsi" w:cstheme="minorHAnsi"/>
                <w:color w:val="000000"/>
              </w:rPr>
              <w:t>)</w:t>
            </w:r>
          </w:p>
          <w:p w14:paraId="2D16B813" w14:textId="6625A049" w:rsidR="00EF55F3" w:rsidRPr="00A50453" w:rsidRDefault="005E6809" w:rsidP="009B067A">
            <w:pPr>
              <w:spacing w:line="256" w:lineRule="auto"/>
              <w:jc w:val="center"/>
              <w:rPr>
                <w:rFonts w:asciiTheme="minorHAnsi" w:hAnsiTheme="minorHAnsi" w:cstheme="minorHAnsi"/>
                <w:color w:val="000000"/>
              </w:rPr>
            </w:pPr>
            <w:r w:rsidRPr="00A50453">
              <w:rPr>
                <w:rFonts w:asciiTheme="minorHAnsi" w:hAnsiTheme="minorHAnsi" w:cstheme="minorHAnsi"/>
                <w:color w:val="000000"/>
              </w:rPr>
              <w:t>Risk Monitoring(X</w:t>
            </w:r>
            <w:r w:rsidRPr="00A50453">
              <w:rPr>
                <w:rFonts w:asciiTheme="minorHAnsi" w:hAnsiTheme="minorHAnsi" w:cstheme="minorHAnsi"/>
                <w:color w:val="000000"/>
                <w:vertAlign w:val="subscript"/>
              </w:rPr>
              <w:t>4</w:t>
            </w:r>
            <w:r w:rsidRPr="00A50453">
              <w:rPr>
                <w:rFonts w:asciiTheme="minorHAnsi" w:hAnsiTheme="minorHAnsi" w:cstheme="minorHAnsi"/>
                <w:color w:val="000000"/>
              </w:rPr>
              <w:t>)</w:t>
            </w:r>
          </w:p>
          <w:p w14:paraId="5BA08C04" w14:textId="4C8309FA" w:rsidR="00213645" w:rsidRPr="00A50453" w:rsidRDefault="005E6809" w:rsidP="009B067A">
            <w:pPr>
              <w:spacing w:line="256" w:lineRule="auto"/>
              <w:jc w:val="center"/>
              <w:rPr>
                <w:rFonts w:asciiTheme="minorHAnsi" w:hAnsiTheme="minorHAnsi" w:cstheme="minorHAnsi"/>
                <w:color w:val="000000"/>
              </w:rPr>
            </w:pPr>
            <w:r w:rsidRPr="00A50453">
              <w:rPr>
                <w:rFonts w:asciiTheme="minorHAnsi" w:hAnsiTheme="minorHAnsi" w:cstheme="minorHAnsi"/>
                <w:color w:val="000000"/>
              </w:rPr>
              <w:t>Risk Reporting (X</w:t>
            </w:r>
            <w:r w:rsidRPr="00A50453">
              <w:rPr>
                <w:rFonts w:asciiTheme="minorHAnsi" w:hAnsiTheme="minorHAnsi" w:cstheme="minorHAnsi"/>
                <w:color w:val="000000"/>
                <w:vertAlign w:val="subscript"/>
              </w:rPr>
              <w:t>5</w:t>
            </w:r>
            <w:r w:rsidRPr="00A50453">
              <w:rPr>
                <w:rFonts w:asciiTheme="minorHAnsi" w:hAnsiTheme="minorHAnsi" w:cstheme="minorHAnsi"/>
                <w:color w:val="000000"/>
              </w:rPr>
              <w:t>)</w:t>
            </w:r>
          </w:p>
        </w:tc>
      </w:tr>
      <w:tr w:rsidR="00AE4C70" w:rsidRPr="00A50453" w14:paraId="7DA65316" w14:textId="77777777" w:rsidTr="00EF55F3">
        <w:trPr>
          <w:trHeight w:val="425"/>
        </w:trPr>
        <w:tc>
          <w:tcPr>
            <w:tcW w:w="3926" w:type="dxa"/>
            <w:tcBorders>
              <w:top w:val="single" w:sz="4" w:space="0" w:color="000000"/>
              <w:left w:val="single" w:sz="4" w:space="0" w:color="000000"/>
              <w:bottom w:val="single" w:sz="4" w:space="0" w:color="000000"/>
              <w:right w:val="single" w:sz="4" w:space="0" w:color="000000"/>
            </w:tcBorders>
          </w:tcPr>
          <w:p w14:paraId="59BECA32" w14:textId="5A22A684" w:rsidR="00213645" w:rsidRPr="00A50453" w:rsidRDefault="00000000" w:rsidP="009B067A">
            <w:pPr>
              <w:spacing w:line="259" w:lineRule="auto"/>
              <w:ind w:left="108"/>
              <w:jc w:val="center"/>
              <w:rPr>
                <w:rFonts w:asciiTheme="minorHAnsi" w:hAnsiTheme="minorHAnsi" w:cstheme="minorHAnsi"/>
                <w:color w:val="000000"/>
              </w:rPr>
            </w:pPr>
            <w:r w:rsidRPr="00A50453">
              <w:rPr>
                <w:rFonts w:asciiTheme="minorHAnsi" w:hAnsiTheme="minorHAnsi" w:cstheme="minorHAnsi"/>
                <w:color w:val="000000"/>
              </w:rPr>
              <w:t>Multiple R value</w:t>
            </w:r>
          </w:p>
        </w:tc>
        <w:tc>
          <w:tcPr>
            <w:tcW w:w="5404" w:type="dxa"/>
            <w:tcBorders>
              <w:top w:val="single" w:sz="4" w:space="0" w:color="000000"/>
              <w:left w:val="single" w:sz="4" w:space="0" w:color="000000"/>
              <w:bottom w:val="single" w:sz="4" w:space="0" w:color="000000"/>
              <w:right w:val="single" w:sz="4" w:space="0" w:color="000000"/>
            </w:tcBorders>
          </w:tcPr>
          <w:p w14:paraId="075FB4C3" w14:textId="7E5B08F7" w:rsidR="00213645" w:rsidRPr="00A50453" w:rsidRDefault="00000000" w:rsidP="009B067A">
            <w:pPr>
              <w:spacing w:line="259" w:lineRule="auto"/>
              <w:ind w:left="108"/>
              <w:jc w:val="center"/>
              <w:rPr>
                <w:rFonts w:asciiTheme="minorHAnsi" w:hAnsiTheme="minorHAnsi" w:cstheme="minorHAnsi"/>
                <w:color w:val="000000"/>
              </w:rPr>
            </w:pPr>
            <w:r w:rsidRPr="00A50453">
              <w:rPr>
                <w:rFonts w:asciiTheme="minorHAnsi" w:hAnsiTheme="minorHAnsi" w:cstheme="minorHAnsi"/>
                <w:color w:val="000000"/>
              </w:rPr>
              <w:t>(0.</w:t>
            </w:r>
            <w:r w:rsidR="00EF55F3" w:rsidRPr="00A50453">
              <w:rPr>
                <w:rFonts w:asciiTheme="minorHAnsi" w:hAnsiTheme="minorHAnsi" w:cstheme="minorHAnsi"/>
                <w:color w:val="000000"/>
              </w:rPr>
              <w:t>964</w:t>
            </w:r>
            <w:r w:rsidRPr="00A50453">
              <w:rPr>
                <w:rFonts w:asciiTheme="minorHAnsi" w:hAnsiTheme="minorHAnsi" w:cstheme="minorHAnsi"/>
                <w:color w:val="000000"/>
              </w:rPr>
              <w:t>)</w:t>
            </w:r>
          </w:p>
        </w:tc>
      </w:tr>
      <w:tr w:rsidR="00AE4C70" w:rsidRPr="00A50453" w14:paraId="31F98CA2" w14:textId="77777777" w:rsidTr="00EF55F3">
        <w:trPr>
          <w:trHeight w:val="425"/>
        </w:trPr>
        <w:tc>
          <w:tcPr>
            <w:tcW w:w="3926" w:type="dxa"/>
            <w:tcBorders>
              <w:top w:val="single" w:sz="4" w:space="0" w:color="000000"/>
              <w:left w:val="single" w:sz="4" w:space="0" w:color="000000"/>
              <w:bottom w:val="single" w:sz="4" w:space="0" w:color="000000"/>
              <w:right w:val="single" w:sz="4" w:space="0" w:color="000000"/>
            </w:tcBorders>
          </w:tcPr>
          <w:p w14:paraId="70CE604F" w14:textId="0573E4F8" w:rsidR="00213645" w:rsidRPr="00A50453" w:rsidRDefault="00000000" w:rsidP="009B067A">
            <w:pPr>
              <w:spacing w:line="259" w:lineRule="auto"/>
              <w:ind w:left="108"/>
              <w:jc w:val="center"/>
              <w:rPr>
                <w:rFonts w:asciiTheme="minorHAnsi" w:hAnsiTheme="minorHAnsi" w:cstheme="minorHAnsi"/>
                <w:color w:val="000000"/>
              </w:rPr>
            </w:pPr>
            <w:r w:rsidRPr="00A50453">
              <w:rPr>
                <w:rFonts w:asciiTheme="minorHAnsi" w:hAnsiTheme="minorHAnsi" w:cstheme="minorHAnsi"/>
                <w:color w:val="000000"/>
              </w:rPr>
              <w:t>R Square value</w:t>
            </w:r>
          </w:p>
        </w:tc>
        <w:tc>
          <w:tcPr>
            <w:tcW w:w="5404" w:type="dxa"/>
            <w:tcBorders>
              <w:top w:val="single" w:sz="4" w:space="0" w:color="000000"/>
              <w:left w:val="single" w:sz="4" w:space="0" w:color="000000"/>
              <w:bottom w:val="single" w:sz="4" w:space="0" w:color="000000"/>
              <w:right w:val="single" w:sz="4" w:space="0" w:color="000000"/>
            </w:tcBorders>
          </w:tcPr>
          <w:p w14:paraId="3851B780" w14:textId="4A23ADAC" w:rsidR="00213645" w:rsidRPr="00A50453" w:rsidRDefault="00000000" w:rsidP="009B067A">
            <w:pPr>
              <w:spacing w:line="259" w:lineRule="auto"/>
              <w:ind w:left="108"/>
              <w:jc w:val="center"/>
              <w:rPr>
                <w:rFonts w:asciiTheme="minorHAnsi" w:hAnsiTheme="minorHAnsi" w:cstheme="minorHAnsi"/>
                <w:color w:val="000000"/>
              </w:rPr>
            </w:pPr>
            <w:r w:rsidRPr="00A50453">
              <w:rPr>
                <w:rFonts w:asciiTheme="minorHAnsi" w:hAnsiTheme="minorHAnsi" w:cstheme="minorHAnsi"/>
                <w:color w:val="000000"/>
              </w:rPr>
              <w:t>(0.</w:t>
            </w:r>
            <w:r w:rsidR="00EF55F3" w:rsidRPr="00A50453">
              <w:rPr>
                <w:rFonts w:asciiTheme="minorHAnsi" w:hAnsiTheme="minorHAnsi" w:cstheme="minorHAnsi"/>
                <w:color w:val="000000"/>
              </w:rPr>
              <w:t>929</w:t>
            </w:r>
            <w:r w:rsidRPr="00A50453">
              <w:rPr>
                <w:rFonts w:asciiTheme="minorHAnsi" w:hAnsiTheme="minorHAnsi" w:cstheme="minorHAnsi"/>
                <w:color w:val="000000"/>
              </w:rPr>
              <w:t>)</w:t>
            </w:r>
          </w:p>
        </w:tc>
      </w:tr>
      <w:tr w:rsidR="00AE4C70" w:rsidRPr="00A50453" w14:paraId="2C549D72" w14:textId="77777777" w:rsidTr="00EF55F3">
        <w:trPr>
          <w:trHeight w:val="422"/>
        </w:trPr>
        <w:tc>
          <w:tcPr>
            <w:tcW w:w="3926" w:type="dxa"/>
            <w:tcBorders>
              <w:top w:val="single" w:sz="4" w:space="0" w:color="000000"/>
              <w:left w:val="single" w:sz="4" w:space="0" w:color="000000"/>
              <w:bottom w:val="single" w:sz="4" w:space="0" w:color="000000"/>
              <w:right w:val="single" w:sz="4" w:space="0" w:color="000000"/>
            </w:tcBorders>
          </w:tcPr>
          <w:p w14:paraId="4D94E23E" w14:textId="55CA866F" w:rsidR="00213645" w:rsidRPr="00A50453" w:rsidRDefault="00000000" w:rsidP="009B067A">
            <w:pPr>
              <w:spacing w:line="259" w:lineRule="auto"/>
              <w:ind w:left="108"/>
              <w:jc w:val="center"/>
              <w:rPr>
                <w:rFonts w:asciiTheme="minorHAnsi" w:hAnsiTheme="minorHAnsi" w:cstheme="minorHAnsi"/>
                <w:color w:val="000000"/>
              </w:rPr>
            </w:pPr>
            <w:r w:rsidRPr="00A50453">
              <w:rPr>
                <w:rFonts w:asciiTheme="minorHAnsi" w:hAnsiTheme="minorHAnsi" w:cstheme="minorHAnsi"/>
                <w:color w:val="000000"/>
              </w:rPr>
              <w:t>F value</w:t>
            </w:r>
          </w:p>
        </w:tc>
        <w:tc>
          <w:tcPr>
            <w:tcW w:w="5404" w:type="dxa"/>
            <w:tcBorders>
              <w:top w:val="single" w:sz="4" w:space="0" w:color="000000"/>
              <w:left w:val="single" w:sz="4" w:space="0" w:color="000000"/>
              <w:bottom w:val="single" w:sz="4" w:space="0" w:color="000000"/>
              <w:right w:val="single" w:sz="4" w:space="0" w:color="000000"/>
            </w:tcBorders>
          </w:tcPr>
          <w:p w14:paraId="63B8319F" w14:textId="55944031" w:rsidR="00213645" w:rsidRPr="00A50453" w:rsidRDefault="00000000" w:rsidP="009B067A">
            <w:pPr>
              <w:spacing w:line="259" w:lineRule="auto"/>
              <w:ind w:left="108"/>
              <w:jc w:val="center"/>
              <w:rPr>
                <w:rFonts w:asciiTheme="minorHAnsi" w:hAnsiTheme="minorHAnsi" w:cstheme="minorHAnsi"/>
                <w:color w:val="000000"/>
              </w:rPr>
            </w:pPr>
            <w:r w:rsidRPr="00A50453">
              <w:rPr>
                <w:rFonts w:asciiTheme="minorHAnsi" w:hAnsiTheme="minorHAnsi" w:cstheme="minorHAnsi"/>
                <w:color w:val="000000"/>
              </w:rPr>
              <w:t>(</w:t>
            </w:r>
            <w:r w:rsidR="00EF55F3" w:rsidRPr="00A50453">
              <w:rPr>
                <w:rFonts w:asciiTheme="minorHAnsi" w:hAnsiTheme="minorHAnsi" w:cstheme="minorHAnsi"/>
                <w:color w:val="000000"/>
              </w:rPr>
              <w:t>300.388</w:t>
            </w:r>
            <w:r w:rsidRPr="00A50453">
              <w:rPr>
                <w:rFonts w:asciiTheme="minorHAnsi" w:hAnsiTheme="minorHAnsi" w:cstheme="minorHAnsi"/>
                <w:color w:val="000000"/>
              </w:rPr>
              <w:t>)</w:t>
            </w:r>
          </w:p>
        </w:tc>
      </w:tr>
      <w:tr w:rsidR="00AE4C70" w:rsidRPr="00A50453" w14:paraId="76279EE4" w14:textId="77777777" w:rsidTr="00EF55F3">
        <w:trPr>
          <w:trHeight w:val="425"/>
        </w:trPr>
        <w:tc>
          <w:tcPr>
            <w:tcW w:w="3926" w:type="dxa"/>
            <w:tcBorders>
              <w:top w:val="single" w:sz="4" w:space="0" w:color="000000"/>
              <w:left w:val="single" w:sz="4" w:space="0" w:color="000000"/>
              <w:bottom w:val="single" w:sz="4" w:space="0" w:color="000000"/>
              <w:right w:val="single" w:sz="4" w:space="0" w:color="000000"/>
            </w:tcBorders>
          </w:tcPr>
          <w:p w14:paraId="4528DB7B" w14:textId="336F78E9" w:rsidR="00213645" w:rsidRPr="00A50453" w:rsidRDefault="00000000" w:rsidP="009B067A">
            <w:pPr>
              <w:spacing w:line="259" w:lineRule="auto"/>
              <w:ind w:left="108"/>
              <w:jc w:val="center"/>
              <w:rPr>
                <w:rFonts w:asciiTheme="minorHAnsi" w:hAnsiTheme="minorHAnsi" w:cstheme="minorHAnsi"/>
                <w:color w:val="000000"/>
              </w:rPr>
            </w:pPr>
            <w:r w:rsidRPr="00A50453">
              <w:rPr>
                <w:rFonts w:asciiTheme="minorHAnsi" w:hAnsiTheme="minorHAnsi" w:cstheme="minorHAnsi"/>
                <w:color w:val="000000"/>
              </w:rPr>
              <w:t>P value</w:t>
            </w:r>
          </w:p>
        </w:tc>
        <w:tc>
          <w:tcPr>
            <w:tcW w:w="5404" w:type="dxa"/>
            <w:tcBorders>
              <w:top w:val="single" w:sz="4" w:space="0" w:color="000000"/>
              <w:left w:val="single" w:sz="4" w:space="0" w:color="000000"/>
              <w:bottom w:val="single" w:sz="4" w:space="0" w:color="000000"/>
              <w:right w:val="single" w:sz="4" w:space="0" w:color="000000"/>
            </w:tcBorders>
          </w:tcPr>
          <w:p w14:paraId="4B78D8F2" w14:textId="567E45B4" w:rsidR="00213645" w:rsidRPr="00A50453" w:rsidRDefault="00000000" w:rsidP="009B067A">
            <w:pPr>
              <w:spacing w:line="259" w:lineRule="auto"/>
              <w:ind w:left="108"/>
              <w:jc w:val="center"/>
              <w:rPr>
                <w:rFonts w:asciiTheme="minorHAnsi" w:hAnsiTheme="minorHAnsi" w:cstheme="minorHAnsi"/>
                <w:color w:val="000000"/>
              </w:rPr>
            </w:pPr>
            <w:r w:rsidRPr="00A50453">
              <w:rPr>
                <w:rFonts w:asciiTheme="minorHAnsi" w:hAnsiTheme="minorHAnsi" w:cstheme="minorHAnsi"/>
                <w:color w:val="000000"/>
              </w:rPr>
              <w:t>(0.000)</w:t>
            </w:r>
          </w:p>
        </w:tc>
      </w:tr>
    </w:tbl>
    <w:p w14:paraId="69078F01" w14:textId="2BC9649F" w:rsidR="00491B5A" w:rsidRPr="00A50453" w:rsidRDefault="00491B5A" w:rsidP="00F83887">
      <w:pPr>
        <w:spacing w:after="158"/>
        <w:rPr>
          <w:rFonts w:eastAsia="Times New Roman" w:cstheme="minorHAnsi"/>
          <w:color w:val="000000"/>
          <w:lang w:val="en-US" w:bidi="ta-IN"/>
        </w:rPr>
      </w:pPr>
    </w:p>
    <w:p w14:paraId="1E63291C" w14:textId="1D94DC11" w:rsidR="00491B5A" w:rsidRPr="00A50453" w:rsidRDefault="009B067A" w:rsidP="009B067A">
      <w:pPr>
        <w:spacing w:after="0" w:line="240" w:lineRule="auto"/>
        <w:jc w:val="center"/>
        <w:rPr>
          <w:rFonts w:eastAsia="Times New Roman" w:cstheme="minorHAnsi"/>
          <w:color w:val="000000"/>
          <w:lang w:val="en-US" w:bidi="ta-IN"/>
        </w:rPr>
      </w:pPr>
      <w:r>
        <w:rPr>
          <w:rFonts w:eastAsia="Times New Roman" w:cstheme="minorHAnsi"/>
          <w:b/>
          <w:bCs/>
          <w:color w:val="000000"/>
          <w:lang w:val="en-US" w:bidi="ta-IN"/>
        </w:rPr>
        <w:lastRenderedPageBreak/>
        <w:t xml:space="preserve">TABLE 4. </w:t>
      </w:r>
      <w:r w:rsidRPr="009B067A">
        <w:rPr>
          <w:rFonts w:eastAsia="Times New Roman" w:cstheme="minorHAnsi"/>
          <w:color w:val="000000"/>
          <w:lang w:val="en-US" w:bidi="ta-IN"/>
        </w:rPr>
        <w:t xml:space="preserve">Dimensions in </w:t>
      </w:r>
      <w:r w:rsidR="00000000" w:rsidRPr="009B067A">
        <w:rPr>
          <w:rFonts w:eastAsia="Times New Roman" w:cstheme="minorHAnsi"/>
          <w:color w:val="000000"/>
          <w:lang w:val="en-US" w:bidi="ta-IN"/>
        </w:rPr>
        <w:t xml:space="preserve">Multiple Regression Analysis </w:t>
      </w:r>
    </w:p>
    <w:tbl>
      <w:tblPr>
        <w:tblW w:w="9597" w:type="dxa"/>
        <w:jc w:val="center"/>
        <w:tblLook w:val="04A0" w:firstRow="1" w:lastRow="0" w:firstColumn="1" w:lastColumn="0" w:noHBand="0" w:noVBand="1"/>
      </w:tblPr>
      <w:tblGrid>
        <w:gridCol w:w="1980"/>
        <w:gridCol w:w="1705"/>
        <w:gridCol w:w="1610"/>
        <w:gridCol w:w="1590"/>
        <w:gridCol w:w="1356"/>
        <w:gridCol w:w="1356"/>
      </w:tblGrid>
      <w:tr w:rsidR="00AE4C70" w:rsidRPr="00A50453" w14:paraId="30277DEA" w14:textId="77777777" w:rsidTr="009B067A">
        <w:trPr>
          <w:trHeight w:val="544"/>
          <w:jc w:val="center"/>
        </w:trPr>
        <w:tc>
          <w:tcPr>
            <w:tcW w:w="19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CDB48" w14:textId="77777777" w:rsidR="00AF57D5" w:rsidRPr="00A50453" w:rsidRDefault="00000000" w:rsidP="00AF57D5">
            <w:pPr>
              <w:spacing w:after="0" w:line="240" w:lineRule="auto"/>
              <w:jc w:val="center"/>
              <w:rPr>
                <w:rFonts w:eastAsia="Times New Roman" w:cstheme="minorHAnsi"/>
                <w:b/>
                <w:bCs/>
                <w:color w:val="000000"/>
                <w:lang w:val="en-US" w:bidi="ta-IN"/>
              </w:rPr>
            </w:pPr>
            <w:r w:rsidRPr="00A50453">
              <w:rPr>
                <w:rFonts w:eastAsia="Times New Roman" w:cstheme="minorHAnsi"/>
                <w:b/>
                <w:bCs/>
                <w:color w:val="000000"/>
                <w:lang w:val="en-US" w:bidi="ta-IN"/>
              </w:rPr>
              <w:t>Particulars</w:t>
            </w:r>
          </w:p>
        </w:tc>
        <w:tc>
          <w:tcPr>
            <w:tcW w:w="3315" w:type="dxa"/>
            <w:gridSpan w:val="2"/>
            <w:tcBorders>
              <w:top w:val="single" w:sz="4" w:space="0" w:color="auto"/>
              <w:left w:val="nil"/>
              <w:bottom w:val="single" w:sz="4" w:space="0" w:color="auto"/>
              <w:right w:val="single" w:sz="4" w:space="0" w:color="auto"/>
            </w:tcBorders>
            <w:shd w:val="clear" w:color="auto" w:fill="auto"/>
            <w:noWrap/>
            <w:vAlign w:val="center"/>
            <w:hideMark/>
          </w:tcPr>
          <w:p w14:paraId="1CE53745" w14:textId="77777777" w:rsidR="00AF57D5" w:rsidRPr="00A50453" w:rsidRDefault="00000000" w:rsidP="00AF57D5">
            <w:pPr>
              <w:spacing w:after="0" w:line="240" w:lineRule="auto"/>
              <w:jc w:val="center"/>
              <w:rPr>
                <w:rFonts w:eastAsia="Times New Roman" w:cstheme="minorHAnsi"/>
                <w:b/>
                <w:bCs/>
                <w:color w:val="000000"/>
                <w:lang w:val="en-US" w:bidi="ta-IN"/>
              </w:rPr>
            </w:pPr>
            <w:r w:rsidRPr="00A50453">
              <w:rPr>
                <w:rFonts w:eastAsia="Times New Roman" w:cstheme="minorHAnsi"/>
                <w:b/>
                <w:bCs/>
                <w:color w:val="000000"/>
                <w:lang w:val="en-US" w:bidi="ta-IN"/>
              </w:rPr>
              <w:t>Unstandardized Coefficients</w:t>
            </w:r>
          </w:p>
        </w:tc>
        <w:tc>
          <w:tcPr>
            <w:tcW w:w="1590" w:type="dxa"/>
            <w:tcBorders>
              <w:top w:val="single" w:sz="4" w:space="0" w:color="auto"/>
              <w:left w:val="nil"/>
              <w:bottom w:val="single" w:sz="4" w:space="0" w:color="auto"/>
              <w:right w:val="single" w:sz="4" w:space="0" w:color="auto"/>
            </w:tcBorders>
            <w:shd w:val="clear" w:color="auto" w:fill="auto"/>
            <w:noWrap/>
            <w:vAlign w:val="center"/>
            <w:hideMark/>
          </w:tcPr>
          <w:p w14:paraId="20860AF0" w14:textId="77777777" w:rsidR="00AF57D5" w:rsidRPr="00A50453" w:rsidRDefault="00000000" w:rsidP="00AF57D5">
            <w:pPr>
              <w:spacing w:after="0" w:line="240" w:lineRule="auto"/>
              <w:jc w:val="center"/>
              <w:rPr>
                <w:rFonts w:eastAsia="Times New Roman" w:cstheme="minorHAnsi"/>
                <w:b/>
                <w:bCs/>
                <w:color w:val="000000"/>
                <w:lang w:val="en-US" w:bidi="ta-IN"/>
              </w:rPr>
            </w:pPr>
            <w:r w:rsidRPr="00A50453">
              <w:rPr>
                <w:rFonts w:eastAsia="Times New Roman" w:cstheme="minorHAnsi"/>
                <w:b/>
                <w:bCs/>
                <w:color w:val="000000"/>
                <w:lang w:val="en-US" w:bidi="ta-IN"/>
              </w:rPr>
              <w:t>Standardized Coefficients</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5E6DDB" w14:textId="77777777" w:rsidR="00AF57D5" w:rsidRPr="00A50453" w:rsidRDefault="00000000" w:rsidP="00AF57D5">
            <w:pPr>
              <w:spacing w:after="0" w:line="240" w:lineRule="auto"/>
              <w:jc w:val="center"/>
              <w:rPr>
                <w:rFonts w:eastAsia="Times New Roman" w:cstheme="minorHAnsi"/>
                <w:b/>
                <w:bCs/>
                <w:color w:val="000000"/>
                <w:lang w:val="en-US" w:bidi="ta-IN"/>
              </w:rPr>
            </w:pPr>
            <w:r w:rsidRPr="00A50453">
              <w:rPr>
                <w:rFonts w:eastAsia="Times New Roman" w:cstheme="minorHAnsi"/>
                <w:b/>
                <w:bCs/>
                <w:color w:val="000000"/>
                <w:lang w:val="en-US" w:bidi="ta-IN"/>
              </w:rPr>
              <w:t>T</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A94E24" w14:textId="77777777" w:rsidR="00AF57D5" w:rsidRPr="00A50453" w:rsidRDefault="00000000" w:rsidP="00AF57D5">
            <w:pPr>
              <w:spacing w:after="0" w:line="240" w:lineRule="auto"/>
              <w:jc w:val="center"/>
              <w:rPr>
                <w:rFonts w:eastAsia="Times New Roman" w:cstheme="minorHAnsi"/>
                <w:b/>
                <w:bCs/>
                <w:color w:val="000000"/>
                <w:lang w:val="en-US" w:bidi="ta-IN"/>
              </w:rPr>
            </w:pPr>
            <w:r w:rsidRPr="00A50453">
              <w:rPr>
                <w:rFonts w:eastAsia="Times New Roman" w:cstheme="minorHAnsi"/>
                <w:b/>
                <w:bCs/>
                <w:color w:val="000000"/>
                <w:lang w:val="en-US" w:bidi="ta-IN"/>
              </w:rPr>
              <w:t>Sig.</w:t>
            </w:r>
          </w:p>
        </w:tc>
      </w:tr>
      <w:tr w:rsidR="00AE4C70" w:rsidRPr="00A50453" w14:paraId="27D24736" w14:textId="77777777" w:rsidTr="009B067A">
        <w:trPr>
          <w:trHeight w:val="551"/>
          <w:jc w:val="center"/>
        </w:trPr>
        <w:tc>
          <w:tcPr>
            <w:tcW w:w="1980" w:type="dxa"/>
            <w:vMerge/>
            <w:tcBorders>
              <w:top w:val="single" w:sz="4" w:space="0" w:color="auto"/>
              <w:left w:val="single" w:sz="4" w:space="0" w:color="auto"/>
              <w:bottom w:val="single" w:sz="4" w:space="0" w:color="auto"/>
              <w:right w:val="single" w:sz="4" w:space="0" w:color="auto"/>
            </w:tcBorders>
            <w:vAlign w:val="center"/>
            <w:hideMark/>
          </w:tcPr>
          <w:p w14:paraId="761654BE" w14:textId="77777777" w:rsidR="00EF55F3" w:rsidRPr="00A50453" w:rsidRDefault="00EF55F3" w:rsidP="00AF57D5">
            <w:pPr>
              <w:spacing w:after="0" w:line="240" w:lineRule="auto"/>
              <w:jc w:val="center"/>
              <w:rPr>
                <w:rFonts w:eastAsia="Times New Roman" w:cstheme="minorHAnsi"/>
                <w:b/>
                <w:bCs/>
                <w:color w:val="000000"/>
                <w:lang w:val="en-US" w:bidi="ta-IN"/>
              </w:rPr>
            </w:pPr>
          </w:p>
        </w:tc>
        <w:tc>
          <w:tcPr>
            <w:tcW w:w="1705" w:type="dxa"/>
            <w:tcBorders>
              <w:top w:val="nil"/>
              <w:left w:val="nil"/>
              <w:bottom w:val="single" w:sz="4" w:space="0" w:color="auto"/>
              <w:right w:val="single" w:sz="4" w:space="0" w:color="auto"/>
            </w:tcBorders>
            <w:shd w:val="clear" w:color="auto" w:fill="auto"/>
            <w:noWrap/>
            <w:vAlign w:val="center"/>
            <w:hideMark/>
          </w:tcPr>
          <w:p w14:paraId="51BDFBF4" w14:textId="77777777" w:rsidR="00EF55F3" w:rsidRPr="00A50453" w:rsidRDefault="00000000" w:rsidP="00AF57D5">
            <w:pPr>
              <w:spacing w:after="0" w:line="240" w:lineRule="auto"/>
              <w:jc w:val="center"/>
              <w:rPr>
                <w:rFonts w:eastAsia="Times New Roman" w:cstheme="minorHAnsi"/>
                <w:b/>
                <w:bCs/>
                <w:color w:val="000000"/>
                <w:lang w:val="en-US" w:bidi="ta-IN"/>
              </w:rPr>
            </w:pPr>
            <w:r w:rsidRPr="00A50453">
              <w:rPr>
                <w:rFonts w:eastAsia="Times New Roman" w:cstheme="minorHAnsi"/>
                <w:b/>
                <w:bCs/>
                <w:color w:val="000000"/>
                <w:lang w:val="en-US" w:bidi="ta-IN"/>
              </w:rPr>
              <w:t>B</w:t>
            </w:r>
          </w:p>
        </w:tc>
        <w:tc>
          <w:tcPr>
            <w:tcW w:w="1610" w:type="dxa"/>
            <w:tcBorders>
              <w:top w:val="nil"/>
              <w:left w:val="nil"/>
              <w:bottom w:val="single" w:sz="4" w:space="0" w:color="auto"/>
              <w:right w:val="single" w:sz="4" w:space="0" w:color="auto"/>
            </w:tcBorders>
            <w:shd w:val="clear" w:color="auto" w:fill="auto"/>
            <w:noWrap/>
            <w:vAlign w:val="center"/>
            <w:hideMark/>
          </w:tcPr>
          <w:p w14:paraId="00778E18" w14:textId="77777777" w:rsidR="00EF55F3" w:rsidRPr="00A50453" w:rsidRDefault="00000000" w:rsidP="00AF57D5">
            <w:pPr>
              <w:spacing w:after="0" w:line="240" w:lineRule="auto"/>
              <w:jc w:val="center"/>
              <w:rPr>
                <w:rFonts w:eastAsia="Times New Roman" w:cstheme="minorHAnsi"/>
                <w:b/>
                <w:bCs/>
                <w:color w:val="000000"/>
                <w:lang w:val="en-US" w:bidi="ta-IN"/>
              </w:rPr>
            </w:pPr>
            <w:r w:rsidRPr="00A50453">
              <w:rPr>
                <w:rFonts w:eastAsia="Times New Roman" w:cstheme="minorHAnsi"/>
                <w:b/>
                <w:bCs/>
                <w:color w:val="000000"/>
                <w:lang w:val="en-US" w:bidi="ta-IN"/>
              </w:rPr>
              <w:t>STD.ERROR</w:t>
            </w:r>
          </w:p>
        </w:tc>
        <w:tc>
          <w:tcPr>
            <w:tcW w:w="1590" w:type="dxa"/>
            <w:tcBorders>
              <w:top w:val="nil"/>
              <w:left w:val="nil"/>
              <w:bottom w:val="single" w:sz="4" w:space="0" w:color="auto"/>
              <w:right w:val="single" w:sz="4" w:space="0" w:color="auto"/>
            </w:tcBorders>
            <w:shd w:val="clear" w:color="auto" w:fill="auto"/>
            <w:noWrap/>
            <w:vAlign w:val="center"/>
            <w:hideMark/>
          </w:tcPr>
          <w:p w14:paraId="0592E904" w14:textId="77777777" w:rsidR="00EF55F3" w:rsidRPr="00A50453" w:rsidRDefault="00000000" w:rsidP="00AF57D5">
            <w:pPr>
              <w:spacing w:after="0" w:line="240" w:lineRule="auto"/>
              <w:jc w:val="center"/>
              <w:rPr>
                <w:rFonts w:eastAsia="Times New Roman" w:cstheme="minorHAnsi"/>
                <w:b/>
                <w:bCs/>
                <w:color w:val="000000"/>
                <w:lang w:val="en-US" w:bidi="ta-IN"/>
              </w:rPr>
            </w:pPr>
            <w:r w:rsidRPr="00A50453">
              <w:rPr>
                <w:rFonts w:eastAsia="Times New Roman" w:cstheme="minorHAnsi"/>
                <w:b/>
                <w:bCs/>
                <w:color w:val="000000"/>
                <w:lang w:val="en-US" w:bidi="ta-IN"/>
              </w:rPr>
              <w:t>Beta</w:t>
            </w:r>
          </w:p>
        </w:tc>
        <w:tc>
          <w:tcPr>
            <w:tcW w:w="1356" w:type="dxa"/>
            <w:vMerge/>
            <w:tcBorders>
              <w:top w:val="single" w:sz="4" w:space="0" w:color="auto"/>
              <w:left w:val="single" w:sz="4" w:space="0" w:color="auto"/>
              <w:bottom w:val="single" w:sz="4" w:space="0" w:color="auto"/>
              <w:right w:val="single" w:sz="4" w:space="0" w:color="auto"/>
            </w:tcBorders>
            <w:vAlign w:val="center"/>
            <w:hideMark/>
          </w:tcPr>
          <w:p w14:paraId="7001FE11" w14:textId="77777777" w:rsidR="00EF55F3" w:rsidRPr="00A50453" w:rsidRDefault="00EF55F3" w:rsidP="00AF57D5">
            <w:pPr>
              <w:spacing w:after="0" w:line="240" w:lineRule="auto"/>
              <w:jc w:val="center"/>
              <w:rPr>
                <w:rFonts w:eastAsia="Times New Roman" w:cstheme="minorHAnsi"/>
                <w:b/>
                <w:bCs/>
                <w:color w:val="000000"/>
                <w:lang w:val="en-US" w:bidi="ta-IN"/>
              </w:rPr>
            </w:pPr>
          </w:p>
        </w:tc>
        <w:tc>
          <w:tcPr>
            <w:tcW w:w="1356" w:type="dxa"/>
            <w:vMerge/>
            <w:tcBorders>
              <w:top w:val="single" w:sz="4" w:space="0" w:color="auto"/>
              <w:left w:val="single" w:sz="4" w:space="0" w:color="auto"/>
              <w:bottom w:val="single" w:sz="4" w:space="0" w:color="auto"/>
              <w:right w:val="single" w:sz="4" w:space="0" w:color="auto"/>
            </w:tcBorders>
            <w:vAlign w:val="center"/>
            <w:hideMark/>
          </w:tcPr>
          <w:p w14:paraId="177CBFAE" w14:textId="77777777" w:rsidR="00EF55F3" w:rsidRPr="00A50453" w:rsidRDefault="00EF55F3" w:rsidP="00AF57D5">
            <w:pPr>
              <w:spacing w:after="0" w:line="240" w:lineRule="auto"/>
              <w:jc w:val="center"/>
              <w:rPr>
                <w:rFonts w:eastAsia="Times New Roman" w:cstheme="minorHAnsi"/>
                <w:b/>
                <w:bCs/>
                <w:color w:val="000000"/>
                <w:lang w:val="en-US" w:bidi="ta-IN"/>
              </w:rPr>
            </w:pPr>
          </w:p>
        </w:tc>
      </w:tr>
      <w:tr w:rsidR="00AE4C70" w:rsidRPr="00A50453" w14:paraId="7574564E" w14:textId="77777777" w:rsidTr="009B067A">
        <w:trPr>
          <w:trHeight w:val="417"/>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4902A3A8" w14:textId="77777777" w:rsidR="00EF55F3" w:rsidRPr="00A50453" w:rsidRDefault="00000000" w:rsidP="00AF57D5">
            <w:pPr>
              <w:spacing w:after="0" w:line="240" w:lineRule="auto"/>
              <w:jc w:val="center"/>
              <w:rPr>
                <w:rFonts w:eastAsia="Times New Roman" w:cstheme="minorHAnsi"/>
                <w:b/>
                <w:bCs/>
                <w:color w:val="000000"/>
                <w:lang w:val="en-US" w:bidi="ta-IN"/>
              </w:rPr>
            </w:pPr>
            <w:r w:rsidRPr="00A50453">
              <w:rPr>
                <w:rFonts w:eastAsia="Times New Roman" w:cstheme="minorHAnsi"/>
                <w:b/>
                <w:bCs/>
                <w:color w:val="000000"/>
                <w:lang w:val="en-US" w:bidi="ta-IN"/>
              </w:rPr>
              <w:t>(Constant)</w:t>
            </w:r>
          </w:p>
        </w:tc>
        <w:tc>
          <w:tcPr>
            <w:tcW w:w="1705" w:type="dxa"/>
            <w:tcBorders>
              <w:top w:val="nil"/>
              <w:left w:val="nil"/>
              <w:bottom w:val="single" w:sz="4" w:space="0" w:color="auto"/>
              <w:right w:val="single" w:sz="4" w:space="0" w:color="auto"/>
            </w:tcBorders>
            <w:shd w:val="clear" w:color="auto" w:fill="auto"/>
            <w:noWrap/>
            <w:vAlign w:val="center"/>
            <w:hideMark/>
          </w:tcPr>
          <w:p w14:paraId="054D30FD" w14:textId="77777777" w:rsidR="00EF55F3" w:rsidRPr="00A50453" w:rsidRDefault="00000000" w:rsidP="00AF57D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-0.1102</w:t>
            </w:r>
          </w:p>
        </w:tc>
        <w:tc>
          <w:tcPr>
            <w:tcW w:w="1610" w:type="dxa"/>
            <w:tcBorders>
              <w:top w:val="nil"/>
              <w:left w:val="nil"/>
              <w:bottom w:val="single" w:sz="4" w:space="0" w:color="auto"/>
              <w:right w:val="single" w:sz="4" w:space="0" w:color="auto"/>
            </w:tcBorders>
            <w:shd w:val="clear" w:color="auto" w:fill="auto"/>
            <w:noWrap/>
            <w:vAlign w:val="center"/>
            <w:hideMark/>
          </w:tcPr>
          <w:p w14:paraId="7D5CFBED" w14:textId="77777777" w:rsidR="00EF55F3" w:rsidRPr="00A50453" w:rsidRDefault="00000000" w:rsidP="00AF57D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0.12122</w:t>
            </w:r>
          </w:p>
        </w:tc>
        <w:tc>
          <w:tcPr>
            <w:tcW w:w="1590" w:type="dxa"/>
            <w:tcBorders>
              <w:top w:val="nil"/>
              <w:left w:val="nil"/>
              <w:bottom w:val="single" w:sz="4" w:space="0" w:color="auto"/>
              <w:right w:val="single" w:sz="4" w:space="0" w:color="auto"/>
            </w:tcBorders>
            <w:shd w:val="clear" w:color="auto" w:fill="auto"/>
            <w:noWrap/>
            <w:vAlign w:val="center"/>
            <w:hideMark/>
          </w:tcPr>
          <w:p w14:paraId="73399EC4" w14:textId="77777777" w:rsidR="00EF55F3" w:rsidRPr="00A50453" w:rsidRDefault="00EF55F3" w:rsidP="00AF57D5">
            <w:pPr>
              <w:spacing w:after="0" w:line="240" w:lineRule="auto"/>
              <w:jc w:val="center"/>
              <w:rPr>
                <w:rFonts w:eastAsia="Times New Roman" w:cstheme="minorHAnsi"/>
                <w:color w:val="000000"/>
                <w:lang w:val="en-US" w:bidi="ta-IN"/>
              </w:rPr>
            </w:pPr>
          </w:p>
        </w:tc>
        <w:tc>
          <w:tcPr>
            <w:tcW w:w="1356" w:type="dxa"/>
            <w:tcBorders>
              <w:top w:val="nil"/>
              <w:left w:val="nil"/>
              <w:bottom w:val="single" w:sz="4" w:space="0" w:color="auto"/>
              <w:right w:val="single" w:sz="4" w:space="0" w:color="auto"/>
            </w:tcBorders>
            <w:shd w:val="clear" w:color="auto" w:fill="auto"/>
            <w:noWrap/>
            <w:vAlign w:val="center"/>
            <w:hideMark/>
          </w:tcPr>
          <w:p w14:paraId="048CC629" w14:textId="77777777" w:rsidR="00EF55F3" w:rsidRPr="00A50453" w:rsidRDefault="00000000" w:rsidP="00AF57D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-0.90928841</w:t>
            </w:r>
          </w:p>
        </w:tc>
        <w:tc>
          <w:tcPr>
            <w:tcW w:w="1356" w:type="dxa"/>
            <w:tcBorders>
              <w:top w:val="nil"/>
              <w:left w:val="nil"/>
              <w:bottom w:val="single" w:sz="4" w:space="0" w:color="auto"/>
              <w:right w:val="single" w:sz="4" w:space="0" w:color="auto"/>
            </w:tcBorders>
            <w:shd w:val="clear" w:color="auto" w:fill="auto"/>
            <w:noWrap/>
            <w:vAlign w:val="center"/>
            <w:hideMark/>
          </w:tcPr>
          <w:p w14:paraId="279AB73D" w14:textId="77777777" w:rsidR="00EF55F3" w:rsidRPr="00A50453" w:rsidRDefault="00000000" w:rsidP="00AF57D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0.36511631</w:t>
            </w:r>
          </w:p>
        </w:tc>
      </w:tr>
      <w:tr w:rsidR="00AE4C70" w:rsidRPr="00A50453" w14:paraId="74E19DFD" w14:textId="77777777" w:rsidTr="009B067A">
        <w:trPr>
          <w:trHeight w:val="422"/>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B1FE28E" w14:textId="77777777" w:rsidR="00EF55F3" w:rsidRPr="00A50453" w:rsidRDefault="00000000" w:rsidP="00AF57D5">
            <w:pPr>
              <w:spacing w:after="0" w:line="240" w:lineRule="auto"/>
              <w:jc w:val="center"/>
              <w:rPr>
                <w:rFonts w:eastAsia="Times New Roman" w:cstheme="minorHAnsi"/>
                <w:b/>
                <w:bCs/>
                <w:color w:val="202124"/>
                <w:lang w:val="en-US" w:bidi="ta-IN"/>
              </w:rPr>
            </w:pPr>
            <w:r w:rsidRPr="00A50453">
              <w:rPr>
                <w:rFonts w:eastAsia="Times New Roman" w:cstheme="minorHAnsi"/>
                <w:b/>
                <w:bCs/>
                <w:color w:val="202124"/>
                <w:lang w:val="en-US" w:bidi="ta-IN"/>
              </w:rPr>
              <w:t>Risk Identification</w:t>
            </w:r>
          </w:p>
        </w:tc>
        <w:tc>
          <w:tcPr>
            <w:tcW w:w="1705" w:type="dxa"/>
            <w:tcBorders>
              <w:top w:val="nil"/>
              <w:left w:val="nil"/>
              <w:bottom w:val="single" w:sz="4" w:space="0" w:color="auto"/>
              <w:right w:val="single" w:sz="4" w:space="0" w:color="auto"/>
            </w:tcBorders>
            <w:shd w:val="clear" w:color="auto" w:fill="auto"/>
            <w:noWrap/>
            <w:vAlign w:val="center"/>
            <w:hideMark/>
          </w:tcPr>
          <w:p w14:paraId="61430A92" w14:textId="77777777" w:rsidR="00EF55F3" w:rsidRPr="00A50453" w:rsidRDefault="00000000" w:rsidP="00AF57D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0.11975</w:t>
            </w:r>
          </w:p>
        </w:tc>
        <w:tc>
          <w:tcPr>
            <w:tcW w:w="1610" w:type="dxa"/>
            <w:tcBorders>
              <w:top w:val="nil"/>
              <w:left w:val="nil"/>
              <w:bottom w:val="single" w:sz="4" w:space="0" w:color="auto"/>
              <w:right w:val="single" w:sz="4" w:space="0" w:color="auto"/>
            </w:tcBorders>
            <w:shd w:val="clear" w:color="auto" w:fill="auto"/>
            <w:noWrap/>
            <w:vAlign w:val="center"/>
            <w:hideMark/>
          </w:tcPr>
          <w:p w14:paraId="63F96A97" w14:textId="77777777" w:rsidR="00EF55F3" w:rsidRPr="00A50453" w:rsidRDefault="00000000" w:rsidP="00AF57D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0.06758</w:t>
            </w:r>
          </w:p>
        </w:tc>
        <w:tc>
          <w:tcPr>
            <w:tcW w:w="1590" w:type="dxa"/>
            <w:tcBorders>
              <w:top w:val="nil"/>
              <w:left w:val="nil"/>
              <w:bottom w:val="single" w:sz="4" w:space="0" w:color="auto"/>
              <w:right w:val="single" w:sz="4" w:space="0" w:color="auto"/>
            </w:tcBorders>
            <w:shd w:val="clear" w:color="auto" w:fill="auto"/>
            <w:noWrap/>
            <w:vAlign w:val="center"/>
            <w:hideMark/>
          </w:tcPr>
          <w:p w14:paraId="727AFDBE" w14:textId="77777777" w:rsidR="00EF55F3" w:rsidRPr="00A50453" w:rsidRDefault="00000000" w:rsidP="00AF57D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0.12019</w:t>
            </w:r>
          </w:p>
        </w:tc>
        <w:tc>
          <w:tcPr>
            <w:tcW w:w="1356" w:type="dxa"/>
            <w:tcBorders>
              <w:top w:val="nil"/>
              <w:left w:val="nil"/>
              <w:bottom w:val="single" w:sz="4" w:space="0" w:color="auto"/>
              <w:right w:val="single" w:sz="4" w:space="0" w:color="auto"/>
            </w:tcBorders>
            <w:shd w:val="clear" w:color="auto" w:fill="auto"/>
            <w:noWrap/>
            <w:vAlign w:val="center"/>
            <w:hideMark/>
          </w:tcPr>
          <w:p w14:paraId="73654886" w14:textId="77777777" w:rsidR="00EF55F3" w:rsidRPr="00A50453" w:rsidRDefault="00000000" w:rsidP="00AF57D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1.77196126</w:t>
            </w:r>
          </w:p>
        </w:tc>
        <w:tc>
          <w:tcPr>
            <w:tcW w:w="1356" w:type="dxa"/>
            <w:tcBorders>
              <w:top w:val="nil"/>
              <w:left w:val="nil"/>
              <w:bottom w:val="single" w:sz="4" w:space="0" w:color="auto"/>
              <w:right w:val="single" w:sz="4" w:space="0" w:color="auto"/>
            </w:tcBorders>
            <w:shd w:val="clear" w:color="auto" w:fill="auto"/>
            <w:noWrap/>
            <w:vAlign w:val="center"/>
            <w:hideMark/>
          </w:tcPr>
          <w:p w14:paraId="0F9C291B" w14:textId="77777777" w:rsidR="00EF55F3" w:rsidRPr="00A50453" w:rsidRDefault="00000000" w:rsidP="00AF57D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0.07907263</w:t>
            </w:r>
          </w:p>
        </w:tc>
      </w:tr>
      <w:tr w:rsidR="00AE4C70" w:rsidRPr="00A50453" w14:paraId="768574EB" w14:textId="77777777" w:rsidTr="009B067A">
        <w:trPr>
          <w:trHeight w:val="414"/>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E76E10F" w14:textId="77777777" w:rsidR="00EF55F3" w:rsidRPr="00A50453" w:rsidRDefault="00000000" w:rsidP="00AF57D5">
            <w:pPr>
              <w:spacing w:after="0" w:line="240" w:lineRule="auto"/>
              <w:jc w:val="center"/>
              <w:rPr>
                <w:rFonts w:eastAsia="Times New Roman" w:cstheme="minorHAnsi"/>
                <w:b/>
                <w:bCs/>
                <w:color w:val="202124"/>
                <w:lang w:val="en-US" w:bidi="ta-IN"/>
              </w:rPr>
            </w:pPr>
            <w:r w:rsidRPr="00A50453">
              <w:rPr>
                <w:rFonts w:eastAsia="Times New Roman" w:cstheme="minorHAnsi"/>
                <w:b/>
                <w:bCs/>
                <w:color w:val="202124"/>
                <w:lang w:val="en-US" w:bidi="ta-IN"/>
              </w:rPr>
              <w:t>Risk Assessment</w:t>
            </w:r>
          </w:p>
        </w:tc>
        <w:tc>
          <w:tcPr>
            <w:tcW w:w="1705" w:type="dxa"/>
            <w:tcBorders>
              <w:top w:val="nil"/>
              <w:left w:val="nil"/>
              <w:bottom w:val="single" w:sz="4" w:space="0" w:color="auto"/>
              <w:right w:val="single" w:sz="4" w:space="0" w:color="auto"/>
            </w:tcBorders>
            <w:shd w:val="clear" w:color="auto" w:fill="auto"/>
            <w:noWrap/>
            <w:vAlign w:val="center"/>
            <w:hideMark/>
          </w:tcPr>
          <w:p w14:paraId="01A4B087" w14:textId="77777777" w:rsidR="00EF55F3" w:rsidRPr="00A50453" w:rsidRDefault="00000000" w:rsidP="00AF57D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0.12957</w:t>
            </w:r>
          </w:p>
        </w:tc>
        <w:tc>
          <w:tcPr>
            <w:tcW w:w="1610" w:type="dxa"/>
            <w:tcBorders>
              <w:top w:val="nil"/>
              <w:left w:val="nil"/>
              <w:bottom w:val="single" w:sz="4" w:space="0" w:color="auto"/>
              <w:right w:val="single" w:sz="4" w:space="0" w:color="auto"/>
            </w:tcBorders>
            <w:shd w:val="clear" w:color="auto" w:fill="auto"/>
            <w:noWrap/>
            <w:vAlign w:val="center"/>
            <w:hideMark/>
          </w:tcPr>
          <w:p w14:paraId="2614E7BD" w14:textId="77777777" w:rsidR="00EF55F3" w:rsidRPr="00A50453" w:rsidRDefault="00000000" w:rsidP="00AF57D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0.0839</w:t>
            </w:r>
          </w:p>
        </w:tc>
        <w:tc>
          <w:tcPr>
            <w:tcW w:w="1590" w:type="dxa"/>
            <w:tcBorders>
              <w:top w:val="nil"/>
              <w:left w:val="nil"/>
              <w:bottom w:val="single" w:sz="4" w:space="0" w:color="auto"/>
              <w:right w:val="single" w:sz="4" w:space="0" w:color="auto"/>
            </w:tcBorders>
            <w:shd w:val="clear" w:color="auto" w:fill="auto"/>
            <w:noWrap/>
            <w:vAlign w:val="center"/>
            <w:hideMark/>
          </w:tcPr>
          <w:p w14:paraId="0B0AF616" w14:textId="77777777" w:rsidR="00EF55F3" w:rsidRPr="00A50453" w:rsidRDefault="00000000" w:rsidP="00AF57D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0.11969</w:t>
            </w:r>
          </w:p>
        </w:tc>
        <w:tc>
          <w:tcPr>
            <w:tcW w:w="1356" w:type="dxa"/>
            <w:tcBorders>
              <w:top w:val="nil"/>
              <w:left w:val="nil"/>
              <w:bottom w:val="single" w:sz="4" w:space="0" w:color="auto"/>
              <w:right w:val="single" w:sz="4" w:space="0" w:color="auto"/>
            </w:tcBorders>
            <w:shd w:val="clear" w:color="auto" w:fill="auto"/>
            <w:noWrap/>
            <w:vAlign w:val="center"/>
            <w:hideMark/>
          </w:tcPr>
          <w:p w14:paraId="3E8F605A" w14:textId="77777777" w:rsidR="00EF55F3" w:rsidRPr="00A50453" w:rsidRDefault="00000000" w:rsidP="00AF57D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1.54433881</w:t>
            </w:r>
          </w:p>
        </w:tc>
        <w:tc>
          <w:tcPr>
            <w:tcW w:w="1356" w:type="dxa"/>
            <w:tcBorders>
              <w:top w:val="nil"/>
              <w:left w:val="nil"/>
              <w:bottom w:val="single" w:sz="4" w:space="0" w:color="auto"/>
              <w:right w:val="single" w:sz="4" w:space="0" w:color="auto"/>
            </w:tcBorders>
            <w:shd w:val="clear" w:color="auto" w:fill="auto"/>
            <w:noWrap/>
            <w:vAlign w:val="center"/>
            <w:hideMark/>
          </w:tcPr>
          <w:p w14:paraId="1D70414A" w14:textId="77777777" w:rsidR="00EF55F3" w:rsidRPr="00A50453" w:rsidRDefault="00000000" w:rsidP="00AF57D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0.12527778</w:t>
            </w:r>
          </w:p>
        </w:tc>
      </w:tr>
      <w:tr w:rsidR="00AE4C70" w:rsidRPr="00A50453" w14:paraId="08E36950" w14:textId="77777777" w:rsidTr="009B067A">
        <w:trPr>
          <w:trHeight w:val="407"/>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78E34EAF" w14:textId="77777777" w:rsidR="00EF55F3" w:rsidRPr="00A50453" w:rsidRDefault="00000000" w:rsidP="00AF57D5">
            <w:pPr>
              <w:spacing w:after="0" w:line="240" w:lineRule="auto"/>
              <w:jc w:val="center"/>
              <w:rPr>
                <w:rFonts w:eastAsia="Times New Roman" w:cstheme="minorHAnsi"/>
                <w:b/>
                <w:bCs/>
                <w:color w:val="202124"/>
                <w:lang w:val="en-US" w:bidi="ta-IN"/>
              </w:rPr>
            </w:pPr>
            <w:r w:rsidRPr="00A50453">
              <w:rPr>
                <w:rFonts w:eastAsia="Times New Roman" w:cstheme="minorHAnsi"/>
                <w:b/>
                <w:bCs/>
                <w:color w:val="202124"/>
                <w:lang w:val="en-US" w:bidi="ta-IN"/>
              </w:rPr>
              <w:t>Risk Mitigation</w:t>
            </w:r>
          </w:p>
        </w:tc>
        <w:tc>
          <w:tcPr>
            <w:tcW w:w="1705" w:type="dxa"/>
            <w:tcBorders>
              <w:top w:val="nil"/>
              <w:left w:val="nil"/>
              <w:bottom w:val="single" w:sz="4" w:space="0" w:color="auto"/>
              <w:right w:val="single" w:sz="4" w:space="0" w:color="auto"/>
            </w:tcBorders>
            <w:shd w:val="clear" w:color="auto" w:fill="auto"/>
            <w:noWrap/>
            <w:vAlign w:val="center"/>
            <w:hideMark/>
          </w:tcPr>
          <w:p w14:paraId="434E7E65" w14:textId="77777777" w:rsidR="00EF55F3" w:rsidRPr="00A50453" w:rsidRDefault="00000000" w:rsidP="00AF57D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0.30338</w:t>
            </w:r>
          </w:p>
        </w:tc>
        <w:tc>
          <w:tcPr>
            <w:tcW w:w="1610" w:type="dxa"/>
            <w:tcBorders>
              <w:top w:val="nil"/>
              <w:left w:val="nil"/>
              <w:bottom w:val="single" w:sz="4" w:space="0" w:color="auto"/>
              <w:right w:val="single" w:sz="4" w:space="0" w:color="auto"/>
            </w:tcBorders>
            <w:shd w:val="clear" w:color="auto" w:fill="auto"/>
            <w:noWrap/>
            <w:vAlign w:val="center"/>
            <w:hideMark/>
          </w:tcPr>
          <w:p w14:paraId="3553B50B" w14:textId="77777777" w:rsidR="00EF55F3" w:rsidRPr="00A50453" w:rsidRDefault="00000000" w:rsidP="00AF57D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0.07268</w:t>
            </w:r>
          </w:p>
        </w:tc>
        <w:tc>
          <w:tcPr>
            <w:tcW w:w="1590" w:type="dxa"/>
            <w:tcBorders>
              <w:top w:val="nil"/>
              <w:left w:val="nil"/>
              <w:bottom w:val="single" w:sz="4" w:space="0" w:color="auto"/>
              <w:right w:val="single" w:sz="4" w:space="0" w:color="auto"/>
            </w:tcBorders>
            <w:shd w:val="clear" w:color="auto" w:fill="auto"/>
            <w:noWrap/>
            <w:vAlign w:val="center"/>
            <w:hideMark/>
          </w:tcPr>
          <w:p w14:paraId="6755445B" w14:textId="77777777" w:rsidR="00EF55F3" w:rsidRPr="00A50453" w:rsidRDefault="00000000" w:rsidP="00AF57D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0.31385</w:t>
            </w:r>
          </w:p>
        </w:tc>
        <w:tc>
          <w:tcPr>
            <w:tcW w:w="1356" w:type="dxa"/>
            <w:tcBorders>
              <w:top w:val="nil"/>
              <w:left w:val="nil"/>
              <w:bottom w:val="single" w:sz="4" w:space="0" w:color="auto"/>
              <w:right w:val="single" w:sz="4" w:space="0" w:color="auto"/>
            </w:tcBorders>
            <w:shd w:val="clear" w:color="auto" w:fill="auto"/>
            <w:noWrap/>
            <w:vAlign w:val="center"/>
            <w:hideMark/>
          </w:tcPr>
          <w:p w14:paraId="4D2C3D56" w14:textId="77777777" w:rsidR="00EF55F3" w:rsidRPr="00A50453" w:rsidRDefault="00000000" w:rsidP="00AF57D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4.17417663</w:t>
            </w:r>
          </w:p>
        </w:tc>
        <w:tc>
          <w:tcPr>
            <w:tcW w:w="1356" w:type="dxa"/>
            <w:tcBorders>
              <w:top w:val="nil"/>
              <w:left w:val="nil"/>
              <w:bottom w:val="single" w:sz="4" w:space="0" w:color="auto"/>
              <w:right w:val="single" w:sz="4" w:space="0" w:color="auto"/>
            </w:tcBorders>
            <w:shd w:val="clear" w:color="auto" w:fill="auto"/>
            <w:noWrap/>
            <w:vAlign w:val="center"/>
            <w:hideMark/>
          </w:tcPr>
          <w:p w14:paraId="3539E3C2" w14:textId="77777777" w:rsidR="00EF55F3" w:rsidRPr="00A50453" w:rsidRDefault="00000000" w:rsidP="00AF57D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5.8707E-05</w:t>
            </w:r>
          </w:p>
        </w:tc>
      </w:tr>
      <w:tr w:rsidR="00AE4C70" w:rsidRPr="00A50453" w14:paraId="56A35BE6" w14:textId="77777777" w:rsidTr="009B067A">
        <w:trPr>
          <w:trHeight w:val="413"/>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174BE1C1" w14:textId="77777777" w:rsidR="00EF55F3" w:rsidRPr="00A50453" w:rsidRDefault="00000000" w:rsidP="00AF57D5">
            <w:pPr>
              <w:spacing w:after="0" w:line="240" w:lineRule="auto"/>
              <w:jc w:val="center"/>
              <w:rPr>
                <w:rFonts w:eastAsia="Times New Roman" w:cstheme="minorHAnsi"/>
                <w:b/>
                <w:bCs/>
                <w:color w:val="202124"/>
                <w:lang w:val="en-US" w:bidi="ta-IN"/>
              </w:rPr>
            </w:pPr>
            <w:r w:rsidRPr="00A50453">
              <w:rPr>
                <w:rFonts w:eastAsia="Times New Roman" w:cstheme="minorHAnsi"/>
                <w:b/>
                <w:bCs/>
                <w:color w:val="202124"/>
                <w:lang w:val="en-US" w:bidi="ta-IN"/>
              </w:rPr>
              <w:t>Risk Monitoring</w:t>
            </w:r>
          </w:p>
        </w:tc>
        <w:tc>
          <w:tcPr>
            <w:tcW w:w="1705" w:type="dxa"/>
            <w:tcBorders>
              <w:top w:val="nil"/>
              <w:left w:val="nil"/>
              <w:bottom w:val="single" w:sz="4" w:space="0" w:color="auto"/>
              <w:right w:val="single" w:sz="4" w:space="0" w:color="auto"/>
            </w:tcBorders>
            <w:shd w:val="clear" w:color="auto" w:fill="auto"/>
            <w:noWrap/>
            <w:vAlign w:val="center"/>
            <w:hideMark/>
          </w:tcPr>
          <w:p w14:paraId="55206BB9" w14:textId="77777777" w:rsidR="00EF55F3" w:rsidRPr="00A50453" w:rsidRDefault="00000000" w:rsidP="00AF57D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0.2712</w:t>
            </w:r>
          </w:p>
        </w:tc>
        <w:tc>
          <w:tcPr>
            <w:tcW w:w="1610" w:type="dxa"/>
            <w:tcBorders>
              <w:top w:val="nil"/>
              <w:left w:val="nil"/>
              <w:bottom w:val="single" w:sz="4" w:space="0" w:color="auto"/>
              <w:right w:val="single" w:sz="4" w:space="0" w:color="auto"/>
            </w:tcBorders>
            <w:shd w:val="clear" w:color="auto" w:fill="auto"/>
            <w:noWrap/>
            <w:vAlign w:val="center"/>
            <w:hideMark/>
          </w:tcPr>
          <w:p w14:paraId="57D18467" w14:textId="77777777" w:rsidR="00EF55F3" w:rsidRPr="00A50453" w:rsidRDefault="00000000" w:rsidP="00AF57D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0.06814</w:t>
            </w:r>
          </w:p>
        </w:tc>
        <w:tc>
          <w:tcPr>
            <w:tcW w:w="1590" w:type="dxa"/>
            <w:tcBorders>
              <w:top w:val="nil"/>
              <w:left w:val="nil"/>
              <w:bottom w:val="single" w:sz="4" w:space="0" w:color="auto"/>
              <w:right w:val="single" w:sz="4" w:space="0" w:color="auto"/>
            </w:tcBorders>
            <w:shd w:val="clear" w:color="auto" w:fill="auto"/>
            <w:noWrap/>
            <w:vAlign w:val="center"/>
            <w:hideMark/>
          </w:tcPr>
          <w:p w14:paraId="1BD14859" w14:textId="77777777" w:rsidR="00EF55F3" w:rsidRPr="00A50453" w:rsidRDefault="00000000" w:rsidP="00AF57D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0.26024</w:t>
            </w:r>
          </w:p>
        </w:tc>
        <w:tc>
          <w:tcPr>
            <w:tcW w:w="1356" w:type="dxa"/>
            <w:tcBorders>
              <w:top w:val="nil"/>
              <w:left w:val="nil"/>
              <w:bottom w:val="single" w:sz="4" w:space="0" w:color="auto"/>
              <w:right w:val="single" w:sz="4" w:space="0" w:color="auto"/>
            </w:tcBorders>
            <w:shd w:val="clear" w:color="auto" w:fill="auto"/>
            <w:noWrap/>
            <w:vAlign w:val="center"/>
            <w:hideMark/>
          </w:tcPr>
          <w:p w14:paraId="46D14B82" w14:textId="77777777" w:rsidR="00EF55F3" w:rsidRPr="00A50453" w:rsidRDefault="00000000" w:rsidP="00AF57D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3.98009293</w:t>
            </w:r>
          </w:p>
        </w:tc>
        <w:tc>
          <w:tcPr>
            <w:tcW w:w="1356" w:type="dxa"/>
            <w:tcBorders>
              <w:top w:val="nil"/>
              <w:left w:val="nil"/>
              <w:bottom w:val="single" w:sz="4" w:space="0" w:color="auto"/>
              <w:right w:val="single" w:sz="4" w:space="0" w:color="auto"/>
            </w:tcBorders>
            <w:shd w:val="clear" w:color="auto" w:fill="auto"/>
            <w:noWrap/>
            <w:vAlign w:val="center"/>
            <w:hideMark/>
          </w:tcPr>
          <w:p w14:paraId="664A9783" w14:textId="77777777" w:rsidR="00EF55F3" w:rsidRPr="00A50453" w:rsidRDefault="00000000" w:rsidP="00AF57D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0.00012154</w:t>
            </w:r>
          </w:p>
        </w:tc>
      </w:tr>
      <w:tr w:rsidR="00AE4C70" w:rsidRPr="00A50453" w14:paraId="197A85D2" w14:textId="77777777" w:rsidTr="009B067A">
        <w:trPr>
          <w:trHeight w:val="418"/>
          <w:jc w:val="center"/>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54096231" w14:textId="77777777" w:rsidR="00EF55F3" w:rsidRPr="00A50453" w:rsidRDefault="00000000" w:rsidP="00AF57D5">
            <w:pPr>
              <w:spacing w:after="0" w:line="240" w:lineRule="auto"/>
              <w:jc w:val="center"/>
              <w:rPr>
                <w:rFonts w:eastAsia="Times New Roman" w:cstheme="minorHAnsi"/>
                <w:b/>
                <w:bCs/>
                <w:color w:val="202124"/>
                <w:lang w:val="en-US" w:bidi="ta-IN"/>
              </w:rPr>
            </w:pPr>
            <w:r w:rsidRPr="00A50453">
              <w:rPr>
                <w:rFonts w:eastAsia="Times New Roman" w:cstheme="minorHAnsi"/>
                <w:b/>
                <w:bCs/>
                <w:color w:val="202124"/>
                <w:lang w:val="en-US" w:bidi="ta-IN"/>
              </w:rPr>
              <w:t>Risk Reporting</w:t>
            </w:r>
          </w:p>
        </w:tc>
        <w:tc>
          <w:tcPr>
            <w:tcW w:w="1705" w:type="dxa"/>
            <w:tcBorders>
              <w:top w:val="nil"/>
              <w:left w:val="nil"/>
              <w:bottom w:val="single" w:sz="4" w:space="0" w:color="auto"/>
              <w:right w:val="single" w:sz="4" w:space="0" w:color="auto"/>
            </w:tcBorders>
            <w:shd w:val="clear" w:color="auto" w:fill="auto"/>
            <w:noWrap/>
            <w:vAlign w:val="center"/>
            <w:hideMark/>
          </w:tcPr>
          <w:p w14:paraId="0708D143" w14:textId="77777777" w:rsidR="00EF55F3" w:rsidRPr="00A50453" w:rsidRDefault="00000000" w:rsidP="00AF57D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0.20115</w:t>
            </w:r>
          </w:p>
        </w:tc>
        <w:tc>
          <w:tcPr>
            <w:tcW w:w="1610" w:type="dxa"/>
            <w:tcBorders>
              <w:top w:val="nil"/>
              <w:left w:val="nil"/>
              <w:bottom w:val="single" w:sz="4" w:space="0" w:color="auto"/>
              <w:right w:val="single" w:sz="4" w:space="0" w:color="auto"/>
            </w:tcBorders>
            <w:shd w:val="clear" w:color="auto" w:fill="auto"/>
            <w:noWrap/>
            <w:vAlign w:val="center"/>
            <w:hideMark/>
          </w:tcPr>
          <w:p w14:paraId="7850BA8C" w14:textId="77777777" w:rsidR="00EF55F3" w:rsidRPr="00A50453" w:rsidRDefault="00000000" w:rsidP="00AF57D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0.06248</w:t>
            </w:r>
          </w:p>
        </w:tc>
        <w:tc>
          <w:tcPr>
            <w:tcW w:w="1590" w:type="dxa"/>
            <w:tcBorders>
              <w:top w:val="nil"/>
              <w:left w:val="nil"/>
              <w:bottom w:val="single" w:sz="4" w:space="0" w:color="auto"/>
              <w:right w:val="single" w:sz="4" w:space="0" w:color="auto"/>
            </w:tcBorders>
            <w:shd w:val="clear" w:color="auto" w:fill="auto"/>
            <w:noWrap/>
            <w:vAlign w:val="center"/>
            <w:hideMark/>
          </w:tcPr>
          <w:p w14:paraId="4C118A70" w14:textId="77777777" w:rsidR="00EF55F3" w:rsidRPr="00A50453" w:rsidRDefault="00000000" w:rsidP="00AF57D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0.19618</w:t>
            </w:r>
          </w:p>
        </w:tc>
        <w:tc>
          <w:tcPr>
            <w:tcW w:w="1356" w:type="dxa"/>
            <w:tcBorders>
              <w:top w:val="nil"/>
              <w:left w:val="nil"/>
              <w:bottom w:val="single" w:sz="4" w:space="0" w:color="auto"/>
              <w:right w:val="single" w:sz="4" w:space="0" w:color="auto"/>
            </w:tcBorders>
            <w:shd w:val="clear" w:color="auto" w:fill="auto"/>
            <w:noWrap/>
            <w:vAlign w:val="center"/>
            <w:hideMark/>
          </w:tcPr>
          <w:p w14:paraId="57F8D502" w14:textId="77777777" w:rsidR="00EF55F3" w:rsidRPr="00A50453" w:rsidRDefault="00000000" w:rsidP="00AF57D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3.21946688</w:t>
            </w:r>
          </w:p>
        </w:tc>
        <w:tc>
          <w:tcPr>
            <w:tcW w:w="1356" w:type="dxa"/>
            <w:tcBorders>
              <w:top w:val="nil"/>
              <w:left w:val="nil"/>
              <w:bottom w:val="single" w:sz="4" w:space="0" w:color="auto"/>
              <w:right w:val="single" w:sz="4" w:space="0" w:color="auto"/>
            </w:tcBorders>
            <w:shd w:val="clear" w:color="auto" w:fill="auto"/>
            <w:noWrap/>
            <w:vAlign w:val="center"/>
            <w:hideMark/>
          </w:tcPr>
          <w:p w14:paraId="0010A444" w14:textId="77777777" w:rsidR="00EF55F3" w:rsidRPr="00A50453" w:rsidRDefault="00000000" w:rsidP="00AF57D5">
            <w:pPr>
              <w:spacing w:after="0" w:line="240" w:lineRule="auto"/>
              <w:jc w:val="center"/>
              <w:rPr>
                <w:rFonts w:eastAsia="Times New Roman" w:cstheme="minorHAnsi"/>
                <w:color w:val="000000"/>
                <w:lang w:val="en-US" w:bidi="ta-IN"/>
              </w:rPr>
            </w:pPr>
            <w:r w:rsidRPr="00A50453">
              <w:rPr>
                <w:rFonts w:eastAsia="Times New Roman" w:cstheme="minorHAnsi"/>
                <w:color w:val="000000"/>
                <w:lang w:val="en-US" w:bidi="ta-IN"/>
              </w:rPr>
              <w:t>0.0016732</w:t>
            </w:r>
          </w:p>
        </w:tc>
      </w:tr>
    </w:tbl>
    <w:p w14:paraId="63C3A06E" w14:textId="77777777" w:rsidR="009B067A" w:rsidRDefault="009B067A" w:rsidP="00243174">
      <w:pPr>
        <w:spacing w:after="158" w:line="360" w:lineRule="auto"/>
        <w:jc w:val="both"/>
        <w:rPr>
          <w:rFonts w:eastAsia="Times New Roman" w:cstheme="minorHAnsi"/>
          <w:color w:val="000000"/>
          <w:lang w:val="en-US" w:bidi="ta-IN"/>
        </w:rPr>
      </w:pPr>
    </w:p>
    <w:p w14:paraId="13AC69D6" w14:textId="7A608462" w:rsidR="00243174" w:rsidRPr="00A50453" w:rsidRDefault="00000000" w:rsidP="00243174">
      <w:pPr>
        <w:spacing w:after="158" w:line="360" w:lineRule="auto"/>
        <w:jc w:val="both"/>
        <w:rPr>
          <w:rFonts w:eastAsia="Times New Roman" w:cstheme="minorHAnsi"/>
          <w:color w:val="000000"/>
          <w:lang w:val="en-US" w:bidi="ta-IN"/>
        </w:rPr>
      </w:pPr>
      <w:r w:rsidRPr="00A50453">
        <w:rPr>
          <w:rFonts w:eastAsia="Times New Roman" w:cstheme="minorHAnsi"/>
          <w:color w:val="000000"/>
          <w:lang w:val="en-US" w:bidi="ta-IN"/>
        </w:rPr>
        <w:t>The multiple regression analysis reveals a strong positive relationship between the independent variables (Risk Identification, Risk Assessment, Risk Mitigation, Risk Monitoring, and Risk Reporting) and the dependent variable (Customer Trust). The high Multiple R value (0.964) and R Square value (0.929) indicate that the independent variables collectively explain approximately 92.9% of the variance in Customer Trust. This suggests that the risk management practices of the bank have a significant impact on building and maintaining customer trust. The F value (300.388) and P value (0.000) suggest that the overall model is statistically significant, indicating that the relationship between the independent variables and Customer Trust is not due to chance. Furthermore, the analysis shows that Risk Mitigation and Risk Monitoring have the most significant positive impacts on Customer Trust, with standardized coefficients of 0.31385 and 0.26024, respectively. This implies that effective risk mitigation strategies and continuous risk monitoring practices are crucial in enhancing customer trust in the bank.</w:t>
      </w:r>
    </w:p>
    <w:p w14:paraId="5864EDF7" w14:textId="77777777" w:rsidR="00243174" w:rsidRPr="00A50453" w:rsidRDefault="00000000" w:rsidP="00243174">
      <w:pPr>
        <w:spacing w:after="158" w:line="360" w:lineRule="auto"/>
        <w:jc w:val="both"/>
        <w:rPr>
          <w:rFonts w:eastAsia="Times New Roman" w:cstheme="minorHAnsi"/>
          <w:color w:val="000000"/>
          <w:lang w:val="en-US" w:bidi="ta-IN"/>
        </w:rPr>
      </w:pPr>
      <w:r w:rsidRPr="00A50453">
        <w:rPr>
          <w:rFonts w:eastAsia="Times New Roman" w:cstheme="minorHAnsi"/>
          <w:color w:val="000000"/>
          <w:lang w:val="en-US" w:bidi="ta-IN"/>
        </w:rPr>
        <w:t xml:space="preserve">The multiple regression equation </w:t>
      </w:r>
      <w:r w:rsidR="00BD374D" w:rsidRPr="00A50453">
        <w:rPr>
          <w:rFonts w:eastAsia="Times New Roman" w:cstheme="minorHAnsi"/>
          <w:color w:val="000000"/>
          <w:lang w:val="en-US" w:bidi="ta-IN"/>
        </w:rPr>
        <w:t>is</w:t>
      </w:r>
    </w:p>
    <w:p w14:paraId="3309F18D" w14:textId="77777777" w:rsidR="00243174" w:rsidRPr="00A50453" w:rsidRDefault="00000000" w:rsidP="000C461F">
      <w:pPr>
        <w:pBdr>
          <w:top w:val="single" w:sz="4" w:space="1" w:color="auto"/>
          <w:left w:val="single" w:sz="4" w:space="4" w:color="auto"/>
          <w:bottom w:val="single" w:sz="4" w:space="1" w:color="auto"/>
          <w:right w:val="single" w:sz="4" w:space="4" w:color="auto"/>
          <w:between w:val="single" w:sz="4" w:space="1" w:color="auto"/>
          <w:bar w:val="single" w:sz="4" w:color="auto"/>
        </w:pBdr>
        <w:spacing w:line="256" w:lineRule="auto"/>
        <w:jc w:val="center"/>
        <w:rPr>
          <w:rFonts w:cstheme="minorHAnsi"/>
          <w:kern w:val="2"/>
          <w:vertAlign w:val="subscript"/>
          <w:lang w:val="en-US" w:bidi="ta-IN"/>
          <w14:ligatures w14:val="standardContextual"/>
        </w:rPr>
        <w:sectPr w:rsidR="00243174" w:rsidRPr="00A50453">
          <w:pgSz w:w="11906" w:h="16838"/>
          <w:pgMar w:top="1440" w:right="1436" w:bottom="1537" w:left="1440" w:header="720" w:footer="720" w:gutter="0"/>
          <w:pgNumType w:start="1"/>
          <w:cols w:space="720"/>
        </w:sectPr>
      </w:pPr>
      <w:r w:rsidRPr="00A50453">
        <w:rPr>
          <w:rFonts w:cstheme="minorHAnsi"/>
          <w:color w:val="000000"/>
          <w:lang w:val="en-US" w:bidi="ta-IN"/>
          <w14:ligatures w14:val="standardContextual"/>
        </w:rPr>
        <w:t>Y = -0.1102 + 0.11975X</w:t>
      </w:r>
      <w:r w:rsidRPr="00A50453">
        <w:rPr>
          <w:rFonts w:cstheme="minorHAnsi"/>
          <w:kern w:val="2"/>
          <w:vertAlign w:val="subscript"/>
          <w:lang w:val="en-US" w:bidi="ta-IN"/>
          <w14:ligatures w14:val="standardContextual"/>
        </w:rPr>
        <w:t>1</w:t>
      </w:r>
      <w:r w:rsidRPr="00A50453">
        <w:rPr>
          <w:rFonts w:cstheme="minorHAnsi"/>
          <w:color w:val="000000"/>
          <w:lang w:val="en-US" w:bidi="ta-IN"/>
          <w14:ligatures w14:val="standardContextual"/>
        </w:rPr>
        <w:t xml:space="preserve"> + 0.12957X</w:t>
      </w:r>
      <w:r w:rsidRPr="00A50453">
        <w:rPr>
          <w:rFonts w:cstheme="minorHAnsi"/>
          <w:kern w:val="2"/>
          <w:vertAlign w:val="subscript"/>
          <w:lang w:val="en-US" w:bidi="ta-IN"/>
          <w14:ligatures w14:val="standardContextual"/>
        </w:rPr>
        <w:t>2</w:t>
      </w:r>
      <w:r w:rsidRPr="00A50453">
        <w:rPr>
          <w:rFonts w:cstheme="minorHAnsi"/>
          <w:color w:val="000000"/>
          <w:lang w:val="en-US" w:bidi="ta-IN"/>
          <w14:ligatures w14:val="standardContextual"/>
        </w:rPr>
        <w:t>+ 0.30338X</w:t>
      </w:r>
      <w:r w:rsidRPr="00A50453">
        <w:rPr>
          <w:rFonts w:cstheme="minorHAnsi"/>
          <w:kern w:val="2"/>
          <w:vertAlign w:val="subscript"/>
          <w:lang w:val="en-US" w:bidi="ta-IN"/>
          <w14:ligatures w14:val="standardContextual"/>
        </w:rPr>
        <w:t>3</w:t>
      </w:r>
      <w:r w:rsidRPr="00A50453">
        <w:rPr>
          <w:rFonts w:cstheme="minorHAnsi"/>
          <w:color w:val="000000"/>
          <w:lang w:val="en-US" w:bidi="ta-IN"/>
          <w14:ligatures w14:val="standardContextual"/>
        </w:rPr>
        <w:t xml:space="preserve"> + 0.2712X</w:t>
      </w:r>
      <w:r w:rsidRPr="00A50453">
        <w:rPr>
          <w:rFonts w:cstheme="minorHAnsi"/>
          <w:kern w:val="2"/>
          <w:vertAlign w:val="subscript"/>
          <w:lang w:val="en-US" w:bidi="ta-IN"/>
          <w14:ligatures w14:val="standardContextual"/>
        </w:rPr>
        <w:t>4</w:t>
      </w:r>
      <w:r w:rsidRPr="00A50453">
        <w:rPr>
          <w:rFonts w:cstheme="minorHAnsi"/>
          <w:color w:val="000000"/>
          <w:lang w:val="en-US" w:bidi="ta-IN"/>
          <w14:ligatures w14:val="standardContextual"/>
        </w:rPr>
        <w:t>+ 0.20115X</w:t>
      </w:r>
      <w:r w:rsidRPr="00A50453">
        <w:rPr>
          <w:rFonts w:cstheme="minorHAnsi"/>
          <w:color w:val="000000"/>
          <w:vertAlign w:val="subscript"/>
          <w:lang w:val="en-US" w:bidi="ta-IN"/>
          <w14:ligatures w14:val="standardContextual"/>
        </w:rPr>
        <w:t>5</w:t>
      </w:r>
    </w:p>
    <w:p w14:paraId="1F847961" w14:textId="6C1A9535" w:rsidR="000D2B4A" w:rsidRPr="009B067A" w:rsidRDefault="00434C81" w:rsidP="009B067A">
      <w:pPr>
        <w:spacing w:after="0"/>
        <w:jc w:val="both"/>
        <w:rPr>
          <w:b/>
          <w:bCs/>
          <w:sz w:val="28"/>
          <w:szCs w:val="28"/>
        </w:rPr>
      </w:pPr>
      <w:r>
        <w:rPr>
          <w:b/>
          <w:bCs/>
          <w:sz w:val="28"/>
          <w:szCs w:val="28"/>
        </w:rPr>
        <w:lastRenderedPageBreak/>
        <w:t>7</w:t>
      </w:r>
      <w:r w:rsidR="009B067A" w:rsidRPr="009B067A">
        <w:rPr>
          <w:b/>
          <w:bCs/>
          <w:sz w:val="28"/>
          <w:szCs w:val="28"/>
        </w:rPr>
        <w:t xml:space="preserve">. </w:t>
      </w:r>
      <w:r w:rsidR="00000000" w:rsidRPr="009B067A">
        <w:rPr>
          <w:b/>
          <w:bCs/>
          <w:sz w:val="28"/>
          <w:szCs w:val="28"/>
        </w:rPr>
        <w:t>RESULTS</w:t>
      </w:r>
    </w:p>
    <w:p w14:paraId="6793DB7D" w14:textId="4AF3ED45" w:rsidR="009B067A" w:rsidRDefault="009B067A" w:rsidP="009B067A">
      <w:pPr>
        <w:spacing w:after="0" w:line="276" w:lineRule="auto"/>
        <w:jc w:val="both"/>
      </w:pPr>
      <w:r>
        <w:t>The study on risk management and its impact on customer trust revealed several key findings. Demographically, the majority of respondents were male (61.7%), with the largest age group being 18-25 years (33.3%), and a notable portion of respondents (30%) earned below 25,000 monthly. The majority (70%) considered risk management highly important, and a significant number (33.3%) believed effective data breach handling increased their trust in banks. Correlation analysis demonstrated strong positive relationships between risk management dimensions and customer trust, particularly in Risk Mitigation (0.935). Regression analysis further confirmed that risk management practices, especially Risk Mitigation and Risk Monitoring, collectively explained 92.9% of the variance in customer trust, indicating that robust risk management is crucial for enhancing customer trust in banks.</w:t>
      </w:r>
    </w:p>
    <w:p w14:paraId="59ECFE31" w14:textId="77777777" w:rsidR="009B067A" w:rsidRDefault="009B067A" w:rsidP="009B067A">
      <w:pPr>
        <w:spacing w:after="0" w:line="276" w:lineRule="auto"/>
        <w:jc w:val="both"/>
      </w:pPr>
    </w:p>
    <w:p w14:paraId="75CBE1DD" w14:textId="34E4F7C7" w:rsidR="000D2B4A" w:rsidRPr="009B067A" w:rsidRDefault="00434C81" w:rsidP="009B067A">
      <w:pPr>
        <w:spacing w:after="0" w:line="276" w:lineRule="auto"/>
        <w:jc w:val="both"/>
        <w:rPr>
          <w:b/>
          <w:bCs/>
          <w:sz w:val="28"/>
          <w:szCs w:val="28"/>
        </w:rPr>
      </w:pPr>
      <w:r>
        <w:rPr>
          <w:b/>
          <w:bCs/>
          <w:sz w:val="28"/>
          <w:szCs w:val="28"/>
        </w:rPr>
        <w:t>8</w:t>
      </w:r>
      <w:r w:rsidR="009B067A" w:rsidRPr="009B067A">
        <w:rPr>
          <w:b/>
          <w:bCs/>
          <w:sz w:val="28"/>
          <w:szCs w:val="28"/>
        </w:rPr>
        <w:t xml:space="preserve">. </w:t>
      </w:r>
      <w:r w:rsidR="00000000" w:rsidRPr="009B067A">
        <w:rPr>
          <w:b/>
          <w:bCs/>
          <w:sz w:val="28"/>
          <w:szCs w:val="28"/>
        </w:rPr>
        <w:t>SUGGESTIONS</w:t>
      </w:r>
    </w:p>
    <w:p w14:paraId="29A4C5FC" w14:textId="77777777" w:rsidR="000D2B4A" w:rsidRDefault="00000000" w:rsidP="009B067A">
      <w:pPr>
        <w:spacing w:after="0" w:line="276" w:lineRule="auto"/>
        <w:jc w:val="both"/>
      </w:pPr>
      <w:r w:rsidRPr="000D2B4A">
        <w:t>To build customer trust, the bank should ensure gender inclusivity in marketing, offer tailored financial services for diverse income and education levels, and focus on transparent risk management. Prioritizing clear communication on data protection, quick incident response, and regular updates will enhance trust. Customized approaches for different age groups, such as risk management education for younger customers and targeted communication for older ones, are crucial. The bank should invest in advanced fraud detection and create a tiered risk program based on income. Regular customer surveys on risk management will ensure continuous improvement.</w:t>
      </w:r>
    </w:p>
    <w:p w14:paraId="14B9EC5A" w14:textId="77777777" w:rsidR="009B067A" w:rsidRDefault="009B067A" w:rsidP="009B067A">
      <w:pPr>
        <w:spacing w:after="0" w:line="276" w:lineRule="auto"/>
        <w:jc w:val="both"/>
      </w:pPr>
    </w:p>
    <w:p w14:paraId="314C2133" w14:textId="295DFEFC" w:rsidR="00D05D5D" w:rsidRPr="009B067A" w:rsidRDefault="00434C81" w:rsidP="009B067A">
      <w:pPr>
        <w:spacing w:after="0" w:line="276" w:lineRule="auto"/>
        <w:jc w:val="both"/>
        <w:rPr>
          <w:b/>
          <w:bCs/>
          <w:sz w:val="28"/>
          <w:szCs w:val="28"/>
        </w:rPr>
      </w:pPr>
      <w:r>
        <w:rPr>
          <w:b/>
          <w:bCs/>
          <w:sz w:val="28"/>
          <w:szCs w:val="28"/>
        </w:rPr>
        <w:t>9</w:t>
      </w:r>
      <w:r w:rsidR="009B067A" w:rsidRPr="009B067A">
        <w:rPr>
          <w:b/>
          <w:bCs/>
          <w:sz w:val="28"/>
          <w:szCs w:val="28"/>
        </w:rPr>
        <w:t>.</w:t>
      </w:r>
      <w:r w:rsidR="00000000" w:rsidRPr="009B067A">
        <w:rPr>
          <w:b/>
          <w:bCs/>
          <w:sz w:val="28"/>
          <w:szCs w:val="28"/>
        </w:rPr>
        <w:t>CONCLUSION</w:t>
      </w:r>
    </w:p>
    <w:p w14:paraId="50A27466" w14:textId="46C33B5A" w:rsidR="00D05D5D" w:rsidRDefault="00000000" w:rsidP="009B067A">
      <w:pPr>
        <w:spacing w:after="0" w:line="276" w:lineRule="auto"/>
        <w:jc w:val="both"/>
      </w:pPr>
      <w:r>
        <w:t xml:space="preserve">The study concludes that effective risk management is essential for building customer trust in the banking sector. It shows that managing financial, operational, and data security risks positively impacts customer perceptions of reliability. Key practices like risk identification, mitigation, and transparent communication are crucial for enhancing customer loyalty. </w:t>
      </w:r>
      <w:r w:rsidR="00434C81">
        <w:t>The study's objectives were centered around examining how these risk management practices align with customer expectations, particularly regarding data protection, transparency, and timely responses to incidents. The findings show a strong positive correlation between risk management dimensions and customer trust, confirming that banks that prioritize robust risk strategies are better positioned to foster long-term customer loyalty. Key factors such as regular updates on risk management efforts, clear data protection policies, and quick responses to issues were found to be critical in shaping customer trust.</w:t>
      </w:r>
      <w:r w:rsidR="00434C81">
        <w:t xml:space="preserve"> </w:t>
      </w:r>
      <w:r>
        <w:t xml:space="preserve">While demographic factors play a role, strong risk management strategies strengthen trust across all customer segments. </w:t>
      </w:r>
      <w:r w:rsidR="00434C81">
        <w:t>In conclusion, the study highlights that strong risk management practices are vital not only for mitigating risks but also for strengthening customer trust, which is a cornerstone of sustained success in the banking industry</w:t>
      </w:r>
      <w:r w:rsidR="00434C81">
        <w:t xml:space="preserve">. </w:t>
      </w:r>
      <w:r>
        <w:t>Overall, proactive and transparent risk management is vital for long-term customer loyalty in the banking industry.</w:t>
      </w:r>
    </w:p>
    <w:p w14:paraId="035842DA" w14:textId="77777777" w:rsidR="00D05D5D" w:rsidRDefault="00D05D5D" w:rsidP="000D2B4A">
      <w:pPr>
        <w:spacing w:line="276" w:lineRule="auto"/>
        <w:jc w:val="both"/>
      </w:pPr>
    </w:p>
    <w:p w14:paraId="6C0957D8" w14:textId="7E46EEAB" w:rsidR="00D05D5D" w:rsidRPr="009B067A" w:rsidRDefault="00434C81" w:rsidP="00B26D77">
      <w:pPr>
        <w:spacing w:line="276" w:lineRule="auto"/>
        <w:jc w:val="both"/>
        <w:rPr>
          <w:b/>
          <w:bCs/>
          <w:sz w:val="28"/>
          <w:szCs w:val="28"/>
        </w:rPr>
      </w:pPr>
      <w:r>
        <w:rPr>
          <w:b/>
          <w:bCs/>
          <w:sz w:val="28"/>
          <w:szCs w:val="28"/>
        </w:rPr>
        <w:t>10</w:t>
      </w:r>
      <w:r w:rsidR="009B067A" w:rsidRPr="009B067A">
        <w:rPr>
          <w:b/>
          <w:bCs/>
          <w:sz w:val="28"/>
          <w:szCs w:val="28"/>
        </w:rPr>
        <w:t xml:space="preserve">. </w:t>
      </w:r>
      <w:r w:rsidR="00000000" w:rsidRPr="009B067A">
        <w:rPr>
          <w:b/>
          <w:bCs/>
          <w:sz w:val="28"/>
          <w:szCs w:val="28"/>
        </w:rPr>
        <w:t>REFERENCES</w:t>
      </w:r>
    </w:p>
    <w:p w14:paraId="77E787A0" w14:textId="22F11086" w:rsidR="00B26D77" w:rsidRPr="00B26D77" w:rsidRDefault="00B26D77" w:rsidP="00B26D77">
      <w:pPr>
        <w:spacing w:line="276" w:lineRule="auto"/>
        <w:jc w:val="both"/>
        <w:rPr>
          <w:rFonts w:cstheme="minorHAnsi"/>
        </w:rPr>
      </w:pPr>
      <w:r w:rsidRPr="00B26D77">
        <w:rPr>
          <w:rFonts w:cstheme="minorHAnsi"/>
        </w:rPr>
        <w:t xml:space="preserve">1. Gopalakrishnan, S., &amp; Alli, P. (2021). Trust based approach and risk management for IT systems in cloud service selection. Wireless Personal Communications, 117, 3109-3127. </w:t>
      </w:r>
    </w:p>
    <w:p w14:paraId="1A30D47F" w14:textId="51179A8E" w:rsidR="00B26D77" w:rsidRPr="00B26D77" w:rsidRDefault="00B26D77" w:rsidP="00B26D77">
      <w:pPr>
        <w:spacing w:line="276" w:lineRule="auto"/>
        <w:jc w:val="both"/>
        <w:rPr>
          <w:rFonts w:cstheme="minorHAnsi"/>
        </w:rPr>
      </w:pPr>
      <w:r w:rsidRPr="00B26D77">
        <w:rPr>
          <w:rFonts w:cstheme="minorHAnsi"/>
        </w:rPr>
        <w:lastRenderedPageBreak/>
        <w:t>2. Lee, H. (2020). Role of artificial intelligence and enterprise risk management to promote corporate entrepreneurship and business performance: Evidence from Korean</w:t>
      </w:r>
      <w:r>
        <w:rPr>
          <w:rFonts w:cstheme="minorHAnsi"/>
        </w:rPr>
        <w:t xml:space="preserve"> </w:t>
      </w:r>
      <w:r w:rsidRPr="00B26D77">
        <w:rPr>
          <w:rFonts w:cstheme="minorHAnsi"/>
        </w:rPr>
        <w:t xml:space="preserve">banking sector. Journal of Intelligent &amp; Fuzzy Systems, 39(4), 5369-5386. </w:t>
      </w:r>
    </w:p>
    <w:p w14:paraId="1C3AF3BF" w14:textId="39861502" w:rsidR="00B26D77" w:rsidRPr="00B26D77" w:rsidRDefault="00B26D77" w:rsidP="00B26D77">
      <w:pPr>
        <w:spacing w:line="276" w:lineRule="auto"/>
        <w:jc w:val="both"/>
        <w:rPr>
          <w:rFonts w:cstheme="minorHAnsi"/>
        </w:rPr>
      </w:pPr>
      <w:r w:rsidRPr="00B26D77">
        <w:rPr>
          <w:rFonts w:cstheme="minorHAnsi"/>
        </w:rPr>
        <w:t xml:space="preserve">3. </w:t>
      </w:r>
      <w:proofErr w:type="spellStart"/>
      <w:r w:rsidRPr="00B26D77">
        <w:rPr>
          <w:rFonts w:cstheme="minorHAnsi"/>
        </w:rPr>
        <w:t>Giampietri</w:t>
      </w:r>
      <w:proofErr w:type="spellEnd"/>
      <w:r w:rsidRPr="00B26D77">
        <w:rPr>
          <w:rFonts w:cstheme="minorHAnsi"/>
        </w:rPr>
        <w:t xml:space="preserve">, E., Yu, X., &amp; </w:t>
      </w:r>
      <w:proofErr w:type="spellStart"/>
      <w:r w:rsidRPr="00B26D77">
        <w:rPr>
          <w:rFonts w:cstheme="minorHAnsi"/>
        </w:rPr>
        <w:t>Trestini</w:t>
      </w:r>
      <w:proofErr w:type="spellEnd"/>
      <w:r w:rsidRPr="00B26D77">
        <w:rPr>
          <w:rFonts w:cstheme="minorHAnsi"/>
        </w:rPr>
        <w:t>, S. (2020). The role of trust and perceived barriers on</w:t>
      </w:r>
      <w:r>
        <w:rPr>
          <w:rFonts w:cstheme="minorHAnsi"/>
        </w:rPr>
        <w:t xml:space="preserve"> </w:t>
      </w:r>
      <w:r w:rsidRPr="00B26D77">
        <w:rPr>
          <w:rFonts w:cstheme="minorHAnsi"/>
        </w:rPr>
        <w:t xml:space="preserve">farmer’s intention to adopt risk management tools. Bio-Based and Applied Economics Journal, 9(1), 1-24. </w:t>
      </w:r>
    </w:p>
    <w:p w14:paraId="62704335" w14:textId="32A5D642" w:rsidR="00B26D77" w:rsidRPr="00B26D77" w:rsidRDefault="00B26D77" w:rsidP="00B26D77">
      <w:pPr>
        <w:spacing w:line="276" w:lineRule="auto"/>
        <w:jc w:val="both"/>
        <w:rPr>
          <w:rFonts w:cstheme="minorHAnsi"/>
        </w:rPr>
      </w:pPr>
      <w:r w:rsidRPr="00B26D77">
        <w:rPr>
          <w:rFonts w:cstheme="minorHAnsi"/>
        </w:rPr>
        <w:t xml:space="preserve">4. Karimi, T., Fathi, M., &amp; </w:t>
      </w:r>
      <w:proofErr w:type="spellStart"/>
      <w:r w:rsidRPr="00B26D77">
        <w:rPr>
          <w:rFonts w:cstheme="minorHAnsi"/>
        </w:rPr>
        <w:t>Yahyazade</w:t>
      </w:r>
      <w:proofErr w:type="spellEnd"/>
      <w:r w:rsidRPr="00B26D77">
        <w:rPr>
          <w:rFonts w:cstheme="minorHAnsi"/>
        </w:rPr>
        <w:t xml:space="preserve">, Y. (2020). Developing a risk management model for banking software development projects based on fuzzy inference system. Journal of Optimization in Industrial Engineering, 13(2), 267-278. </w:t>
      </w:r>
    </w:p>
    <w:p w14:paraId="726DA6BE" w14:textId="2DBE88F9" w:rsidR="00B26D77" w:rsidRPr="00B26D77" w:rsidRDefault="00B26D77" w:rsidP="00B26D77">
      <w:pPr>
        <w:spacing w:line="276" w:lineRule="auto"/>
        <w:jc w:val="both"/>
        <w:rPr>
          <w:rFonts w:cstheme="minorHAnsi"/>
        </w:rPr>
      </w:pPr>
      <w:r w:rsidRPr="00B26D77">
        <w:rPr>
          <w:rFonts w:cstheme="minorHAnsi"/>
        </w:rPr>
        <w:t xml:space="preserve">5. Al Hammadi, M., </w:t>
      </w:r>
      <w:proofErr w:type="spellStart"/>
      <w:r w:rsidRPr="00B26D77">
        <w:rPr>
          <w:rFonts w:cstheme="minorHAnsi"/>
        </w:rPr>
        <w:t>Jimber</w:t>
      </w:r>
      <w:proofErr w:type="spellEnd"/>
      <w:r w:rsidRPr="00B26D77">
        <w:rPr>
          <w:rFonts w:cstheme="minorHAnsi"/>
        </w:rPr>
        <w:t xml:space="preserve">-Del Río, J. A., Ochoa-Rico, M. S., Montero, O. A., &amp; Vergara- Romero, A. (2024). Risk Management in Islamic Banking: The Impact of Financial Technologies through Empirical Insights from the UAE. Risks, 12(2), 17. </w:t>
      </w:r>
    </w:p>
    <w:p w14:paraId="6B564760" w14:textId="7918BB9A" w:rsidR="00B26D77" w:rsidRPr="00B26D77" w:rsidRDefault="00B26D77" w:rsidP="00B26D77">
      <w:pPr>
        <w:spacing w:line="276" w:lineRule="auto"/>
        <w:jc w:val="both"/>
        <w:rPr>
          <w:rFonts w:cstheme="minorHAnsi"/>
        </w:rPr>
      </w:pPr>
      <w:r w:rsidRPr="00B26D77">
        <w:rPr>
          <w:rFonts w:cstheme="minorHAnsi"/>
        </w:rPr>
        <w:t xml:space="preserve">6. Inegbedion, H., Vincent, B. D., &amp; </w:t>
      </w:r>
      <w:proofErr w:type="spellStart"/>
      <w:r w:rsidRPr="00B26D77">
        <w:rPr>
          <w:rFonts w:cstheme="minorHAnsi"/>
        </w:rPr>
        <w:t>Obadiaru</w:t>
      </w:r>
      <w:proofErr w:type="spellEnd"/>
      <w:r w:rsidRPr="00B26D77">
        <w:rPr>
          <w:rFonts w:cstheme="minorHAnsi"/>
        </w:rPr>
        <w:t xml:space="preserve">, E. (2020). Risk management and the financial performance of banks in Nigeria. International Journal of Financial Research, 11(5), 115-128. </w:t>
      </w:r>
    </w:p>
    <w:p w14:paraId="4915FECE" w14:textId="2AD3E638" w:rsidR="00B26D77" w:rsidRPr="00B26D77" w:rsidRDefault="00B26D77" w:rsidP="00B26D77">
      <w:pPr>
        <w:spacing w:line="276" w:lineRule="auto"/>
        <w:jc w:val="both"/>
        <w:rPr>
          <w:rFonts w:cstheme="minorHAnsi"/>
        </w:rPr>
      </w:pPr>
      <w:r w:rsidRPr="00B26D77">
        <w:rPr>
          <w:rFonts w:cstheme="minorHAnsi"/>
        </w:rPr>
        <w:t xml:space="preserve">7. </w:t>
      </w:r>
      <w:proofErr w:type="spellStart"/>
      <w:r w:rsidRPr="00B26D77">
        <w:rPr>
          <w:rFonts w:cstheme="minorHAnsi"/>
        </w:rPr>
        <w:t>Kiswantoro</w:t>
      </w:r>
      <w:proofErr w:type="spellEnd"/>
      <w:r w:rsidRPr="00B26D77">
        <w:rPr>
          <w:rFonts w:cstheme="minorHAnsi"/>
        </w:rPr>
        <w:t xml:space="preserve">, A., </w:t>
      </w:r>
      <w:proofErr w:type="spellStart"/>
      <w:r w:rsidRPr="00B26D77">
        <w:rPr>
          <w:rFonts w:cstheme="minorHAnsi"/>
        </w:rPr>
        <w:t>Sugiarto</w:t>
      </w:r>
      <w:proofErr w:type="spellEnd"/>
      <w:r w:rsidRPr="00B26D77">
        <w:rPr>
          <w:rFonts w:cstheme="minorHAnsi"/>
        </w:rPr>
        <w:t xml:space="preserve">, S., Bahri, A. S., </w:t>
      </w:r>
      <w:proofErr w:type="spellStart"/>
      <w:r w:rsidRPr="00B26D77">
        <w:rPr>
          <w:rFonts w:cstheme="minorHAnsi"/>
        </w:rPr>
        <w:t>Hendratono</w:t>
      </w:r>
      <w:proofErr w:type="spellEnd"/>
      <w:r w:rsidRPr="00B26D77">
        <w:rPr>
          <w:rFonts w:cstheme="minorHAnsi"/>
        </w:rPr>
        <w:t xml:space="preserve">, T., Susanto, D. R., Rohman, N., &amp; Irawati, N. (2024). A Review of Risk Management in Homestays. </w:t>
      </w:r>
      <w:proofErr w:type="spellStart"/>
      <w:r w:rsidRPr="00B26D77">
        <w:rPr>
          <w:rFonts w:cstheme="minorHAnsi"/>
        </w:rPr>
        <w:t>Ganaya</w:t>
      </w:r>
      <w:proofErr w:type="spellEnd"/>
      <w:r w:rsidRPr="00B26D77">
        <w:rPr>
          <w:rFonts w:cstheme="minorHAnsi"/>
        </w:rPr>
        <w:t xml:space="preserve">: </w:t>
      </w:r>
      <w:proofErr w:type="spellStart"/>
      <w:r w:rsidRPr="00B26D77">
        <w:rPr>
          <w:rFonts w:cstheme="minorHAnsi"/>
        </w:rPr>
        <w:t>Jurnal</w:t>
      </w:r>
      <w:proofErr w:type="spellEnd"/>
      <w:r w:rsidRPr="00B26D77">
        <w:rPr>
          <w:rFonts w:cstheme="minorHAnsi"/>
        </w:rPr>
        <w:t xml:space="preserve"> </w:t>
      </w:r>
      <w:proofErr w:type="spellStart"/>
      <w:r w:rsidRPr="00B26D77">
        <w:rPr>
          <w:rFonts w:cstheme="minorHAnsi"/>
        </w:rPr>
        <w:t>Ilmu</w:t>
      </w:r>
      <w:proofErr w:type="spellEnd"/>
      <w:r w:rsidRPr="00B26D77">
        <w:rPr>
          <w:rFonts w:cstheme="minorHAnsi"/>
        </w:rPr>
        <w:t xml:space="preserve"> Sosial dan </w:t>
      </w:r>
      <w:proofErr w:type="spellStart"/>
      <w:r w:rsidRPr="00B26D77">
        <w:rPr>
          <w:rFonts w:cstheme="minorHAnsi"/>
        </w:rPr>
        <w:t>Humaniora</w:t>
      </w:r>
      <w:proofErr w:type="spellEnd"/>
      <w:r w:rsidRPr="00B26D77">
        <w:rPr>
          <w:rFonts w:cstheme="minorHAnsi"/>
        </w:rPr>
        <w:t xml:space="preserve">, 7(1), 73-88. </w:t>
      </w:r>
    </w:p>
    <w:p w14:paraId="622496AF" w14:textId="4280AC04" w:rsidR="00B26D77" w:rsidRPr="00B26D77" w:rsidRDefault="00B26D77" w:rsidP="00B26D77">
      <w:pPr>
        <w:spacing w:line="276" w:lineRule="auto"/>
        <w:jc w:val="both"/>
        <w:rPr>
          <w:rFonts w:cstheme="minorHAnsi"/>
        </w:rPr>
      </w:pPr>
      <w:r w:rsidRPr="00B26D77">
        <w:rPr>
          <w:rFonts w:cstheme="minorHAnsi"/>
        </w:rPr>
        <w:t>8. Zouari‐</w:t>
      </w:r>
      <w:proofErr w:type="spellStart"/>
      <w:r w:rsidRPr="00B26D77">
        <w:rPr>
          <w:rFonts w:cstheme="minorHAnsi"/>
        </w:rPr>
        <w:t>Hadiji</w:t>
      </w:r>
      <w:proofErr w:type="spellEnd"/>
      <w:r w:rsidRPr="00B26D77">
        <w:rPr>
          <w:rFonts w:cstheme="minorHAnsi"/>
        </w:rPr>
        <w:t>, R. (2023). Financial innovation characteristics and banking performance: The mediating effect of risk management. International Journal of Finance &amp; Economics, 28(2), 1214-1227.</w:t>
      </w:r>
    </w:p>
    <w:p w14:paraId="1FFEA4F4" w14:textId="7807424E" w:rsidR="00B26D77" w:rsidRPr="00B26D77" w:rsidRDefault="00B26D77" w:rsidP="00B26D77">
      <w:pPr>
        <w:spacing w:line="276" w:lineRule="auto"/>
        <w:jc w:val="both"/>
        <w:rPr>
          <w:rFonts w:cstheme="minorHAnsi"/>
        </w:rPr>
      </w:pPr>
      <w:r w:rsidRPr="00B26D77">
        <w:rPr>
          <w:rFonts w:cstheme="minorHAnsi"/>
        </w:rPr>
        <w:t xml:space="preserve">9. </w:t>
      </w:r>
      <w:proofErr w:type="spellStart"/>
      <w:r w:rsidRPr="00B26D77">
        <w:rPr>
          <w:rFonts w:cstheme="minorHAnsi"/>
        </w:rPr>
        <w:t>Suharini</w:t>
      </w:r>
      <w:proofErr w:type="spellEnd"/>
      <w:r w:rsidRPr="00B26D77">
        <w:rPr>
          <w:rFonts w:cstheme="minorHAnsi"/>
        </w:rPr>
        <w:t xml:space="preserve">, S., &amp; </w:t>
      </w:r>
      <w:proofErr w:type="spellStart"/>
      <w:r w:rsidRPr="00B26D77">
        <w:rPr>
          <w:rFonts w:cstheme="minorHAnsi"/>
        </w:rPr>
        <w:t>Hastasari</w:t>
      </w:r>
      <w:proofErr w:type="spellEnd"/>
      <w:r w:rsidRPr="00B26D77">
        <w:rPr>
          <w:rFonts w:cstheme="minorHAnsi"/>
        </w:rPr>
        <w:t xml:space="preserve">, R. (2023). ANALYSIS OF THE EFFECTIVENESS OF THE RISK MANAGEMENT APPROACH IN REDUCING FINANCIAL RISK. </w:t>
      </w:r>
      <w:proofErr w:type="spellStart"/>
      <w:r w:rsidRPr="00B26D77">
        <w:rPr>
          <w:rFonts w:cstheme="minorHAnsi"/>
        </w:rPr>
        <w:t>Jurnal</w:t>
      </w:r>
      <w:proofErr w:type="spellEnd"/>
      <w:r w:rsidRPr="00B26D77">
        <w:rPr>
          <w:rFonts w:cstheme="minorHAnsi"/>
        </w:rPr>
        <w:t xml:space="preserve"> Scientia, 12(04), 906-911. </w:t>
      </w:r>
    </w:p>
    <w:p w14:paraId="0021DC1E" w14:textId="1A251191" w:rsidR="00B26D77" w:rsidRDefault="00B26D77" w:rsidP="00B26D77">
      <w:pPr>
        <w:spacing w:line="276" w:lineRule="auto"/>
        <w:jc w:val="both"/>
        <w:rPr>
          <w:rFonts w:cstheme="minorHAnsi"/>
        </w:rPr>
      </w:pPr>
      <w:r w:rsidRPr="00B26D77">
        <w:rPr>
          <w:rFonts w:cstheme="minorHAnsi"/>
        </w:rPr>
        <w:t xml:space="preserve">10. Saputra, I., </w:t>
      </w:r>
      <w:proofErr w:type="spellStart"/>
      <w:r w:rsidRPr="00B26D77">
        <w:rPr>
          <w:rFonts w:cstheme="minorHAnsi"/>
        </w:rPr>
        <w:t>Murwaningsari</w:t>
      </w:r>
      <w:proofErr w:type="spellEnd"/>
      <w:r w:rsidRPr="00B26D77">
        <w:rPr>
          <w:rFonts w:cstheme="minorHAnsi"/>
        </w:rPr>
        <w:t xml:space="preserve">, E., &amp; Augustine, Y. (2023). Enterprise risk management, management control systems, and digital banking transformation analysis on the evaluation of sustainable banking in Indonesian banking. Journal of Law and Sustainable Development, 11(3), e715-e715. </w:t>
      </w:r>
    </w:p>
    <w:p w14:paraId="3839A44D" w14:textId="77777777" w:rsidR="008C2942" w:rsidRPr="00B26D77" w:rsidRDefault="008C2942" w:rsidP="008C2942">
      <w:pPr>
        <w:spacing w:line="276" w:lineRule="auto"/>
        <w:jc w:val="both"/>
        <w:rPr>
          <w:rFonts w:cstheme="minorHAnsi"/>
        </w:rPr>
      </w:pPr>
      <w:r w:rsidRPr="00B26D77">
        <w:rPr>
          <w:rFonts w:cstheme="minorHAnsi"/>
        </w:rPr>
        <w:t>11. Adam, M., Soliman, A. M., &amp; Mahtab, N. (2023). Measuring enterprise risk management implementation: A multifaceted approach for the banking sector. The Quarterly Review of Economics and Finance, 87, 244-256.</w:t>
      </w:r>
    </w:p>
    <w:p w14:paraId="1660EFB9" w14:textId="77777777" w:rsidR="008C2942" w:rsidRPr="00B26D77" w:rsidRDefault="008C2942" w:rsidP="008C2942">
      <w:pPr>
        <w:spacing w:line="276" w:lineRule="auto"/>
        <w:jc w:val="both"/>
        <w:rPr>
          <w:rFonts w:cstheme="minorHAnsi"/>
        </w:rPr>
      </w:pPr>
      <w:r w:rsidRPr="00B26D77">
        <w:rPr>
          <w:rFonts w:cstheme="minorHAnsi"/>
        </w:rPr>
        <w:t xml:space="preserve">12. </w:t>
      </w:r>
      <w:proofErr w:type="spellStart"/>
      <w:r w:rsidRPr="00B26D77">
        <w:rPr>
          <w:rFonts w:cstheme="minorHAnsi"/>
        </w:rPr>
        <w:t>Ghazieh</w:t>
      </w:r>
      <w:proofErr w:type="spellEnd"/>
      <w:r w:rsidRPr="00B26D77">
        <w:rPr>
          <w:rFonts w:cstheme="minorHAnsi"/>
        </w:rPr>
        <w:t xml:space="preserve">, L., &amp; </w:t>
      </w:r>
      <w:proofErr w:type="spellStart"/>
      <w:r w:rsidRPr="00B26D77">
        <w:rPr>
          <w:rFonts w:cstheme="minorHAnsi"/>
        </w:rPr>
        <w:t>Chebana</w:t>
      </w:r>
      <w:proofErr w:type="spellEnd"/>
      <w:r w:rsidRPr="00B26D77">
        <w:rPr>
          <w:rFonts w:cstheme="minorHAnsi"/>
        </w:rPr>
        <w:t xml:space="preserve">, N. (2021). The effectiveness of risk management system and firm performance in the European context. Journal of Economics, Finance and Administrative Science, 26(52), 182-196. </w:t>
      </w:r>
    </w:p>
    <w:p w14:paraId="1FD94634" w14:textId="77777777" w:rsidR="008C2942" w:rsidRPr="00B26D77" w:rsidRDefault="008C2942" w:rsidP="008C2942">
      <w:pPr>
        <w:spacing w:line="276" w:lineRule="auto"/>
        <w:jc w:val="both"/>
        <w:rPr>
          <w:rFonts w:cstheme="minorHAnsi"/>
        </w:rPr>
      </w:pPr>
      <w:r w:rsidRPr="00B26D77">
        <w:rPr>
          <w:rFonts w:cstheme="minorHAnsi"/>
        </w:rPr>
        <w:t>13. Barre, G. M. (2024). Effective risk management practice in Somalia Islamic banks. Asian Economic and Financial Review, 14(6), 424-436.</w:t>
      </w:r>
    </w:p>
    <w:p w14:paraId="6D6702FE" w14:textId="77777777" w:rsidR="008C2942" w:rsidRPr="00B26D77" w:rsidRDefault="008C2942" w:rsidP="008C2942">
      <w:pPr>
        <w:spacing w:line="276" w:lineRule="auto"/>
        <w:jc w:val="both"/>
        <w:rPr>
          <w:rFonts w:cstheme="minorHAnsi"/>
        </w:rPr>
      </w:pPr>
      <w:r w:rsidRPr="00B26D77">
        <w:rPr>
          <w:rFonts w:cstheme="minorHAnsi"/>
        </w:rPr>
        <w:t xml:space="preserve">14. </w:t>
      </w:r>
      <w:proofErr w:type="spellStart"/>
      <w:r w:rsidRPr="00B26D77">
        <w:rPr>
          <w:rFonts w:cstheme="minorHAnsi"/>
        </w:rPr>
        <w:t>Siampondo</w:t>
      </w:r>
      <w:proofErr w:type="spellEnd"/>
      <w:r w:rsidRPr="00B26D77">
        <w:rPr>
          <w:rFonts w:cstheme="minorHAnsi"/>
        </w:rPr>
        <w:t xml:space="preserve">, G., &amp; </w:t>
      </w:r>
      <w:proofErr w:type="spellStart"/>
      <w:r w:rsidRPr="00B26D77">
        <w:rPr>
          <w:rFonts w:cstheme="minorHAnsi"/>
        </w:rPr>
        <w:t>Sumbwanyambe</w:t>
      </w:r>
      <w:proofErr w:type="spellEnd"/>
      <w:r w:rsidRPr="00B26D77">
        <w:rPr>
          <w:rFonts w:cstheme="minorHAnsi"/>
        </w:rPr>
        <w:t>, M. (2023). A Review of the Role of Risk Management in Online Transactions: The Growing Issues of Network and System Security among Zambia's Financial Institutions. American Journal of Finance, 8(2), 1- 12.</w:t>
      </w:r>
    </w:p>
    <w:p w14:paraId="23EABCC4" w14:textId="77777777" w:rsidR="008C2942" w:rsidRPr="00B26D77" w:rsidRDefault="008C2942" w:rsidP="008C2942">
      <w:pPr>
        <w:spacing w:line="276" w:lineRule="auto"/>
        <w:jc w:val="both"/>
        <w:rPr>
          <w:rFonts w:cstheme="minorHAnsi"/>
        </w:rPr>
      </w:pPr>
      <w:r w:rsidRPr="00B26D77">
        <w:rPr>
          <w:rFonts w:cstheme="minorHAnsi"/>
        </w:rPr>
        <w:t xml:space="preserve">15. Agustina, T. P., &amp; </w:t>
      </w:r>
      <w:proofErr w:type="spellStart"/>
      <w:r w:rsidRPr="00B26D77">
        <w:rPr>
          <w:rFonts w:cstheme="minorHAnsi"/>
        </w:rPr>
        <w:t>Rahmatika</w:t>
      </w:r>
      <w:proofErr w:type="spellEnd"/>
      <w:r w:rsidRPr="00B26D77">
        <w:rPr>
          <w:rFonts w:cstheme="minorHAnsi"/>
        </w:rPr>
        <w:t xml:space="preserve">, A. N. M. (2022). The Role of Risk Management in Banking. INCOME: Innovation of Economics and Management, 2(2), 22-25. </w:t>
      </w:r>
    </w:p>
    <w:p w14:paraId="1D410BBE" w14:textId="77777777" w:rsidR="00B26D77" w:rsidRDefault="00B26D77" w:rsidP="00B26D77">
      <w:pPr>
        <w:spacing w:line="276" w:lineRule="auto"/>
        <w:jc w:val="both"/>
        <w:rPr>
          <w:b/>
          <w:bCs/>
          <w:sz w:val="24"/>
          <w:szCs w:val="24"/>
        </w:rPr>
      </w:pPr>
    </w:p>
    <w:sectPr w:rsidR="00B26D77">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C17ED" w14:textId="77777777" w:rsidR="00BF7A27" w:rsidRDefault="00BF7A27" w:rsidP="00881ACB">
      <w:pPr>
        <w:spacing w:after="0" w:line="240" w:lineRule="auto"/>
      </w:pPr>
      <w:r>
        <w:separator/>
      </w:r>
    </w:p>
  </w:endnote>
  <w:endnote w:type="continuationSeparator" w:id="0">
    <w:p w14:paraId="5C4DC61B" w14:textId="77777777" w:rsidR="00BF7A27" w:rsidRDefault="00BF7A27" w:rsidP="00881A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A840AC" w14:textId="77777777" w:rsidR="00BF7A27" w:rsidRDefault="00BF7A27" w:rsidP="00881ACB">
      <w:pPr>
        <w:spacing w:after="0" w:line="240" w:lineRule="auto"/>
      </w:pPr>
      <w:r>
        <w:separator/>
      </w:r>
    </w:p>
  </w:footnote>
  <w:footnote w:type="continuationSeparator" w:id="0">
    <w:p w14:paraId="6D26A940" w14:textId="77777777" w:rsidR="00BF7A27" w:rsidRDefault="00BF7A27" w:rsidP="00881A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74A7A"/>
    <w:multiLevelType w:val="hybridMultilevel"/>
    <w:tmpl w:val="97AAFCC8"/>
    <w:lvl w:ilvl="0" w:tplc="AAAC1532">
      <w:start w:val="1"/>
      <w:numFmt w:val="decimal"/>
      <w:lvlText w:val="%1."/>
      <w:lvlJc w:val="left"/>
      <w:pPr>
        <w:ind w:left="0" w:hanging="360"/>
      </w:pPr>
      <w:rPr>
        <w:rFonts w:hint="default"/>
      </w:r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1" w15:restartNumberingAfterBreak="0">
    <w:nsid w:val="248A07DE"/>
    <w:multiLevelType w:val="hybridMultilevel"/>
    <w:tmpl w:val="FF8E87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A681898"/>
    <w:multiLevelType w:val="hybridMultilevel"/>
    <w:tmpl w:val="B20AC84C"/>
    <w:lvl w:ilvl="0" w:tplc="066CB276">
      <w:start w:val="1"/>
      <w:numFmt w:val="decimal"/>
      <w:lvlText w:val="%1."/>
      <w:lvlJc w:val="left"/>
      <w:pPr>
        <w:ind w:left="0" w:hanging="360"/>
      </w:pPr>
      <w:rPr>
        <w:rFonts w:hint="default"/>
        <w:b w:val="0"/>
        <w:bCs w:val="0"/>
        <w:sz w:val="22"/>
        <w:szCs w:val="22"/>
      </w:rPr>
    </w:lvl>
    <w:lvl w:ilvl="1" w:tplc="094891AA" w:tentative="1">
      <w:start w:val="1"/>
      <w:numFmt w:val="lowerLetter"/>
      <w:lvlText w:val="%2."/>
      <w:lvlJc w:val="left"/>
      <w:pPr>
        <w:ind w:left="720" w:hanging="360"/>
      </w:pPr>
    </w:lvl>
    <w:lvl w:ilvl="2" w:tplc="A3EAB05E" w:tentative="1">
      <w:start w:val="1"/>
      <w:numFmt w:val="lowerRoman"/>
      <w:lvlText w:val="%3."/>
      <w:lvlJc w:val="right"/>
      <w:pPr>
        <w:ind w:left="1440" w:hanging="180"/>
      </w:pPr>
    </w:lvl>
    <w:lvl w:ilvl="3" w:tplc="B386AFE4" w:tentative="1">
      <w:start w:val="1"/>
      <w:numFmt w:val="decimal"/>
      <w:lvlText w:val="%4."/>
      <w:lvlJc w:val="left"/>
      <w:pPr>
        <w:ind w:left="2160" w:hanging="360"/>
      </w:pPr>
    </w:lvl>
    <w:lvl w:ilvl="4" w:tplc="651A211E" w:tentative="1">
      <w:start w:val="1"/>
      <w:numFmt w:val="lowerLetter"/>
      <w:lvlText w:val="%5."/>
      <w:lvlJc w:val="left"/>
      <w:pPr>
        <w:ind w:left="2880" w:hanging="360"/>
      </w:pPr>
    </w:lvl>
    <w:lvl w:ilvl="5" w:tplc="D3EC8D56" w:tentative="1">
      <w:start w:val="1"/>
      <w:numFmt w:val="lowerRoman"/>
      <w:lvlText w:val="%6."/>
      <w:lvlJc w:val="right"/>
      <w:pPr>
        <w:ind w:left="3600" w:hanging="180"/>
      </w:pPr>
    </w:lvl>
    <w:lvl w:ilvl="6" w:tplc="8AC05432" w:tentative="1">
      <w:start w:val="1"/>
      <w:numFmt w:val="decimal"/>
      <w:lvlText w:val="%7."/>
      <w:lvlJc w:val="left"/>
      <w:pPr>
        <w:ind w:left="4320" w:hanging="360"/>
      </w:pPr>
    </w:lvl>
    <w:lvl w:ilvl="7" w:tplc="6E4842EA" w:tentative="1">
      <w:start w:val="1"/>
      <w:numFmt w:val="lowerLetter"/>
      <w:lvlText w:val="%8."/>
      <w:lvlJc w:val="left"/>
      <w:pPr>
        <w:ind w:left="5040" w:hanging="360"/>
      </w:pPr>
    </w:lvl>
    <w:lvl w:ilvl="8" w:tplc="96047C7C" w:tentative="1">
      <w:start w:val="1"/>
      <w:numFmt w:val="lowerRoman"/>
      <w:lvlText w:val="%9."/>
      <w:lvlJc w:val="right"/>
      <w:pPr>
        <w:ind w:left="5760" w:hanging="180"/>
      </w:pPr>
    </w:lvl>
  </w:abstractNum>
  <w:abstractNum w:abstractNumId="3" w15:restartNumberingAfterBreak="0">
    <w:nsid w:val="2B6206D5"/>
    <w:multiLevelType w:val="hybridMultilevel"/>
    <w:tmpl w:val="A48AF1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BBF782A"/>
    <w:multiLevelType w:val="hybridMultilevel"/>
    <w:tmpl w:val="4A46DD64"/>
    <w:lvl w:ilvl="0" w:tplc="AAAC1532">
      <w:start w:val="1"/>
      <w:numFmt w:val="decimal"/>
      <w:lvlText w:val="%1."/>
      <w:lvlJc w:val="left"/>
      <w:pPr>
        <w:ind w:left="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97000D6"/>
    <w:multiLevelType w:val="hybridMultilevel"/>
    <w:tmpl w:val="7B5CD9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9207781"/>
    <w:multiLevelType w:val="hybridMultilevel"/>
    <w:tmpl w:val="BC9EB264"/>
    <w:lvl w:ilvl="0" w:tplc="99ACD282">
      <w:start w:val="1"/>
      <w:numFmt w:val="decimal"/>
      <w:lvlText w:val="%1."/>
      <w:lvlJc w:val="left"/>
      <w:pPr>
        <w:ind w:left="360" w:hanging="360"/>
      </w:pPr>
    </w:lvl>
    <w:lvl w:ilvl="1" w:tplc="5FFEFF3E" w:tentative="1">
      <w:start w:val="1"/>
      <w:numFmt w:val="lowerLetter"/>
      <w:lvlText w:val="%2."/>
      <w:lvlJc w:val="left"/>
      <w:pPr>
        <w:ind w:left="1080" w:hanging="360"/>
      </w:pPr>
    </w:lvl>
    <w:lvl w:ilvl="2" w:tplc="92F69032" w:tentative="1">
      <w:start w:val="1"/>
      <w:numFmt w:val="lowerRoman"/>
      <w:lvlText w:val="%3."/>
      <w:lvlJc w:val="right"/>
      <w:pPr>
        <w:ind w:left="1800" w:hanging="180"/>
      </w:pPr>
    </w:lvl>
    <w:lvl w:ilvl="3" w:tplc="5A6A256A" w:tentative="1">
      <w:start w:val="1"/>
      <w:numFmt w:val="decimal"/>
      <w:lvlText w:val="%4."/>
      <w:lvlJc w:val="left"/>
      <w:pPr>
        <w:ind w:left="2520" w:hanging="360"/>
      </w:pPr>
    </w:lvl>
    <w:lvl w:ilvl="4" w:tplc="A7E46712" w:tentative="1">
      <w:start w:val="1"/>
      <w:numFmt w:val="lowerLetter"/>
      <w:lvlText w:val="%5."/>
      <w:lvlJc w:val="left"/>
      <w:pPr>
        <w:ind w:left="3240" w:hanging="360"/>
      </w:pPr>
    </w:lvl>
    <w:lvl w:ilvl="5" w:tplc="8B9EBA20" w:tentative="1">
      <w:start w:val="1"/>
      <w:numFmt w:val="lowerRoman"/>
      <w:lvlText w:val="%6."/>
      <w:lvlJc w:val="right"/>
      <w:pPr>
        <w:ind w:left="3960" w:hanging="180"/>
      </w:pPr>
    </w:lvl>
    <w:lvl w:ilvl="6" w:tplc="CE0A01B0" w:tentative="1">
      <w:start w:val="1"/>
      <w:numFmt w:val="decimal"/>
      <w:lvlText w:val="%7."/>
      <w:lvlJc w:val="left"/>
      <w:pPr>
        <w:ind w:left="4680" w:hanging="360"/>
      </w:pPr>
    </w:lvl>
    <w:lvl w:ilvl="7" w:tplc="2CFC40FC" w:tentative="1">
      <w:start w:val="1"/>
      <w:numFmt w:val="lowerLetter"/>
      <w:lvlText w:val="%8."/>
      <w:lvlJc w:val="left"/>
      <w:pPr>
        <w:ind w:left="5400" w:hanging="360"/>
      </w:pPr>
    </w:lvl>
    <w:lvl w:ilvl="8" w:tplc="66962800" w:tentative="1">
      <w:start w:val="1"/>
      <w:numFmt w:val="lowerRoman"/>
      <w:lvlText w:val="%9."/>
      <w:lvlJc w:val="right"/>
      <w:pPr>
        <w:ind w:left="6120" w:hanging="180"/>
      </w:pPr>
    </w:lvl>
  </w:abstractNum>
  <w:abstractNum w:abstractNumId="7" w15:restartNumberingAfterBreak="0">
    <w:nsid w:val="78DB4413"/>
    <w:multiLevelType w:val="hybridMultilevel"/>
    <w:tmpl w:val="B9FA5D28"/>
    <w:lvl w:ilvl="0" w:tplc="066CB276">
      <w:start w:val="1"/>
      <w:numFmt w:val="decimal"/>
      <w:lvlText w:val="%1."/>
      <w:lvlJc w:val="left"/>
      <w:pPr>
        <w:ind w:left="-360" w:hanging="360"/>
      </w:pPr>
      <w:rPr>
        <w:rFonts w:hint="default"/>
        <w:b w:val="0"/>
        <w:bCs w:val="0"/>
        <w:sz w:val="22"/>
        <w:szCs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207229110">
    <w:abstractNumId w:val="6"/>
  </w:num>
  <w:num w:numId="2" w16cid:durableId="1844125560">
    <w:abstractNumId w:val="2"/>
  </w:num>
  <w:num w:numId="3" w16cid:durableId="2104764573">
    <w:abstractNumId w:val="5"/>
  </w:num>
  <w:num w:numId="4" w16cid:durableId="1657149530">
    <w:abstractNumId w:val="7"/>
  </w:num>
  <w:num w:numId="5" w16cid:durableId="1741362215">
    <w:abstractNumId w:val="0"/>
  </w:num>
  <w:num w:numId="6" w16cid:durableId="1192114440">
    <w:abstractNumId w:val="4"/>
  </w:num>
  <w:num w:numId="7" w16cid:durableId="455371957">
    <w:abstractNumId w:val="3"/>
  </w:num>
  <w:num w:numId="8" w16cid:durableId="101994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CC9"/>
    <w:rsid w:val="00001590"/>
    <w:rsid w:val="0007532C"/>
    <w:rsid w:val="000C461F"/>
    <w:rsid w:val="000D2B4A"/>
    <w:rsid w:val="000E2E47"/>
    <w:rsid w:val="00126FFC"/>
    <w:rsid w:val="00172627"/>
    <w:rsid w:val="001A5475"/>
    <w:rsid w:val="0020326C"/>
    <w:rsid w:val="00213645"/>
    <w:rsid w:val="00242068"/>
    <w:rsid w:val="00243174"/>
    <w:rsid w:val="00271AB5"/>
    <w:rsid w:val="002F1284"/>
    <w:rsid w:val="0037076A"/>
    <w:rsid w:val="00375751"/>
    <w:rsid w:val="003868A6"/>
    <w:rsid w:val="003C44D4"/>
    <w:rsid w:val="0041427D"/>
    <w:rsid w:val="00434C81"/>
    <w:rsid w:val="00461C11"/>
    <w:rsid w:val="0046604D"/>
    <w:rsid w:val="0047403C"/>
    <w:rsid w:val="00491B5A"/>
    <w:rsid w:val="004D42DA"/>
    <w:rsid w:val="004D7A39"/>
    <w:rsid w:val="00515ECF"/>
    <w:rsid w:val="00570B85"/>
    <w:rsid w:val="005748B7"/>
    <w:rsid w:val="005E6809"/>
    <w:rsid w:val="006007BA"/>
    <w:rsid w:val="00610BC9"/>
    <w:rsid w:val="00633881"/>
    <w:rsid w:val="00651203"/>
    <w:rsid w:val="006D7FE7"/>
    <w:rsid w:val="007267E1"/>
    <w:rsid w:val="007F3EC5"/>
    <w:rsid w:val="007F780D"/>
    <w:rsid w:val="00815665"/>
    <w:rsid w:val="00861482"/>
    <w:rsid w:val="00864CB6"/>
    <w:rsid w:val="00881ACB"/>
    <w:rsid w:val="008C2942"/>
    <w:rsid w:val="00963A8E"/>
    <w:rsid w:val="009662E7"/>
    <w:rsid w:val="0097596B"/>
    <w:rsid w:val="009933C5"/>
    <w:rsid w:val="009A7434"/>
    <w:rsid w:val="009B067A"/>
    <w:rsid w:val="009C503B"/>
    <w:rsid w:val="009E506D"/>
    <w:rsid w:val="00A46993"/>
    <w:rsid w:val="00A50453"/>
    <w:rsid w:val="00A56683"/>
    <w:rsid w:val="00AD2E0F"/>
    <w:rsid w:val="00AE4665"/>
    <w:rsid w:val="00AE4C70"/>
    <w:rsid w:val="00AF57D5"/>
    <w:rsid w:val="00B10881"/>
    <w:rsid w:val="00B26D77"/>
    <w:rsid w:val="00B40085"/>
    <w:rsid w:val="00B61165"/>
    <w:rsid w:val="00B6481E"/>
    <w:rsid w:val="00B901C6"/>
    <w:rsid w:val="00BA608D"/>
    <w:rsid w:val="00BD374D"/>
    <w:rsid w:val="00BF7A27"/>
    <w:rsid w:val="00C03A32"/>
    <w:rsid w:val="00C32DC9"/>
    <w:rsid w:val="00CD4F29"/>
    <w:rsid w:val="00CD7A4F"/>
    <w:rsid w:val="00CF56E7"/>
    <w:rsid w:val="00D05D5D"/>
    <w:rsid w:val="00D12724"/>
    <w:rsid w:val="00D5406E"/>
    <w:rsid w:val="00D749F5"/>
    <w:rsid w:val="00D838F4"/>
    <w:rsid w:val="00E07DA4"/>
    <w:rsid w:val="00EF55F3"/>
    <w:rsid w:val="00F30D1F"/>
    <w:rsid w:val="00F35D33"/>
    <w:rsid w:val="00F55C4C"/>
    <w:rsid w:val="00F67D1C"/>
    <w:rsid w:val="00F83887"/>
    <w:rsid w:val="00FA4CC9"/>
    <w:rsid w:val="00FB51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CDFA8"/>
  <w15:chartTrackingRefBased/>
  <w15:docId w15:val="{8EBC8B3E-8F75-420B-A34B-F4E125798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pPr>
      <w:keepNext/>
      <w:keepLines/>
      <w:spacing w:after="76"/>
      <w:ind w:left="10" w:right="3" w:hanging="10"/>
      <w:jc w:val="center"/>
      <w:outlineLvl w:val="0"/>
    </w:pPr>
    <w:rPr>
      <w:rFonts w:ascii="Times New Roman" w:eastAsia="Times New Roman" w:hAnsi="Times New Roman" w:cs="Times New Roman"/>
      <w:b/>
      <w:color w:val="000000"/>
      <w:sz w:val="28"/>
      <w:lang w:val="en-US" w:bidi="t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CC9"/>
  </w:style>
  <w:style w:type="paragraph" w:styleId="Footer">
    <w:name w:val="footer"/>
    <w:basedOn w:val="Normal"/>
    <w:link w:val="FooterChar"/>
    <w:uiPriority w:val="99"/>
    <w:unhideWhenUsed/>
    <w:rsid w:val="00FA4C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CC9"/>
  </w:style>
  <w:style w:type="paragraph" w:styleId="ListParagraph">
    <w:name w:val="List Paragraph"/>
    <w:basedOn w:val="Normal"/>
    <w:uiPriority w:val="34"/>
    <w:qFormat/>
    <w:rsid w:val="0046604D"/>
    <w:pPr>
      <w:ind w:left="720"/>
      <w:contextualSpacing/>
    </w:pPr>
  </w:style>
  <w:style w:type="table" w:styleId="TableGrid">
    <w:name w:val="Table Grid"/>
    <w:basedOn w:val="TableNormal"/>
    <w:uiPriority w:val="39"/>
    <w:rsid w:val="004D42D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Pr>
      <w:rFonts w:ascii="Times New Roman" w:eastAsia="Times New Roman" w:hAnsi="Times New Roman" w:cs="Times New Roman"/>
      <w:b/>
      <w:color w:val="000000"/>
      <w:sz w:val="28"/>
      <w:lang w:val="en-US" w:bidi="ta-IN"/>
    </w:rPr>
  </w:style>
  <w:style w:type="table" w:customStyle="1" w:styleId="TableGrid0">
    <w:name w:val="TableGrid"/>
    <w:pPr>
      <w:spacing w:after="0" w:line="240" w:lineRule="auto"/>
    </w:pPr>
    <w:rPr>
      <w:rFonts w:ascii="Calibri" w:eastAsia="Times New Roman" w:hAnsi="Calibri" w:cs="Latha"/>
      <w:lang w:val="en-US" w:bidi="ta-IN"/>
    </w:rPr>
    <w:tblPr>
      <w:tblCellMar>
        <w:top w:w="0" w:type="dxa"/>
        <w:left w:w="0" w:type="dxa"/>
        <w:bottom w:w="0" w:type="dxa"/>
        <w:right w:w="0" w:type="dxa"/>
      </w:tblCellMar>
    </w:tblPr>
  </w:style>
  <w:style w:type="character" w:styleId="Hyperlink">
    <w:name w:val="Hyperlink"/>
    <w:basedOn w:val="DefaultParagraphFont"/>
    <w:uiPriority w:val="99"/>
    <w:unhideWhenUsed/>
    <w:rsid w:val="00881ACB"/>
    <w:rPr>
      <w:color w:val="0563C1" w:themeColor="hyperlink"/>
      <w:u w:val="single"/>
    </w:rPr>
  </w:style>
  <w:style w:type="character" w:styleId="UnresolvedMention">
    <w:name w:val="Unresolved Mention"/>
    <w:basedOn w:val="DefaultParagraphFont"/>
    <w:uiPriority w:val="99"/>
    <w:semiHidden/>
    <w:unhideWhenUsed/>
    <w:rsid w:val="00881A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eesathabassum@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iaz.ahmed@measiim.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E0A9C-B366-462A-A569-078D553CE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8</Pages>
  <Words>3067</Words>
  <Characters>17482</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raeesreyy@gmail.com</dc:creator>
  <cp:lastModifiedBy>raeesreyy@gmail.com</cp:lastModifiedBy>
  <cp:revision>3</cp:revision>
  <dcterms:created xsi:type="dcterms:W3CDTF">2024-11-25T07:17:00Z</dcterms:created>
  <dcterms:modified xsi:type="dcterms:W3CDTF">2024-12-17T12:47:00Z</dcterms:modified>
</cp:coreProperties>
</file>