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LIVELIHOOD ACTIVITIES CONSTRUCTS AMONG WIVES OF FISHERMEN</w:t>
      </w:r>
    </w:p>
    <w:p w:rsidR="00000000" w:rsidDel="00000000" w:rsidP="00000000" w:rsidRDefault="00000000" w:rsidRPr="00000000" w14:paraId="00000002">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Abuloc, Cyril A. </w:t>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Angchay, Berchan Louie A.</w:t>
      </w:r>
    </w:p>
    <w:p w:rsidR="00000000" w:rsidDel="00000000" w:rsidP="00000000" w:rsidRDefault="00000000" w:rsidRPr="00000000" w14:paraId="00000005">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Mapayo, Assel M. </w:t>
      </w:r>
    </w:p>
    <w:p w:rsidR="00000000" w:rsidDel="00000000" w:rsidP="00000000" w:rsidRDefault="00000000" w:rsidRPr="00000000" w14:paraId="00000006">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Pelin, Jairah Jay M.</w:t>
      </w:r>
    </w:p>
    <w:p w:rsidR="00000000" w:rsidDel="00000000" w:rsidP="00000000" w:rsidRDefault="00000000" w:rsidRPr="00000000" w14:paraId="00000007">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Sumabat, Vann Hendrix N.</w:t>
      </w:r>
    </w:p>
    <w:p w:rsidR="00000000" w:rsidDel="00000000" w:rsidP="00000000" w:rsidRDefault="00000000" w:rsidRPr="00000000" w14:paraId="00000008">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Tongcaling, Jayzon A.</w:t>
      </w:r>
    </w:p>
    <w:p w:rsidR="00000000" w:rsidDel="00000000" w:rsidP="00000000" w:rsidRDefault="00000000" w:rsidRPr="00000000" w14:paraId="00000009">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College of Development Management  - University of Southeastern Philippines-Mintal Campus, Davao City, Philippines </w:t>
      </w:r>
    </w:p>
    <w:p w:rsidR="00000000" w:rsidDel="00000000" w:rsidP="00000000" w:rsidRDefault="00000000" w:rsidRPr="00000000" w14:paraId="0000000A">
      <w:pPr>
        <w:jc w:val="cente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explores the livelihood activities constructs among 150 fishermen's wives in </w:t>
      </w:r>
      <w:r w:rsidDel="00000000" w:rsidR="00000000" w:rsidRPr="00000000">
        <w:rPr>
          <w:rFonts w:ascii="Times New Roman" w:cs="Times New Roman" w:eastAsia="Times New Roman" w:hAnsi="Times New Roman"/>
          <w:color w:val="080809"/>
          <w:rtl w:val="0"/>
        </w:rPr>
        <w:t xml:space="preserve">Brgy. Aplaya Digos City, Davao del Sur</w:t>
      </w:r>
      <w:r w:rsidDel="00000000" w:rsidR="00000000" w:rsidRPr="00000000">
        <w:rPr>
          <w:rFonts w:ascii="Times New Roman" w:cs="Times New Roman" w:eastAsia="Times New Roman" w:hAnsi="Times New Roman"/>
          <w:rtl w:val="0"/>
        </w:rPr>
        <w:t xml:space="preserve">, emphasizing their pivotal roles in economic resilience and community development. With 150 respondents under a quantitative survey design, the researchers spotted seven livelihood constructs that emanated from factor analysis, such as  Entrepreneurial Ventures in Local Resource-based Industries, Traditional Craftmanship and Modern Entrepreneurship, Community-based and Mobile Entrepreneurship, Cultural, Aquatic, and Service-based Enterprises, Agricultural and Livestock Ventures, Marine Craftmanship and Poultry Farming, and Service-oriented Enterprises. Furthermore, this study exhibits the crucial role of technical skill training and programs and socio-economic policies that will sustain their gains.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 Fishermen wives, coastal communities, woman livelihood activities</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w:t>
      </w:r>
    </w:p>
    <w:p w:rsidR="00000000" w:rsidDel="00000000" w:rsidP="00000000" w:rsidRDefault="00000000" w:rsidRPr="00000000" w14:paraId="00000011">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roles and livelihood activities of the fishermen's wives are key components of fishing communities' economic and social structures in which these women contribute significantly to several subsistence and income-generating activities (Thomas et al., 2020). Interdependence between fishing operations and supplementary roles of fishermen's wives has led to a complex construct in balancing household duties with productive engagements vital to the livelihood resilience of the household, as stated by Lawless et al. (2019). Most small-scale fishing communities have their wives engaging in income-generating activities, either small-scale trading and processing of fish products or craft making, which generate household incomes and food security within the community (Paulus et al., 2019).</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social construct surrounding the roles of fishermen's wives is also deeply rooted in traditional gender norms, which often influence the types and scope of livelihood activities they engage in (Asravor &amp; Amevenku, 2019) and sometimes limit their potential. In the Philippines, where fishing is both a livelihood and a cultural practice, fishermen's wives contribute significantly to the local economy through various activities like fish processing, small-scale trading, and even involvement in cooperative savings groups (Quiñones et al., 2020) that provide a financial safety net These women's activities often compensate for the uncertainties of fishing, which is highly seasonal and affected by environmental fluctuations (Subade &amp; Subade, 2019) that can be unpredictable and volatile.</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Research also highlights that Filipino fishermen's wives are not only participants in the fishing industry but are central to sustaining economic activities that buffer against the vulnerability inherent in this trade (Bollido &amp; Irene, 2020) and ensure their communities' survival. Studies have documented that during the COVID-19 pandemic, fishermen's wives showed resilience by diversifying into other income and community support activities that fostered more excellent communal stability in the face of unprecedented challenges (Bollido &amp; Irene, 2020). Beyond income generation, their roles often extend to maintaining cultural heritage through knowledge sharing, as well as through efforts that preserve traditional practices related to fishing and fish processing (Pelayo et al., 2020) that are at risk of being lost. These activities contribute to household and community resilience, illustrating the multifaceted contributions of fishermen's wives in sustaining rural coastal economies and ways of life.</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In brief, the livelihood construct among fishermen's wives embodies a dynamic relationship between economic needs, traditional gender roles, and community resilience. The importance of recognition and support for the financial activities of fishermen's wives as a full-fledged part of rural development strategies is enhanced by their contributions toward household income, food security, and community cohesion. As continued research brings their resiliency and adaptability to light, it makes sense that policymakers further create capacity-building programs, social equity between genders, and enhanced sustainable livelihood options within fishing communities.</w:t>
      </w: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aims to determine the livelihood activities constructs among fishermen's wives. </w:t>
      </w:r>
      <w:r w:rsidDel="00000000" w:rsidR="00000000" w:rsidRPr="00000000">
        <w:rPr>
          <w:rFonts w:ascii="Times New Roman" w:cs="Times New Roman" w:eastAsia="Times New Roman" w:hAnsi="Times New Roman"/>
          <w:rtl w:val="0"/>
        </w:rPr>
        <w:t xml:space="preserve">This research would enhance understanding of the diverse livelihood activities undertaken by fishermen's wives, a critical yet often overlooked aspect of fishing community livelihoods. The findings from this research would contribute to the literature on fisheries livelihoods and inform the design of more inclusive and effective interventions to support the well-being of fishing communities. </w:t>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METHODOLOGY</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identified 150 fishermen's wives as the respondents. It employed a data collection tool through a 30-item questionnaire. The respondents' livelihoods were determined using  Exploratory Factor Analysis (EFA). The Kaiser–Meyer–Olkin (KMO) test assessed the dataset's sufficiency for factor analysis and correlation of the underlying factors. A KMO score closer to 1 suggests a more acceptable sample for factor analysis, implying that the variables have enough common variation to extract relevant factor information. The dataset's appropriateness for construct reduction approaches was then assessed using Bartlett's test of sphericity. The eigenvalues of the factors in descending order against the number of factors were visually depicted in a Scree plot to discover the ideal number of elements. </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RESULTS AND DISCUSSION </w:t>
      </w:r>
    </w:p>
    <w:p w:rsidR="00000000" w:rsidDel="00000000" w:rsidP="00000000" w:rsidRDefault="00000000" w:rsidRPr="00000000" w14:paraId="0000001F">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This section encompasses the analysis and interpretation of the data. The chapter dives into the results and findings of the study, utilizing the statistical software SPSS, where the KMO and Bartlett’s Test are applied. The study involved 150 respondents residing in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80809"/>
          <w:rtl w:val="0"/>
        </w:rPr>
        <w:t xml:space="preserve">Brgy. Aplaya Digos City, Davao del Sur</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KMO and Bartlett’s Test.</w:t>
      </w:r>
      <w:r w:rsidDel="00000000" w:rsidR="00000000" w:rsidRPr="00000000">
        <w:rPr>
          <w:rFonts w:ascii="Times New Roman" w:cs="Times New Roman" w:eastAsia="Times New Roman" w:hAnsi="Times New Roman"/>
          <w:rtl w:val="0"/>
        </w:rPr>
        <w:t xml:space="preserve"> Table 1 presents the results of the Kaiser-Meyer-Olkin (KMO) Measure of Sampling Adequacy and Bartlett's Test of Sphericity. The KMO score of .740 indicates that the samples exhibit strong correlations, rendering them suitable for factor analysis. Additionally, Bartlett's test of Sphericity yielded a value of 2138.102 and a significance level of less than .000, suggesting that the data is suitable for the livelihood activities constructed among the wives of fishermen. Furthermore, rejecting the null hypothesis based on Bartlett's test of Sphericity implies livelihood activities for fishermen's wives residing in </w:t>
      </w:r>
      <w:r w:rsidDel="00000000" w:rsidR="00000000" w:rsidRPr="00000000">
        <w:rPr>
          <w:rFonts w:ascii="Times New Roman" w:cs="Times New Roman" w:eastAsia="Times New Roman" w:hAnsi="Times New Roman"/>
          <w:color w:val="080809"/>
          <w:rtl w:val="0"/>
        </w:rPr>
        <w:t xml:space="preserve">Brgy. Aplaya,</w:t>
      </w:r>
      <w:r w:rsidDel="00000000" w:rsidR="00000000" w:rsidRPr="00000000">
        <w:rPr>
          <w:rFonts w:ascii="Times New Roman" w:cs="Times New Roman" w:eastAsia="Times New Roman" w:hAnsi="Times New Roman"/>
          <w:rtl w:val="0"/>
        </w:rPr>
        <w:t xml:space="preserve"> Digos City, Davao del Sur. </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Table 1. KMO and Bartlett’s Test and Scree Plot</w:t>
      </w:r>
    </w:p>
    <w:tbl>
      <w:tblPr>
        <w:tblStyle w:val="Table1"/>
        <w:tblW w:w="6585.0" w:type="dxa"/>
        <w:jc w:val="left"/>
        <w:tblInd w:w="13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40"/>
        <w:gridCol w:w="2550"/>
        <w:gridCol w:w="1095"/>
        <w:tblGridChange w:id="0">
          <w:tblGrid>
            <w:gridCol w:w="2940"/>
            <w:gridCol w:w="2550"/>
            <w:gridCol w:w="1095"/>
          </w:tblGrid>
        </w:tblGridChange>
      </w:tblGrid>
      <w:tr>
        <w:trPr>
          <w:cantSplit w:val="0"/>
          <w:trHeight w:val="375" w:hRule="atLeast"/>
          <w:tblHeader w:val="0"/>
        </w:trPr>
        <w:tc>
          <w:tcPr>
            <w:gridSpan w:val="3"/>
            <w:tcBorders>
              <w:top w:color="000000" w:space="0" w:sz="0" w:val="nil"/>
              <w:left w:color="000000" w:space="0" w:sz="0" w:val="nil"/>
              <w:bottom w:color="000000" w:space="0" w:sz="8" w:val="single"/>
              <w:right w:color="000000" w:space="0" w:sz="0" w:val="nil"/>
            </w:tcBorders>
            <w:shd w:fill="ffffff" w:val="clear"/>
            <w:tcMar>
              <w:top w:w="0.0" w:type="dxa"/>
              <w:left w:w="0.0" w:type="dxa"/>
              <w:bottom w:w="0.0" w:type="dxa"/>
              <w:right w:w="0.0" w:type="dxa"/>
            </w:tcMar>
            <w:vAlign w:val="top"/>
          </w:tcPr>
          <w:p w:rsidR="00000000" w:rsidDel="00000000" w:rsidP="00000000" w:rsidRDefault="00000000" w:rsidRPr="00000000" w14:paraId="00000025">
            <w:pPr>
              <w:spacing w:line="349.09090909090907" w:lineRule="auto"/>
              <w:ind w:left="80" w:right="60" w:firstLine="0"/>
              <w:jc w:val="both"/>
              <w:rPr>
                <w:rFonts w:ascii="Times New Roman" w:cs="Times New Roman" w:eastAsia="Times New Roman" w:hAnsi="Times New Roman"/>
                <w:b w:val="1"/>
              </w:rPr>
            </w:pPr>
            <w:r w:rsidDel="00000000" w:rsidR="00000000" w:rsidRPr="00000000">
              <w:rPr>
                <w:rtl w:val="0"/>
              </w:rPr>
            </w:r>
          </w:p>
        </w:tc>
      </w:tr>
      <w:tr>
        <w:trPr>
          <w:cantSplit w:val="0"/>
          <w:trHeight w:val="375" w:hRule="atLeast"/>
          <w:tblHeader w:val="0"/>
        </w:trPr>
        <w:tc>
          <w:tcPr>
            <w:gridSpan w:val="2"/>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8">
            <w:pPr>
              <w:spacing w:line="349.09090909090907" w:lineRule="auto"/>
              <w:ind w:left="80" w:right="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Kaiser-Meyer-Olkin Measure of Sampling Adequacy.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A">
            <w:pPr>
              <w:spacing w:line="349.09090909090907" w:lineRule="auto"/>
              <w:ind w:left="80" w:right="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.740</w:t>
            </w:r>
          </w:p>
        </w:tc>
      </w:tr>
      <w:tr>
        <w:trPr>
          <w:cantSplit w:val="0"/>
          <w:trHeight w:val="375"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B">
            <w:pPr>
              <w:spacing w:line="349.09090909090907" w:lineRule="auto"/>
              <w:ind w:left="80" w:right="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Bartlett's Test of Sphericity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C">
            <w:pPr>
              <w:spacing w:line="349.09090909090907" w:lineRule="auto"/>
              <w:ind w:left="80" w:right="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Approx. Chi-Square</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D">
            <w:pPr>
              <w:spacing w:line="349.09090909090907" w:lineRule="auto"/>
              <w:ind w:left="80" w:right="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2138.102</w:t>
            </w:r>
          </w:p>
        </w:tc>
      </w:tr>
      <w:tr>
        <w:trPr>
          <w:cantSplit w:val="0"/>
          <w:trHeight w:val="45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20" w:firstLine="0"/>
              <w:jc w:val="both"/>
              <w:rPr>
                <w:rFonts w:ascii="Times New Roman" w:cs="Times New Roman" w:eastAsia="Times New Roman" w:hAnsi="Times New Roman"/>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2F">
            <w:pPr>
              <w:spacing w:line="349.09090909090907" w:lineRule="auto"/>
              <w:ind w:left="80" w:right="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df</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0">
            <w:pPr>
              <w:spacing w:line="349.09090909090907" w:lineRule="auto"/>
              <w:ind w:left="80" w:right="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435</w:t>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ind w:left="20" w:firstLine="0"/>
              <w:jc w:val="both"/>
              <w:rPr>
                <w:rFonts w:ascii="Times New Roman" w:cs="Times New Roman" w:eastAsia="Times New Roman" w:hAnsi="Times New Roman"/>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2">
            <w:pPr>
              <w:spacing w:line="349.09090909090907" w:lineRule="auto"/>
              <w:ind w:left="80" w:right="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33">
            <w:pPr>
              <w:spacing w:line="349.09090909090907" w:lineRule="auto"/>
              <w:ind w:left="80" w:right="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bl>
    <w:p w:rsidR="00000000" w:rsidDel="00000000" w:rsidP="00000000" w:rsidRDefault="00000000" w:rsidRPr="00000000" w14:paraId="0000003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Scree Plot illustrated the total variance, and Eigenvalues plotted against all factors in a graphical manner. This plot depicts the decreasing trend of Eigenvalues and helps determine the significance of each component. The Scree Plot is a valuable tool for deciding the number of factors to retain, with the inflection point indicating where the curve flatten</w:t>
      </w:r>
      <w:r w:rsidDel="00000000" w:rsidR="00000000" w:rsidRPr="00000000">
        <w:rPr>
          <w:rFonts w:ascii="Times New Roman" w:cs="Times New Roman" w:eastAsia="Times New Roman" w:hAnsi="Times New Roman"/>
          <w:b w:val="1"/>
          <w:rtl w:val="0"/>
        </w:rPr>
        <w:t xml:space="preserve">s. </w:t>
      </w:r>
      <w:r w:rsidDel="00000000" w:rsidR="00000000" w:rsidRPr="00000000">
        <w:rPr>
          <w:rFonts w:ascii="Times New Roman" w:cs="Times New Roman" w:eastAsia="Times New Roman" w:hAnsi="Times New Roman"/>
          <w:rtl w:val="0"/>
        </w:rPr>
        <w:t xml:space="preserve">In this study, the curve starts to flatten at component number eight as Eigenvalues of less than one begin to appear. If the items of each dimension fall below the minimum threshold, the dimension will be eliminated. Consequently, the analysis retained only seven factors. </w:t>
      </w:r>
      <w:r w:rsidDel="00000000" w:rsidR="00000000" w:rsidRPr="00000000">
        <w:drawing>
          <wp:anchor allowOverlap="1" behindDoc="1" distB="114300" distT="114300" distL="114300" distR="114300" hidden="0" layoutInCell="1" locked="0" relativeHeight="0" simplePos="0">
            <wp:simplePos x="0" y="0"/>
            <wp:positionH relativeFrom="column">
              <wp:posOffset>965363</wp:posOffset>
            </wp:positionH>
            <wp:positionV relativeFrom="paragraph">
              <wp:posOffset>1371600</wp:posOffset>
            </wp:positionV>
            <wp:extent cx="3795713" cy="3024007"/>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95713" cy="3024007"/>
                    </a:xfrm>
                    <a:prstGeom prst="rect"/>
                    <a:ln/>
                  </pic:spPr>
                </pic:pic>
              </a:graphicData>
            </a:graphic>
          </wp:anchor>
        </w:drawing>
      </w:r>
    </w:p>
    <w:p w:rsidR="00000000" w:rsidDel="00000000" w:rsidP="00000000" w:rsidRDefault="00000000" w:rsidRPr="00000000" w14:paraId="0000003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1. Scree Plot Rotated Component Matrix</w:t>
      </w:r>
    </w:p>
    <w:p w:rsidR="00000000" w:rsidDel="00000000" w:rsidP="00000000" w:rsidRDefault="00000000" w:rsidRPr="00000000" w14:paraId="0000004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Rotated Component Matrix. </w:t>
      </w:r>
      <w:r w:rsidDel="00000000" w:rsidR="00000000" w:rsidRPr="00000000">
        <w:rPr>
          <w:rFonts w:ascii="Times New Roman" w:cs="Times New Roman" w:eastAsia="Times New Roman" w:hAnsi="Times New Roman"/>
          <w:rtl w:val="0"/>
        </w:rPr>
        <w:t xml:space="preserve"> Table 2 shows the attributes grouped as “Entrepreneurial Ventures in Local Resource-based Industries”. The data show that participants rated Item 5 with a score of 0.814, indicating that fisher’s wives have a significant presence at local markets, where they contribute to the availability of cooked food and snacks. Items 1 and 3 are diversifying their income sources. </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Fishermen’s wives reduce their vulnerability to the uncertainties of the fishing industry and contribute significantly to local economies. These constructs focus on the diverse activity of </w:t>
      </w:r>
      <w:r w:rsidDel="00000000" w:rsidR="00000000" w:rsidRPr="00000000">
        <w:rPr>
          <w:rFonts w:ascii="Times New Roman" w:cs="Times New Roman" w:eastAsia="Times New Roman" w:hAnsi="Times New Roman"/>
          <w:i w:val="1"/>
          <w:rtl w:val="0"/>
        </w:rPr>
        <w:t xml:space="preserve">food processing, handicrafts, seaweed farming, and agricultural practices, all reflecting local, resource-driven entrepreneurship</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Fisher’s wives in coastal communities often engage in food processing, such as drying, salting, and smoking fish, to ensure year-round income from seafood (Sunter &amp; Mol, 2018). </w:t>
      </w:r>
      <w:r w:rsidDel="00000000" w:rsidR="00000000" w:rsidRPr="00000000">
        <w:rPr>
          <w:rFonts w:ascii="Times New Roman" w:cs="Times New Roman" w:eastAsia="Times New Roman" w:hAnsi="Times New Roman"/>
          <w:rtl w:val="0"/>
        </w:rPr>
        <w:t xml:space="preserve">The contributions also include gardening, as iterated by Macusi et al. (2023), when women improve household food security and increase earnings through the cultivation of vegetables and management of agricultural resources such as cornfields and coconut farms. Etnayanti and Zubair (2020) also emphasize the role of women in coconut processing for copra and oil, showcasing the effective use of local resources for trade and household needs. Furthermore, small-scale retail ventures, such as sari-sari stores, underline women’s pivotal economic role in providing essential goods and services (Macusi et al., 2023). These collective studies affirm that women's livelihoods are crucial for socio-economic stability and sustainability within such communities, hence the need to call for improved support mechanisms to empower women in these roles.</w:t>
      </w:r>
    </w:p>
    <w:p w:rsidR="00000000" w:rsidDel="00000000" w:rsidP="00000000" w:rsidRDefault="00000000" w:rsidRPr="00000000" w14:paraId="0000004F">
      <w:pPr>
        <w:jc w:val="both"/>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Table 2: Rotated component matrix with grouped attributes of Entrepreneurial Ventures in Local Resource-based Industries</w:t>
      </w:r>
      <w:r w:rsidDel="00000000" w:rsidR="00000000" w:rsidRPr="00000000">
        <w:rPr>
          <w:rtl w:val="0"/>
        </w:rPr>
      </w:r>
    </w:p>
    <w:tbl>
      <w:tblPr>
        <w:tblStyle w:val="Table2"/>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5895"/>
        <w:gridCol w:w="1245"/>
        <w:tblGridChange w:id="0">
          <w:tblGrid>
            <w:gridCol w:w="1860"/>
            <w:gridCol w:w="589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Attributes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Loading</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Entrepreneurial Ventures  in Local Resource-based Industries</w:t>
            </w:r>
          </w:p>
          <w:p w:rsidR="00000000" w:rsidDel="00000000" w:rsidP="00000000" w:rsidRDefault="00000000" w:rsidRPr="00000000" w14:paraId="00000059">
            <w:pPr>
              <w:jc w:val="center"/>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5 - I sell </w:t>
            </w:r>
            <w:r w:rsidDel="00000000" w:rsidR="00000000" w:rsidRPr="00000000">
              <w:rPr>
                <w:rFonts w:ascii="Times New Roman" w:cs="Times New Roman" w:eastAsia="Times New Roman" w:hAnsi="Times New Roman"/>
                <w:i w:val="1"/>
                <w:rtl w:val="0"/>
              </w:rPr>
              <w:t xml:space="preserve">cooked food</w:t>
            </w:r>
            <w:r w:rsidDel="00000000" w:rsidR="00000000" w:rsidRPr="00000000">
              <w:rPr>
                <w:rFonts w:ascii="Times New Roman" w:cs="Times New Roman" w:eastAsia="Times New Roman" w:hAnsi="Times New Roman"/>
                <w:rtl w:val="0"/>
              </w:rPr>
              <w:t xml:space="preserve"> items or snacks at local markets.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.814</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5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1 - I participate in </w:t>
            </w:r>
            <w:r w:rsidDel="00000000" w:rsidR="00000000" w:rsidRPr="00000000">
              <w:rPr>
                <w:rFonts w:ascii="Times New Roman" w:cs="Times New Roman" w:eastAsia="Times New Roman" w:hAnsi="Times New Roman"/>
                <w:i w:val="1"/>
                <w:rtl w:val="0"/>
              </w:rPr>
              <w:t xml:space="preserve">fish processing</w:t>
            </w:r>
            <w:r w:rsidDel="00000000" w:rsidR="00000000" w:rsidRPr="00000000">
              <w:rPr>
                <w:rFonts w:ascii="Times New Roman" w:cs="Times New Roman" w:eastAsia="Times New Roman" w:hAnsi="Times New Roman"/>
                <w:rtl w:val="0"/>
              </w:rPr>
              <w:t xml:space="preserve"> (cleaning, drying, or smoking 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.779</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3 - I create </w:t>
            </w:r>
            <w:r w:rsidDel="00000000" w:rsidR="00000000" w:rsidRPr="00000000">
              <w:rPr>
                <w:rFonts w:ascii="Times New Roman" w:cs="Times New Roman" w:eastAsia="Times New Roman" w:hAnsi="Times New Roman"/>
                <w:i w:val="1"/>
                <w:rtl w:val="0"/>
              </w:rPr>
              <w:t xml:space="preserve">handicrafts</w:t>
            </w:r>
            <w:r w:rsidDel="00000000" w:rsidR="00000000" w:rsidRPr="00000000">
              <w:rPr>
                <w:rFonts w:ascii="Times New Roman" w:cs="Times New Roman" w:eastAsia="Times New Roman" w:hAnsi="Times New Roman"/>
                <w:rtl w:val="0"/>
              </w:rPr>
              <w:t xml:space="preserve"> such as woven baskets or mats.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.748</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2 - I engage in </w:t>
            </w:r>
            <w:r w:rsidDel="00000000" w:rsidR="00000000" w:rsidRPr="00000000">
              <w:rPr>
                <w:rFonts w:ascii="Times New Roman" w:cs="Times New Roman" w:eastAsia="Times New Roman" w:hAnsi="Times New Roman"/>
                <w:i w:val="1"/>
                <w:rtl w:val="0"/>
              </w:rPr>
              <w:t xml:space="preserve">seaweed farming</w:t>
            </w:r>
            <w:r w:rsidDel="00000000" w:rsidR="00000000" w:rsidRPr="00000000">
              <w:rPr>
                <w:rFonts w:ascii="Times New Roman" w:cs="Times New Roman" w:eastAsia="Times New Roman" w:hAnsi="Times New Roman"/>
                <w:rtl w:val="0"/>
              </w:rPr>
              <w:t xml:space="preserve"> for sale.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.699</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Item 7 - I process </w:t>
            </w:r>
            <w:r w:rsidDel="00000000" w:rsidR="00000000" w:rsidRPr="00000000">
              <w:rPr>
                <w:rFonts w:ascii="Times New Roman" w:cs="Times New Roman" w:eastAsia="Times New Roman" w:hAnsi="Times New Roman"/>
                <w:i w:val="1"/>
                <w:rtl w:val="0"/>
              </w:rPr>
              <w:t xml:space="preserve">coconuts</w:t>
            </w:r>
            <w:r w:rsidDel="00000000" w:rsidR="00000000" w:rsidRPr="00000000">
              <w:rPr>
                <w:rFonts w:ascii="Times New Roman" w:cs="Times New Roman" w:eastAsia="Times New Roman" w:hAnsi="Times New Roman"/>
                <w:rtl w:val="0"/>
              </w:rPr>
              <w:t xml:space="preserve"> for products like copra or coconut oil.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.659</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Item 6 - I practice </w:t>
            </w:r>
            <w:r w:rsidDel="00000000" w:rsidR="00000000" w:rsidRPr="00000000">
              <w:rPr>
                <w:rFonts w:ascii="Times New Roman" w:cs="Times New Roman" w:eastAsia="Times New Roman" w:hAnsi="Times New Roman"/>
                <w:i w:val="1"/>
                <w:rtl w:val="0"/>
              </w:rPr>
              <w:t xml:space="preserve">gardening</w:t>
            </w:r>
            <w:r w:rsidDel="00000000" w:rsidR="00000000" w:rsidRPr="00000000">
              <w:rPr>
                <w:rFonts w:ascii="Times New Roman" w:cs="Times New Roman" w:eastAsia="Times New Roman" w:hAnsi="Times New Roman"/>
                <w:rtl w:val="0"/>
              </w:rPr>
              <w:t xml:space="preserve"> to grow vegetables and herbs.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.640</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4 - I operate a </w:t>
            </w:r>
            <w:r w:rsidDel="00000000" w:rsidR="00000000" w:rsidRPr="00000000">
              <w:rPr>
                <w:rFonts w:ascii="Times New Roman" w:cs="Times New Roman" w:eastAsia="Times New Roman" w:hAnsi="Times New Roman"/>
                <w:i w:val="1"/>
                <w:rtl w:val="0"/>
              </w:rPr>
              <w:t xml:space="preserve">sari-sari store</w:t>
            </w:r>
            <w:r w:rsidDel="00000000" w:rsidR="00000000" w:rsidRPr="00000000">
              <w:rPr>
                <w:rFonts w:ascii="Times New Roman" w:cs="Times New Roman" w:eastAsia="Times New Roman" w:hAnsi="Times New Roman"/>
                <w:rtl w:val="0"/>
              </w:rPr>
              <w:t xml:space="preserve"> to sell everyday goods.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.508</w:t>
            </w:r>
          </w:p>
        </w:tc>
      </w:tr>
    </w:tbl>
    <w:p w:rsidR="00000000" w:rsidDel="00000000" w:rsidP="00000000" w:rsidRDefault="00000000" w:rsidRPr="00000000" w14:paraId="0000006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3 shows items 25, 26, 24, 27, and 23 highlight the blend of traditional skills (</w:t>
      </w:r>
      <w:r w:rsidDel="00000000" w:rsidR="00000000" w:rsidRPr="00000000">
        <w:rPr>
          <w:rFonts w:ascii="Times New Roman" w:cs="Times New Roman" w:eastAsia="Times New Roman" w:hAnsi="Times New Roman"/>
          <w:i w:val="1"/>
          <w:rtl w:val="0"/>
        </w:rPr>
        <w:t xml:space="preserve">craft workshops, herbal remedies, local beverages, live seafood</w:t>
      </w:r>
      <w:r w:rsidDel="00000000" w:rsidR="00000000" w:rsidRPr="00000000">
        <w:rPr>
          <w:rFonts w:ascii="Times New Roman" w:cs="Times New Roman" w:eastAsia="Times New Roman" w:hAnsi="Times New Roman"/>
          <w:rtl w:val="0"/>
        </w:rPr>
        <w:t xml:space="preserve">) with modern business practices (social media for selling), reflecting a dynamic entrepreneurial approach. </w:t>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results highlight a blend of traditional artisanal practices, such as making local beverages and selling herbal medicine, alongside more modern entrepreneurial strategies, such as utilizing social media for online sales. The relatively high factor loadings for items like conducting workshops and selling local products directly suggest that entrepreneurs in this category are combining cultural heritage with innovative business approaches. </w:t>
      </w:r>
    </w:p>
    <w:p w:rsidR="00000000" w:rsidDel="00000000" w:rsidP="00000000" w:rsidRDefault="00000000" w:rsidRPr="00000000" w14:paraId="00000072">
      <w:pPr>
        <w:jc w:val="both"/>
        <w:rPr>
          <w:rFonts w:ascii="Roboto" w:cs="Roboto" w:eastAsia="Roboto" w:hAnsi="Roboto"/>
          <w:color w:val="131314"/>
          <w:sz w:val="21"/>
          <w:szCs w:val="21"/>
          <w:highlight w:val="white"/>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rtl w:val="0"/>
        </w:rPr>
        <w:t xml:space="preserve">Smith, J., &amp; Johnson, A. (2022) stated that "Fishermen's wives demonstrate a unique blend of tradition and innovation, leveraging local resources and modern entrepreneurial strategies to strengthen both their households and local economies." </w:t>
      </w:r>
      <w:r w:rsidDel="00000000" w:rsidR="00000000" w:rsidRPr="00000000">
        <w:rPr>
          <w:rFonts w:ascii="Times New Roman" w:cs="Times New Roman" w:eastAsia="Times New Roman" w:hAnsi="Times New Roman"/>
          <w:rtl w:val="0"/>
        </w:rPr>
        <w:t xml:space="preserve">Beyond food-related enterprises, women engage in activities that balance economic and environmental goals. Sahidu et al. (2021) discuss craft workshops and women-led recycling projects that generate incomes while nurturing environmental stewardship. In like manner, Ogbu et al. (2023) highlight, in Southwest Nigeria, the ingenuity of female herbal producers who tap their traditional knowledge into herbal medicine production and sales in most crises. An engagement in online selling, also explored by Luckman and Andrew (n.d.), further extends women's economic opportunities by enabling them to balance domestic responsibilities with their entrepreneurship endeavors. These findings viewed in aggregation illustrate the adaptability of women in innovation in confronting challenges of a socio-economic nature while promoting household and community resilience</w:t>
      </w:r>
      <w:r w:rsidDel="00000000" w:rsidR="00000000" w:rsidRPr="00000000">
        <w:rPr>
          <w:rFonts w:ascii="Times New Roman" w:cs="Times New Roman" w:eastAsia="Times New Roman" w:hAnsi="Times New Roman"/>
          <w:color w:val="0000ff"/>
          <w:rtl w:val="0"/>
        </w:rPr>
        <w:t xml:space="preserve">.</w:t>
      </w:r>
    </w:p>
    <w:p w:rsidR="00000000" w:rsidDel="00000000" w:rsidP="00000000" w:rsidRDefault="00000000" w:rsidRPr="00000000" w14:paraId="0000007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Table 3: Rotated component matrix with grouped attributes of  Traditional Craftmanship and Modern Entrepreneurship </w:t>
      </w:r>
      <w:r w:rsidDel="00000000" w:rsidR="00000000" w:rsidRPr="00000000">
        <w:rPr>
          <w:rtl w:val="0"/>
        </w:rPr>
      </w:r>
    </w:p>
    <w:tbl>
      <w:tblPr>
        <w:tblStyle w:val="Table3"/>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5895"/>
        <w:gridCol w:w="1245"/>
        <w:tblGridChange w:id="0">
          <w:tblGrid>
            <w:gridCol w:w="1860"/>
            <w:gridCol w:w="589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Attributes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Loading</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widowControl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widowControl w:val="0"/>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Traditional Craftmanship and Modern Entrepreneurship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25 -  I conduct </w:t>
            </w:r>
            <w:r w:rsidDel="00000000" w:rsidR="00000000" w:rsidRPr="00000000">
              <w:rPr>
                <w:rFonts w:ascii="Times New Roman" w:cs="Times New Roman" w:eastAsia="Times New Roman" w:hAnsi="Times New Roman"/>
                <w:i w:val="1"/>
                <w:rtl w:val="0"/>
              </w:rPr>
              <w:t xml:space="preserve">craft workshops</w:t>
            </w:r>
            <w:r w:rsidDel="00000000" w:rsidR="00000000" w:rsidRPr="00000000">
              <w:rPr>
                <w:rFonts w:ascii="Times New Roman" w:cs="Times New Roman" w:eastAsia="Times New Roman" w:hAnsi="Times New Roman"/>
                <w:rtl w:val="0"/>
              </w:rPr>
              <w:t xml:space="preserve"> to teach skills to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.793</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after="0" w:before="0" w:line="240" w:lineRule="auto"/>
              <w:ind w:left="0" w:firstLine="0"/>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8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26 - I make and sell </w:t>
            </w:r>
            <w:r w:rsidDel="00000000" w:rsidR="00000000" w:rsidRPr="00000000">
              <w:rPr>
                <w:rFonts w:ascii="Times New Roman" w:cs="Times New Roman" w:eastAsia="Times New Roman" w:hAnsi="Times New Roman"/>
                <w:i w:val="1"/>
                <w:rtl w:val="0"/>
              </w:rPr>
              <w:t xml:space="preserve">local beverages</w:t>
            </w:r>
            <w:r w:rsidDel="00000000" w:rsidR="00000000" w:rsidRPr="00000000">
              <w:rPr>
                <w:rFonts w:ascii="Times New Roman" w:cs="Times New Roman" w:eastAsia="Times New Roman" w:hAnsi="Times New Roman"/>
                <w:rtl w:val="0"/>
              </w:rPr>
              <w:t xml:space="preserve"> like tuba (coconut wine).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before="0" w:line="240" w:lineRule="auto"/>
              <w:ind w:left="0" w:firstLine="0"/>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24 - I prepare and sell </w:t>
            </w:r>
            <w:r w:rsidDel="00000000" w:rsidR="00000000" w:rsidRPr="00000000">
              <w:rPr>
                <w:rFonts w:ascii="Times New Roman" w:cs="Times New Roman" w:eastAsia="Times New Roman" w:hAnsi="Times New Roman"/>
                <w:i w:val="1"/>
                <w:rtl w:val="0"/>
              </w:rPr>
              <w:t xml:space="preserve">herbal medicine</w:t>
            </w:r>
            <w:r w:rsidDel="00000000" w:rsidR="00000000" w:rsidRPr="00000000">
              <w:rPr>
                <w:rFonts w:ascii="Times New Roman" w:cs="Times New Roman" w:eastAsia="Times New Roman" w:hAnsi="Times New Roman"/>
                <w:rtl w:val="0"/>
              </w:rPr>
              <w:t xml:space="preserve"> or traditional remedies.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.776</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before="0" w:line="240" w:lineRule="auto"/>
              <w:ind w:left="0" w:firstLine="0"/>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27 - I utilize social media for the </w:t>
            </w:r>
            <w:r w:rsidDel="00000000" w:rsidR="00000000" w:rsidRPr="00000000">
              <w:rPr>
                <w:rFonts w:ascii="Times New Roman" w:cs="Times New Roman" w:eastAsia="Times New Roman" w:hAnsi="Times New Roman"/>
                <w:i w:val="1"/>
                <w:rtl w:val="0"/>
              </w:rPr>
              <w:t xml:space="preserve">online selling</w:t>
            </w:r>
            <w:r w:rsidDel="00000000" w:rsidR="00000000" w:rsidRPr="00000000">
              <w:rPr>
                <w:rFonts w:ascii="Times New Roman" w:cs="Times New Roman" w:eastAsia="Times New Roman" w:hAnsi="Times New Roman"/>
                <w:rtl w:val="0"/>
              </w:rPr>
              <w:t xml:space="preserve"> of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.688</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after="0" w:before="0" w:line="240" w:lineRule="auto"/>
              <w:ind w:left="0" w:firstLine="0"/>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23 - I sell </w:t>
            </w:r>
            <w:r w:rsidDel="00000000" w:rsidR="00000000" w:rsidRPr="00000000">
              <w:rPr>
                <w:rFonts w:ascii="Times New Roman" w:cs="Times New Roman" w:eastAsia="Times New Roman" w:hAnsi="Times New Roman"/>
                <w:i w:val="1"/>
                <w:rtl w:val="0"/>
              </w:rPr>
              <w:t xml:space="preserve">live seafood</w:t>
            </w:r>
            <w:r w:rsidDel="00000000" w:rsidR="00000000" w:rsidRPr="00000000">
              <w:rPr>
                <w:rFonts w:ascii="Times New Roman" w:cs="Times New Roman" w:eastAsia="Times New Roman" w:hAnsi="Times New Roman"/>
                <w:rtl w:val="0"/>
              </w:rPr>
              <w:t xml:space="preserve"> directly to consumers.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.587</w:t>
            </w:r>
          </w:p>
        </w:tc>
      </w:tr>
    </w:tbl>
    <w:p w:rsidR="00000000" w:rsidDel="00000000" w:rsidP="00000000" w:rsidRDefault="00000000" w:rsidRPr="00000000" w14:paraId="0000008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4 shows that Items 21, 20, 19, and 22 capture the essence of providing essential services (laundry, firewood, tourism guiding) and </w:t>
      </w:r>
      <w:r w:rsidDel="00000000" w:rsidR="00000000" w:rsidRPr="00000000">
        <w:rPr>
          <w:rFonts w:ascii="Times New Roman" w:cs="Times New Roman" w:eastAsia="Times New Roman" w:hAnsi="Times New Roman"/>
          <w:i w:val="1"/>
          <w:rtl w:val="0"/>
        </w:rPr>
        <w:t xml:space="preserve">mobile sales, focusing on local, community-oriente</w:t>
      </w:r>
      <w:r w:rsidDel="00000000" w:rsidR="00000000" w:rsidRPr="00000000">
        <w:rPr>
          <w:rFonts w:ascii="Times New Roman" w:cs="Times New Roman" w:eastAsia="Times New Roman" w:hAnsi="Times New Roman"/>
          <w:rtl w:val="0"/>
        </w:rPr>
        <w:t xml:space="preserve">d business practices. The high factor loading of .852 for </w:t>
      </w:r>
      <w:r w:rsidDel="00000000" w:rsidR="00000000" w:rsidRPr="00000000">
        <w:rPr>
          <w:rFonts w:ascii="Times New Roman" w:cs="Times New Roman" w:eastAsia="Times New Roman" w:hAnsi="Times New Roman"/>
          <w:i w:val="1"/>
          <w:rtl w:val="0"/>
        </w:rPr>
        <w:t xml:space="preserve">Item 21</w:t>
      </w:r>
      <w:r w:rsidDel="00000000" w:rsidR="00000000" w:rsidRPr="00000000">
        <w:rPr>
          <w:rFonts w:ascii="Times New Roman" w:cs="Times New Roman" w:eastAsia="Times New Roman" w:hAnsi="Times New Roman"/>
          <w:rtl w:val="0"/>
        </w:rPr>
        <w:t xml:space="preserve"> indicates that fishermen’s wives in the community often rely on mobility to reach customers. Pushcarts, mobile markets, and other mobile business models are integral to providing goods and services in local settings where access to permanent retail spaces may be limited. </w:t>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quoted by </w:t>
      </w:r>
      <w:r w:rsidDel="00000000" w:rsidR="00000000" w:rsidRPr="00000000">
        <w:rPr>
          <w:rFonts w:ascii="Times New Roman" w:cs="Times New Roman" w:eastAsia="Times New Roman" w:hAnsi="Times New Roman"/>
          <w:highlight w:val="white"/>
          <w:rtl w:val="0"/>
        </w:rPr>
        <w:t xml:space="preserve">Fesanrey, W. &amp; Umanail, M. (2020),</w:t>
      </w:r>
      <w:r w:rsidDel="00000000" w:rsidR="00000000" w:rsidRPr="00000000">
        <w:rPr>
          <w:rFonts w:ascii="Times New Roman" w:cs="Times New Roman" w:eastAsia="Times New Roman" w:hAnsi="Times New Roman"/>
          <w:rtl w:val="0"/>
        </w:rPr>
        <w:t xml:space="preserve"> “ Another possibility that has led to an increase in women's participation in the workforce is the expansion of employment opportunities that can absorb female workers, for example, the emergence of handicrafts and light industry”. </w:t>
      </w:r>
    </w:p>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Gustavsson (2024), women in fishing communities take on a double role by negotiating entrepreneurship with expectations linked to the concept of female being. This aspect has appeared in the balance that women seek between acting as supportive partners and successful businesswomen as a function of economic agency, interplaying with traditional gender norms.</w:t>
      </w:r>
    </w:p>
    <w:p w:rsidR="00000000" w:rsidDel="00000000" w:rsidP="00000000" w:rsidRDefault="00000000" w:rsidRPr="00000000" w14:paraId="0000009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Table 4: Rotated component matrix with grouped attributes of Community-based and Mobile Entrepreneurship</w:t>
      </w:r>
      <w:r w:rsidDel="00000000" w:rsidR="00000000" w:rsidRPr="00000000">
        <w:rPr>
          <w:rtl w:val="0"/>
        </w:rPr>
      </w:r>
    </w:p>
    <w:tbl>
      <w:tblPr>
        <w:tblStyle w:val="Table4"/>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5895"/>
        <w:gridCol w:w="1245"/>
        <w:tblGridChange w:id="0">
          <w:tblGrid>
            <w:gridCol w:w="1860"/>
            <w:gridCol w:w="589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Attributes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Loading</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rtl w:val="0"/>
              </w:rPr>
              <w:t xml:space="preserve">ommunity-based and Mobile Entrepreneurship</w:t>
            </w:r>
          </w:p>
          <w:p w:rsidR="00000000" w:rsidDel="00000000" w:rsidP="00000000" w:rsidRDefault="00000000" w:rsidRPr="00000000" w14:paraId="00000099">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21 - I sell goods through </w:t>
            </w:r>
            <w:r w:rsidDel="00000000" w:rsidR="00000000" w:rsidRPr="00000000">
              <w:rPr>
                <w:rFonts w:ascii="Times New Roman" w:cs="Times New Roman" w:eastAsia="Times New Roman" w:hAnsi="Times New Roman"/>
                <w:i w:val="1"/>
                <w:rtl w:val="0"/>
              </w:rPr>
              <w:t xml:space="preserve">mobile markets</w:t>
            </w:r>
            <w:r w:rsidDel="00000000" w:rsidR="00000000" w:rsidRPr="00000000">
              <w:rPr>
                <w:rFonts w:ascii="Times New Roman" w:cs="Times New Roman" w:eastAsia="Times New Roman" w:hAnsi="Times New Roman"/>
                <w:rtl w:val="0"/>
              </w:rPr>
              <w:t xml:space="preserve"> or pushcarts.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9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20 -  I offer </w:t>
            </w:r>
            <w:r w:rsidDel="00000000" w:rsidR="00000000" w:rsidRPr="00000000">
              <w:rPr>
                <w:rFonts w:ascii="Times New Roman" w:cs="Times New Roman" w:eastAsia="Times New Roman" w:hAnsi="Times New Roman"/>
                <w:i w:val="1"/>
                <w:rtl w:val="0"/>
              </w:rPr>
              <w:t xml:space="preserve">laundry services</w:t>
            </w:r>
            <w:r w:rsidDel="00000000" w:rsidR="00000000" w:rsidRPr="00000000">
              <w:rPr>
                <w:rFonts w:ascii="Times New Roman" w:cs="Times New Roman" w:eastAsia="Times New Roman" w:hAnsi="Times New Roman"/>
                <w:rtl w:val="0"/>
              </w:rPr>
              <w:t xml:space="preserve"> to the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.768</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19 -  I engage in </w:t>
            </w:r>
            <w:r w:rsidDel="00000000" w:rsidR="00000000" w:rsidRPr="00000000">
              <w:rPr>
                <w:rFonts w:ascii="Times New Roman" w:cs="Times New Roman" w:eastAsia="Times New Roman" w:hAnsi="Times New Roman"/>
                <w:i w:val="1"/>
                <w:rtl w:val="0"/>
              </w:rPr>
              <w:t xml:space="preserve">tourism-related activities</w:t>
            </w:r>
            <w:r w:rsidDel="00000000" w:rsidR="00000000" w:rsidRPr="00000000">
              <w:rPr>
                <w:rFonts w:ascii="Times New Roman" w:cs="Times New Roman" w:eastAsia="Times New Roman" w:hAnsi="Times New Roman"/>
                <w:rtl w:val="0"/>
              </w:rPr>
              <w:t xml:space="preserve">, such as guiding tourists.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.719</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22 - I collect and sell </w:t>
            </w:r>
            <w:r w:rsidDel="00000000" w:rsidR="00000000" w:rsidRPr="00000000">
              <w:rPr>
                <w:rFonts w:ascii="Times New Roman" w:cs="Times New Roman" w:eastAsia="Times New Roman" w:hAnsi="Times New Roman"/>
                <w:i w:val="1"/>
                <w:rtl w:val="0"/>
              </w:rPr>
              <w:t xml:space="preserve">firewood</w:t>
            </w:r>
            <w:r w:rsidDel="00000000" w:rsidR="00000000" w:rsidRPr="00000000">
              <w:rPr>
                <w:rFonts w:ascii="Times New Roman" w:cs="Times New Roman" w:eastAsia="Times New Roman" w:hAnsi="Times New Roman"/>
                <w:rtl w:val="0"/>
              </w:rPr>
              <w:t xml:space="preserve"> to households.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.712</w:t>
            </w:r>
          </w:p>
        </w:tc>
      </w:tr>
    </w:tbl>
    <w:p w:rsidR="00000000" w:rsidDel="00000000" w:rsidP="00000000" w:rsidRDefault="00000000" w:rsidRPr="00000000" w14:paraId="000000A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5 presents the grouped attributes related to </w:t>
      </w:r>
      <w:r w:rsidDel="00000000" w:rsidR="00000000" w:rsidRPr="00000000">
        <w:rPr>
          <w:rFonts w:ascii="Times New Roman" w:cs="Times New Roman" w:eastAsia="Times New Roman" w:hAnsi="Times New Roman"/>
          <w:i w:val="1"/>
          <w:rtl w:val="0"/>
        </w:rPr>
        <w:t xml:space="preserve">Cultural, Aquatic, and Service-based Enterprises in the Community</w:t>
      </w:r>
      <w:r w:rsidDel="00000000" w:rsidR="00000000" w:rsidRPr="00000000">
        <w:rPr>
          <w:rFonts w:ascii="Times New Roman" w:cs="Times New Roman" w:eastAsia="Times New Roman" w:hAnsi="Times New Roman"/>
          <w:rtl w:val="0"/>
        </w:rPr>
        <w:t xml:space="preserve">. Item 16 has the highest loading of .811, suggesting that cultural performances are a significant activity tied to community enterprises. Item 17 strongly relates to repair services in the community with a loading of 0.726. Item 15, related to food-based services, has a moderate to strong loading of 0.650, showing its importance to community enterprises. Item 14, linked to aquaculture, has a moderate loading of 0.645, indicating its role in broader community activities. Finally, Itaem 18 has the lowest loading but still contributes to service-based enterprises in the community.</w:t>
      </w:r>
    </w:p>
    <w:p w:rsidR="00000000" w:rsidDel="00000000" w:rsidP="00000000" w:rsidRDefault="00000000" w:rsidRPr="00000000" w14:paraId="000000A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The study by Kwena, Z., et al (2022) explained that “Most women were engaged in livelihood activities that required them to be mobile in search of income-generating opportunities to support their families. We categorized women's mobility in the fishing communities over long and short distances or different periods depending on the business they were involved in.” </w:t>
      </w: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A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Table 5: Rotated component matrix with grouped attributes of Cultural, Aquatic, and Service-based Enterprises </w:t>
      </w:r>
      <w:r w:rsidDel="00000000" w:rsidR="00000000" w:rsidRPr="00000000">
        <w:rPr>
          <w:rtl w:val="0"/>
        </w:rPr>
      </w:r>
    </w:p>
    <w:tbl>
      <w:tblPr>
        <w:tblStyle w:val="Table5"/>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5895"/>
        <w:gridCol w:w="1245"/>
        <w:tblGridChange w:id="0">
          <w:tblGrid>
            <w:gridCol w:w="1860"/>
            <w:gridCol w:w="589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Attributes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Loading</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Cultural, Aquatic, and Service-based Enterprises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16 - I participate in </w:t>
            </w:r>
            <w:r w:rsidDel="00000000" w:rsidR="00000000" w:rsidRPr="00000000">
              <w:rPr>
                <w:rFonts w:ascii="Times New Roman" w:cs="Times New Roman" w:eastAsia="Times New Roman" w:hAnsi="Times New Roman"/>
                <w:i w:val="1"/>
                <w:rtl w:val="0"/>
              </w:rPr>
              <w:t xml:space="preserve">cultural performances</w:t>
            </w:r>
            <w:r w:rsidDel="00000000" w:rsidR="00000000" w:rsidRPr="00000000">
              <w:rPr>
                <w:rFonts w:ascii="Times New Roman" w:cs="Times New Roman" w:eastAsia="Times New Roman" w:hAnsi="Times New Roman"/>
                <w:rtl w:val="0"/>
              </w:rPr>
              <w:t xml:space="preserve"> during festivals for income.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.811</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B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17 - I offer </w:t>
            </w:r>
            <w:r w:rsidDel="00000000" w:rsidR="00000000" w:rsidRPr="00000000">
              <w:rPr>
                <w:rFonts w:ascii="Times New Roman" w:cs="Times New Roman" w:eastAsia="Times New Roman" w:hAnsi="Times New Roman"/>
                <w:i w:val="1"/>
                <w:rtl w:val="0"/>
              </w:rPr>
              <w:t xml:space="preserve">repair services</w:t>
            </w:r>
            <w:r w:rsidDel="00000000" w:rsidR="00000000" w:rsidRPr="00000000">
              <w:rPr>
                <w:rFonts w:ascii="Times New Roman" w:cs="Times New Roman" w:eastAsia="Times New Roman" w:hAnsi="Times New Roman"/>
                <w:rtl w:val="0"/>
              </w:rPr>
              <w:t xml:space="preserve"> for fishing gear or household items.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.726</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15 - I sell traditional </w:t>
            </w:r>
            <w:r w:rsidDel="00000000" w:rsidR="00000000" w:rsidRPr="00000000">
              <w:rPr>
                <w:rFonts w:ascii="Times New Roman" w:cs="Times New Roman" w:eastAsia="Times New Roman" w:hAnsi="Times New Roman"/>
                <w:i w:val="1"/>
                <w:rtl w:val="0"/>
              </w:rPr>
              <w:t xml:space="preserve">cooked dishes</w:t>
            </w:r>
            <w:r w:rsidDel="00000000" w:rsidR="00000000" w:rsidRPr="00000000">
              <w:rPr>
                <w:rFonts w:ascii="Times New Roman" w:cs="Times New Roman" w:eastAsia="Times New Roman" w:hAnsi="Times New Roman"/>
                <w:rtl w:val="0"/>
              </w:rPr>
              <w:t xml:space="preserve"> to the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.650</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14 - I practice</w:t>
            </w:r>
            <w:r w:rsidDel="00000000" w:rsidR="00000000" w:rsidRPr="00000000">
              <w:rPr>
                <w:rFonts w:ascii="Times New Roman" w:cs="Times New Roman" w:eastAsia="Times New Roman" w:hAnsi="Times New Roman"/>
                <w:i w:val="1"/>
                <w:rtl w:val="0"/>
              </w:rPr>
              <w:t xml:space="preserve"> aquaculture</w:t>
            </w:r>
            <w:r w:rsidDel="00000000" w:rsidR="00000000" w:rsidRPr="00000000">
              <w:rPr>
                <w:rFonts w:ascii="Times New Roman" w:cs="Times New Roman" w:eastAsia="Times New Roman" w:hAnsi="Times New Roman"/>
                <w:rtl w:val="0"/>
              </w:rPr>
              <w:t xml:space="preserve"> by raising fish or shrimp.</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.645</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18 - I provide </w:t>
            </w:r>
            <w:r w:rsidDel="00000000" w:rsidR="00000000" w:rsidRPr="00000000">
              <w:rPr>
                <w:rFonts w:ascii="Times New Roman" w:cs="Times New Roman" w:eastAsia="Times New Roman" w:hAnsi="Times New Roman"/>
                <w:i w:val="1"/>
                <w:rtl w:val="0"/>
              </w:rPr>
              <w:t xml:space="preserve">house cleaning services</w:t>
            </w:r>
            <w:r w:rsidDel="00000000" w:rsidR="00000000" w:rsidRPr="00000000">
              <w:rPr>
                <w:rFonts w:ascii="Times New Roman" w:cs="Times New Roman" w:eastAsia="Times New Roman" w:hAnsi="Times New Roman"/>
                <w:rtl w:val="0"/>
              </w:rPr>
              <w:t xml:space="preserve"> for homes or businesses.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.573</w:t>
            </w:r>
          </w:p>
        </w:tc>
      </w:tr>
    </w:tbl>
    <w:p w:rsidR="00000000" w:rsidDel="00000000" w:rsidP="00000000" w:rsidRDefault="00000000" w:rsidRPr="00000000" w14:paraId="000000C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6 presents the grouped attributes relating to the </w:t>
      </w:r>
      <w:r w:rsidDel="00000000" w:rsidR="00000000" w:rsidRPr="00000000">
        <w:rPr>
          <w:rFonts w:ascii="Times New Roman" w:cs="Times New Roman" w:eastAsia="Times New Roman" w:hAnsi="Times New Roman"/>
          <w:rtl w:val="0"/>
        </w:rPr>
        <w:t xml:space="preserve">Agricultural and Livestock Ventures in Local Food Production. This factor shows the diverse agricultural activities (</w:t>
      </w:r>
      <w:r w:rsidDel="00000000" w:rsidR="00000000" w:rsidRPr="00000000">
        <w:rPr>
          <w:rFonts w:ascii="Times New Roman" w:cs="Times New Roman" w:eastAsia="Times New Roman" w:hAnsi="Times New Roman"/>
          <w:i w:val="1"/>
          <w:rtl w:val="0"/>
        </w:rPr>
        <w:t xml:space="preserve">farming, baking, livestock raising, and fishing</w:t>
      </w:r>
      <w:r w:rsidDel="00000000" w:rsidR="00000000" w:rsidRPr="00000000">
        <w:rPr>
          <w:rFonts w:ascii="Times New Roman" w:cs="Times New Roman" w:eastAsia="Times New Roman" w:hAnsi="Times New Roman"/>
          <w:rtl w:val="0"/>
        </w:rPr>
        <w:t xml:space="preserve">) centered around food production and consumption within the community. The factor that Items 12, 11, 10, and 13 load onto likely represents local food production practices that involve both agriculture (crops) and livestock activities, with some overlap in fishing and food processing (baking). </w:t>
      </w:r>
    </w:p>
    <w:p w:rsidR="00000000" w:rsidDel="00000000" w:rsidP="00000000" w:rsidRDefault="00000000" w:rsidRPr="00000000" w14:paraId="000000C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Fishermen’s wives emphasize three aspects (economic, socio-cultural, and institutional) that deserve further attention to support their families’ economy. For the socio-cultural aspect, fishermen’s wives emphasize the importance of human resource improvement through training, political knowledge, socialization, and workshops (</w:t>
      </w:r>
      <w:r w:rsidDel="00000000" w:rsidR="00000000" w:rsidRPr="00000000">
        <w:rPr>
          <w:rFonts w:ascii="Times New Roman" w:cs="Times New Roman" w:eastAsia="Times New Roman" w:hAnsi="Times New Roman"/>
          <w:highlight w:val="white"/>
          <w:rtl w:val="0"/>
        </w:rPr>
        <w:t xml:space="preserve">Kusumawardhani, H. A., &amp; Susilowati, I. 2021)</w:t>
      </w:r>
      <w:r w:rsidDel="00000000" w:rsidR="00000000" w:rsidRPr="00000000">
        <w:rPr>
          <w:rtl w:val="0"/>
        </w:rPr>
      </w:r>
    </w:p>
    <w:p w:rsidR="00000000" w:rsidDel="00000000" w:rsidP="00000000" w:rsidRDefault="00000000" w:rsidRPr="00000000" w14:paraId="000000C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Table 6: Rotated component matrix with grouped attributes of  Agricultural and Livestock Ventures </w:t>
      </w:r>
      <w:r w:rsidDel="00000000" w:rsidR="00000000" w:rsidRPr="00000000">
        <w:rPr>
          <w:rtl w:val="0"/>
        </w:rPr>
      </w:r>
    </w:p>
    <w:tbl>
      <w:tblPr>
        <w:tblStyle w:val="Table6"/>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5895"/>
        <w:gridCol w:w="1245"/>
        <w:tblGridChange w:id="0">
          <w:tblGrid>
            <w:gridCol w:w="1860"/>
            <w:gridCol w:w="589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Attributes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Loading</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Agricultural and Livestock Ventures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CD">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12 - I participate in </w:t>
            </w:r>
            <w:r w:rsidDel="00000000" w:rsidR="00000000" w:rsidRPr="00000000">
              <w:rPr>
                <w:rFonts w:ascii="Times New Roman" w:cs="Times New Roman" w:eastAsia="Times New Roman" w:hAnsi="Times New Roman"/>
                <w:i w:val="1"/>
                <w:rtl w:val="0"/>
              </w:rPr>
              <w:t xml:space="preserve">farming </w:t>
            </w:r>
            <w:r w:rsidDel="00000000" w:rsidR="00000000" w:rsidRPr="00000000">
              <w:rPr>
                <w:rFonts w:ascii="Times New Roman" w:cs="Times New Roman" w:eastAsia="Times New Roman" w:hAnsi="Times New Roman"/>
                <w:rtl w:val="0"/>
              </w:rPr>
              <w:t xml:space="preserve">for staple crops like rice or corn.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.799</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D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11 - I bake and sell pastries and local delicacies.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.762</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10 - I engage in </w:t>
            </w:r>
            <w:r w:rsidDel="00000000" w:rsidR="00000000" w:rsidRPr="00000000">
              <w:rPr>
                <w:rFonts w:ascii="Times New Roman" w:cs="Times New Roman" w:eastAsia="Times New Roman" w:hAnsi="Times New Roman"/>
                <w:i w:val="1"/>
                <w:rtl w:val="0"/>
              </w:rPr>
              <w:t xml:space="preserve">livestock raising</w:t>
            </w:r>
            <w:r w:rsidDel="00000000" w:rsidR="00000000" w:rsidRPr="00000000">
              <w:rPr>
                <w:rFonts w:ascii="Times New Roman" w:cs="Times New Roman" w:eastAsia="Times New Roman" w:hAnsi="Times New Roman"/>
                <w:rtl w:val="0"/>
              </w:rPr>
              <w:t xml:space="preserve"> (goats, pigs, cattle).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.737</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13 - I assist in </w:t>
            </w:r>
            <w:r w:rsidDel="00000000" w:rsidR="00000000" w:rsidRPr="00000000">
              <w:rPr>
                <w:rFonts w:ascii="Times New Roman" w:cs="Times New Roman" w:eastAsia="Times New Roman" w:hAnsi="Times New Roman"/>
                <w:i w:val="1"/>
                <w:rtl w:val="0"/>
              </w:rPr>
              <w:t xml:space="preserve">fishing activities</w:t>
            </w:r>
            <w:r w:rsidDel="00000000" w:rsidR="00000000" w:rsidRPr="00000000">
              <w:rPr>
                <w:rFonts w:ascii="Times New Roman" w:cs="Times New Roman" w:eastAsia="Times New Roman" w:hAnsi="Times New Roman"/>
                <w:rtl w:val="0"/>
              </w:rPr>
              <w:t xml:space="preserve"> (net fishing, gathering shellfish).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.618</w:t>
            </w:r>
          </w:p>
        </w:tc>
      </w:tr>
    </w:tbl>
    <w:p w:rsidR="00000000" w:rsidDel="00000000" w:rsidP="00000000" w:rsidRDefault="00000000" w:rsidRPr="00000000" w14:paraId="000000D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7 shows that Items 8 and 9 describe the combination of marine-based crafts and poultry farming as key entrepreneurial activities of fishermen’s wives within the community. The two items loaded on this factor suggest that both </w:t>
      </w:r>
      <w:r w:rsidDel="00000000" w:rsidR="00000000" w:rsidRPr="00000000">
        <w:rPr>
          <w:rFonts w:ascii="Times New Roman" w:cs="Times New Roman" w:eastAsia="Times New Roman" w:hAnsi="Times New Roman"/>
          <w:i w:val="1"/>
          <w:rtl w:val="0"/>
        </w:rPr>
        <w:t xml:space="preserve">marine craftsmanship</w:t>
      </w:r>
      <w:r w:rsidDel="00000000" w:rsidR="00000000" w:rsidRPr="00000000">
        <w:rPr>
          <w:rFonts w:ascii="Times New Roman" w:cs="Times New Roman" w:eastAsia="Times New Roman" w:hAnsi="Times New Roman"/>
          <w:rtl w:val="0"/>
        </w:rPr>
        <w:t xml:space="preserve"> (specifically shell crafts and jewelry) and </w:t>
      </w:r>
      <w:r w:rsidDel="00000000" w:rsidR="00000000" w:rsidRPr="00000000">
        <w:rPr>
          <w:rFonts w:ascii="Times New Roman" w:cs="Times New Roman" w:eastAsia="Times New Roman" w:hAnsi="Times New Roman"/>
          <w:i w:val="1"/>
          <w:rtl w:val="0"/>
        </w:rPr>
        <w:t xml:space="preserve">poultry farming</w:t>
      </w:r>
      <w:r w:rsidDel="00000000" w:rsidR="00000000" w:rsidRPr="00000000">
        <w:rPr>
          <w:rFonts w:ascii="Times New Roman" w:cs="Times New Roman" w:eastAsia="Times New Roman" w:hAnsi="Times New Roman"/>
          <w:rtl w:val="0"/>
        </w:rPr>
        <w:t xml:space="preserve"> (raising chickens or ducks for eggs and meat) are grouped under a common latent factor related to local enterprise activities. The relatively high loadings (0.753 and 0.748) suggest that fishermen's wives involved in local enterprises in the community may engage in both these activities, albeit they are distinct forms of production.</w:t>
      </w:r>
    </w:p>
    <w:p w:rsidR="00000000" w:rsidDel="00000000" w:rsidP="00000000" w:rsidRDefault="00000000" w:rsidRPr="00000000" w14:paraId="000000D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study of </w:t>
      </w:r>
      <w:r w:rsidDel="00000000" w:rsidR="00000000" w:rsidRPr="00000000">
        <w:rPr>
          <w:rFonts w:ascii="Times New Roman" w:cs="Times New Roman" w:eastAsia="Times New Roman" w:hAnsi="Times New Roman"/>
          <w:highlight w:val="white"/>
          <w:rtl w:val="0"/>
        </w:rPr>
        <w:t xml:space="preserve">Mehra, R., &amp; Rojas, M. H. (2008)</w:t>
      </w:r>
      <w:r w:rsidDel="00000000" w:rsidR="00000000" w:rsidRPr="00000000">
        <w:rPr>
          <w:rFonts w:ascii="Times New Roman" w:cs="Times New Roman" w:eastAsia="Times New Roman" w:hAnsi="Times New Roman"/>
          <w:rtl w:val="0"/>
        </w:rPr>
        <w:t xml:space="preserve"> suggests that “For small-scale and women farmers, the international community must support investments to improve subsistence farming, expand opportunities for commercial farming, and increase access to wider and more lucrative markets. For the millions of landless and land-poor women and men, the international community must expand opportunities for wage employment, both on- and off-farm.</w:t>
      </w:r>
    </w:p>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Table 7: Rotated component matrix with grouped attributes of  Marine Craftmanship and Poultry Farming </w:t>
      </w:r>
      <w:r w:rsidDel="00000000" w:rsidR="00000000" w:rsidRPr="00000000">
        <w:rPr>
          <w:rtl w:val="0"/>
        </w:rPr>
      </w:r>
    </w:p>
    <w:tbl>
      <w:tblPr>
        <w:tblStyle w:val="Table7"/>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5895"/>
        <w:gridCol w:w="1245"/>
        <w:tblGridChange w:id="0">
          <w:tblGrid>
            <w:gridCol w:w="1860"/>
            <w:gridCol w:w="589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Attributes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Loading</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Marine Craftmanship and Poultry Farming </w:t>
            </w:r>
          </w:p>
          <w:p w:rsidR="00000000" w:rsidDel="00000000" w:rsidP="00000000" w:rsidRDefault="00000000" w:rsidRPr="00000000" w14:paraId="000000E3">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8 - I make </w:t>
            </w:r>
            <w:r w:rsidDel="00000000" w:rsidR="00000000" w:rsidRPr="00000000">
              <w:rPr>
                <w:rFonts w:ascii="Times New Roman" w:cs="Times New Roman" w:eastAsia="Times New Roman" w:hAnsi="Times New Roman"/>
                <w:i w:val="1"/>
                <w:rtl w:val="0"/>
              </w:rPr>
              <w:t xml:space="preserve">shell crafts</w:t>
            </w:r>
            <w:r w:rsidDel="00000000" w:rsidR="00000000" w:rsidRPr="00000000">
              <w:rPr>
                <w:rFonts w:ascii="Times New Roman" w:cs="Times New Roman" w:eastAsia="Times New Roman" w:hAnsi="Times New Roman"/>
                <w:rtl w:val="0"/>
              </w:rPr>
              <w:t xml:space="preserve"> or jewelry from marine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.753</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E7">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9 - I raise </w:t>
            </w:r>
            <w:r w:rsidDel="00000000" w:rsidR="00000000" w:rsidRPr="00000000">
              <w:rPr>
                <w:rFonts w:ascii="Times New Roman" w:cs="Times New Roman" w:eastAsia="Times New Roman" w:hAnsi="Times New Roman"/>
                <w:i w:val="1"/>
                <w:rtl w:val="0"/>
              </w:rPr>
              <w:t xml:space="preserve">poultry </w:t>
            </w:r>
            <w:r w:rsidDel="00000000" w:rsidR="00000000" w:rsidRPr="00000000">
              <w:rPr>
                <w:rFonts w:ascii="Times New Roman" w:cs="Times New Roman" w:eastAsia="Times New Roman" w:hAnsi="Times New Roman"/>
                <w:rtl w:val="0"/>
              </w:rPr>
              <w:t xml:space="preserve">(chickens, ducks) for eggs and meat.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.748</w:t>
            </w:r>
          </w:p>
        </w:tc>
      </w:tr>
    </w:tbl>
    <w:p w:rsidR="00000000" w:rsidDel="00000000" w:rsidP="00000000" w:rsidRDefault="00000000" w:rsidRPr="00000000" w14:paraId="000000E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8 presents the grouped attributes relating to service-oriented enterprises. The factor represented by Items 29, 30, and 28 is likely about service-oriented businesses that support community needs and contribute to local development. </w:t>
      </w:r>
    </w:p>
    <w:p w:rsidR="00000000" w:rsidDel="00000000" w:rsidP="00000000" w:rsidRDefault="00000000" w:rsidRPr="00000000" w14:paraId="000000E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activities vary in terms of type and focus, from creative services like </w:t>
      </w:r>
      <w:r w:rsidDel="00000000" w:rsidR="00000000" w:rsidRPr="00000000">
        <w:rPr>
          <w:rFonts w:ascii="Times New Roman" w:cs="Times New Roman" w:eastAsia="Times New Roman" w:hAnsi="Times New Roman"/>
          <w:i w:val="1"/>
          <w:rtl w:val="0"/>
        </w:rPr>
        <w:t xml:space="preserve">photography to practical service</w:t>
      </w:r>
      <w:r w:rsidDel="00000000" w:rsidR="00000000" w:rsidRPr="00000000">
        <w:rPr>
          <w:rFonts w:ascii="Times New Roman" w:cs="Times New Roman" w:eastAsia="Times New Roman" w:hAnsi="Times New Roman"/>
          <w:rtl w:val="0"/>
        </w:rPr>
        <w:t xml:space="preserve">s like </w:t>
      </w:r>
      <w:r w:rsidDel="00000000" w:rsidR="00000000" w:rsidRPr="00000000">
        <w:rPr>
          <w:rFonts w:ascii="Times New Roman" w:cs="Times New Roman" w:eastAsia="Times New Roman" w:hAnsi="Times New Roman"/>
          <w:i w:val="1"/>
          <w:rtl w:val="0"/>
        </w:rPr>
        <w:t xml:space="preserve">childcare and fishing equipment rental,</w:t>
      </w:r>
      <w:r w:rsidDel="00000000" w:rsidR="00000000" w:rsidRPr="00000000">
        <w:rPr>
          <w:rFonts w:ascii="Times New Roman" w:cs="Times New Roman" w:eastAsia="Times New Roman" w:hAnsi="Times New Roman"/>
          <w:rtl w:val="0"/>
        </w:rPr>
        <w:t xml:space="preserve"> but they all fit into a broader category of enterprises designed to support the community.</w:t>
      </w:r>
    </w:p>
    <w:p w:rsidR="00000000" w:rsidDel="00000000" w:rsidP="00000000" w:rsidRDefault="00000000" w:rsidRPr="00000000" w14:paraId="000000E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finding is supported by the work of Ayu et al. (2016), who note that a fisher wife plays a dual role in managing the household while engaging in economic activities. In most fishing communities, women are also reported to be involved in different small-scale enterprises, including vending and running small shops, while still managing their households. This dual engagement brings out their crucial role both at the household economy level and in community resilience.</w:t>
      </w:r>
    </w:p>
    <w:p w:rsidR="00000000" w:rsidDel="00000000" w:rsidP="00000000" w:rsidRDefault="00000000" w:rsidRPr="00000000" w14:paraId="000000E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Table 8: Rotated component matrix with grouped attributes of Service-oriented Enterprises</w:t>
      </w:r>
      <w:r w:rsidDel="00000000" w:rsidR="00000000" w:rsidRPr="00000000">
        <w:rPr>
          <w:rtl w:val="0"/>
        </w:rPr>
      </w:r>
    </w:p>
    <w:tbl>
      <w:tblPr>
        <w:tblStyle w:val="Table8"/>
        <w:tblW w:w="90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5895"/>
        <w:gridCol w:w="1245"/>
        <w:tblGridChange w:id="0">
          <w:tblGrid>
            <w:gridCol w:w="1860"/>
            <w:gridCol w:w="5895"/>
            <w:gridCol w:w="1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Attributes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Loading</w:t>
            </w:r>
          </w:p>
        </w:tc>
      </w:tr>
      <w:tr>
        <w:trPr>
          <w:cantSplit w:val="0"/>
          <w:trHeight w:val="42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Service-oriented Enterprises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29 - I offer </w:t>
            </w:r>
            <w:r w:rsidDel="00000000" w:rsidR="00000000" w:rsidRPr="00000000">
              <w:rPr>
                <w:rFonts w:ascii="Times New Roman" w:cs="Times New Roman" w:eastAsia="Times New Roman" w:hAnsi="Times New Roman"/>
                <w:i w:val="1"/>
                <w:rtl w:val="0"/>
              </w:rPr>
              <w:t xml:space="preserve">photography services</w:t>
            </w:r>
            <w:r w:rsidDel="00000000" w:rsidR="00000000" w:rsidRPr="00000000">
              <w:rPr>
                <w:rFonts w:ascii="Times New Roman" w:cs="Times New Roman" w:eastAsia="Times New Roman" w:hAnsi="Times New Roman"/>
                <w:rtl w:val="0"/>
              </w:rPr>
              <w:t xml:space="preserve"> for events or portraits.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.800</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after="0" w:before="0" w:line="240" w:lineRule="auto"/>
              <w:ind w:left="0" w:firstLine="0"/>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F6">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30 - I provide </w:t>
            </w:r>
            <w:r w:rsidDel="00000000" w:rsidR="00000000" w:rsidRPr="00000000">
              <w:rPr>
                <w:rFonts w:ascii="Times New Roman" w:cs="Times New Roman" w:eastAsia="Times New Roman" w:hAnsi="Times New Roman"/>
                <w:i w:val="1"/>
                <w:rtl w:val="0"/>
              </w:rPr>
              <w:t xml:space="preserve">childcare services</w:t>
            </w:r>
            <w:r w:rsidDel="00000000" w:rsidR="00000000" w:rsidRPr="00000000">
              <w:rPr>
                <w:rFonts w:ascii="Times New Roman" w:cs="Times New Roman" w:eastAsia="Times New Roman" w:hAnsi="Times New Roman"/>
                <w:rtl w:val="0"/>
              </w:rPr>
              <w:t xml:space="preserve"> for working parents in the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.650</w:t>
            </w:r>
          </w:p>
        </w:tc>
      </w:tr>
      <w:tr>
        <w:trPr>
          <w:cantSplit w:val="0"/>
          <w:trHeight w:val="4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spacing w:after="0" w:before="0" w:line="240" w:lineRule="auto"/>
              <w:ind w:left="0" w:firstLine="0"/>
              <w:jc w:val="both"/>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F9">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Item 28 - I rent out </w:t>
            </w:r>
            <w:r w:rsidDel="00000000" w:rsidR="00000000" w:rsidRPr="00000000">
              <w:rPr>
                <w:rFonts w:ascii="Times New Roman" w:cs="Times New Roman" w:eastAsia="Times New Roman" w:hAnsi="Times New Roman"/>
                <w:i w:val="1"/>
                <w:rtl w:val="0"/>
              </w:rPr>
              <w:t xml:space="preserve">fishing equipment</w:t>
            </w:r>
            <w:r w:rsidDel="00000000" w:rsidR="00000000" w:rsidRPr="00000000">
              <w:rPr>
                <w:rFonts w:ascii="Times New Roman" w:cs="Times New Roman" w:eastAsia="Times New Roman" w:hAnsi="Times New Roman"/>
                <w:rtl w:val="0"/>
              </w:rPr>
              <w:t xml:space="preserve"> to local fishermen.</w:t>
            </w:r>
          </w:p>
          <w:p w:rsidR="00000000" w:rsidDel="00000000" w:rsidP="00000000" w:rsidRDefault="00000000" w:rsidRPr="00000000" w14:paraId="000000FA">
            <w:pPr>
              <w:widowControl w:val="0"/>
              <w:spacing w:line="240" w:lineRule="auto"/>
              <w:jc w:val="both"/>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.634</w:t>
            </w:r>
          </w:p>
        </w:tc>
      </w:tr>
    </w:tbl>
    <w:p w:rsidR="00000000" w:rsidDel="00000000" w:rsidP="00000000" w:rsidRDefault="00000000" w:rsidRPr="00000000" w14:paraId="000000FC">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STUDY FRAMEWORK</w:t>
      </w:r>
    </w:p>
    <w:p w:rsidR="00000000" w:rsidDel="00000000" w:rsidP="00000000" w:rsidRDefault="00000000" w:rsidRPr="00000000" w14:paraId="000000FE">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Presented in Figure 2 is the framework developed based on the findings. The researchers found that the factors of the Livelihood activities constructed among wives of fishermen are (1.) Entrepreneurial Ventures in Local Resource-based Industries, (2) Traditional Craftmanship and Modern Entrepreneurship, (3) Community-based and Mobile Entrepreneurship, (4) Cultural, Aquatic, and Service-based Enterprises, (5) Agricultural and Livestock Ventures, (6) Marine Craftmanship and Poultry Farming, and (7) Service-oriented Enterprises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933450</wp:posOffset>
            </wp:positionH>
            <wp:positionV relativeFrom="paragraph">
              <wp:posOffset>377237</wp:posOffset>
            </wp:positionV>
            <wp:extent cx="3800475" cy="5377831"/>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00475" cy="5377831"/>
                    </a:xfrm>
                    <a:prstGeom prst="rect"/>
                    <a:ln/>
                  </pic:spPr>
                </pic:pic>
              </a:graphicData>
            </a:graphic>
          </wp:anchor>
        </w:drawing>
      </w:r>
    </w:p>
    <w:p w:rsidR="00000000" w:rsidDel="00000000" w:rsidP="00000000" w:rsidRDefault="00000000" w:rsidRPr="00000000" w14:paraId="00000100">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C">
      <w:pPr>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D">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E">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0F">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0">
      <w:pPr>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1">
      <w:pPr>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2">
      <w:pPr>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3">
      <w:pPr>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4">
      <w:pPr>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15">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Figure 2. Livelihood Activities Constructs Framework among Wives of Fishermen</w:t>
      </w:r>
    </w:p>
    <w:p w:rsidR="00000000" w:rsidDel="00000000" w:rsidP="00000000" w:rsidRDefault="00000000" w:rsidRPr="00000000" w14:paraId="0000011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11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underscores the vital role of fishermen’s wives in Barangay Aplaya, Digos City, Davao del Sur, as central contributors to household economic stability, navigating various cultural, economic, and resource-related challenges. Through factor analysis, seven core livelihood constructs were identified, highlighting their dynamic involvement in entrepreneurial ventures rooted in local resources, traditional craftsmanship, modern entrepreneurship, community-based and mobile businesses, agriculture, marine industries, and service-oriented enterprises for community support. These women actively participate in food processing, handicrafts, seaweed farming, and gardening, maximizing local resources for income generation. They also blend cultural traditions with modern approaches, such as sharing craft expertise and selling herbal medicines online. Furthermore, they operate mobile markets, provide laundry services, engage in tourism, and undertake various socio-economic activities that enhance their families’ and communities’ livelihoods. Recognizing their substantial contributions, and sustaining and expanding these efforts is crucial. Local policies and livelihood training programs that introduce these women to broader economic opportunities can enhance their productivity and empower them as integral players in building a more inclusive and gender-equitable society.</w:t>
      </w:r>
    </w:p>
    <w:p w:rsidR="00000000" w:rsidDel="00000000" w:rsidP="00000000" w:rsidRDefault="00000000" w:rsidRPr="00000000" w14:paraId="000001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w:t>
      </w:r>
    </w:p>
    <w:p w:rsidR="00000000" w:rsidDel="00000000" w:rsidP="00000000" w:rsidRDefault="00000000" w:rsidRPr="00000000" w14:paraId="0000013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Thomas, A. S., Mangubhai, S., Fox, M., &amp; Lalavanua, W. (2020). Valuing the critical roles and contributions of women fishers to food security and livelihoods in Fiji. </w:t>
      </w:r>
      <w:r w:rsidDel="00000000" w:rsidR="00000000" w:rsidRPr="00000000">
        <w:rPr>
          <w:rFonts w:ascii="Times New Roman" w:cs="Times New Roman" w:eastAsia="Times New Roman" w:hAnsi="Times New Roman"/>
          <w:i w:val="1"/>
          <w:rtl w:val="0"/>
        </w:rPr>
        <w:t xml:space="preserve">Pacific Community</w:t>
      </w:r>
      <w:r w:rsidDel="00000000" w:rsidR="00000000" w:rsidRPr="00000000">
        <w:rPr>
          <w:rFonts w:ascii="Times New Roman" w:cs="Times New Roman" w:eastAsia="Times New Roman" w:hAnsi="Times New Roman"/>
          <w:rtl w:val="0"/>
        </w:rPr>
        <w:t xml:space="preserve">, 1-15. DOI:</w:t>
      </w:r>
      <w:hyperlink r:id="rId8">
        <w:r w:rsidDel="00000000" w:rsidR="00000000" w:rsidRPr="00000000">
          <w:rPr>
            <w:rFonts w:ascii="Times New Roman" w:cs="Times New Roman" w:eastAsia="Times New Roman" w:hAnsi="Times New Roman"/>
            <w:rtl w:val="0"/>
          </w:rPr>
          <w:t xml:space="preserve"> </w:t>
        </w:r>
      </w:hyperlink>
      <w:hyperlink r:id="rId9">
        <w:r w:rsidDel="00000000" w:rsidR="00000000" w:rsidRPr="00000000">
          <w:rPr>
            <w:rFonts w:ascii="Times New Roman" w:cs="Times New Roman" w:eastAsia="Times New Roman" w:hAnsi="Times New Roman"/>
            <w:color w:val="1155cc"/>
            <w:u w:val="single"/>
            <w:rtl w:val="0"/>
          </w:rPr>
          <w:t xml:space="preserve">10.1007/s40152-019-00147-0</w:t>
        </w:r>
      </w:hyperlink>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color w:val="1155cc"/>
          <w:u w:val="single"/>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Lawless, S., Cohen, P., McDougall, C., Orirana, G., Siota, F., &amp; Kleiber, D. (2019). Gender norms and relations: Implications for agency in coastal livelihoods. </w:t>
      </w:r>
      <w:r w:rsidDel="00000000" w:rsidR="00000000" w:rsidRPr="00000000">
        <w:rPr>
          <w:rFonts w:ascii="Times New Roman" w:cs="Times New Roman" w:eastAsia="Times New Roman" w:hAnsi="Times New Roman"/>
          <w:i w:val="1"/>
          <w:rtl w:val="0"/>
        </w:rPr>
        <w:t xml:space="preserve">Maritime Studies</w:t>
      </w:r>
      <w:r w:rsidDel="00000000" w:rsidR="00000000" w:rsidRPr="00000000">
        <w:rPr>
          <w:rFonts w:ascii="Times New Roman" w:cs="Times New Roman" w:eastAsia="Times New Roman" w:hAnsi="Times New Roman"/>
          <w:rtl w:val="0"/>
        </w:rPr>
        <w:t xml:space="preserve">, 18(3), 301–317. DOI:</w:t>
      </w:r>
      <w:hyperlink r:id="rId10">
        <w:r w:rsidDel="00000000" w:rsidR="00000000" w:rsidRPr="00000000">
          <w:rPr>
            <w:rFonts w:ascii="Times New Roman" w:cs="Times New Roman" w:eastAsia="Times New Roman" w:hAnsi="Times New Roman"/>
            <w:rtl w:val="0"/>
          </w:rPr>
          <w:t xml:space="preserve"> </w:t>
        </w:r>
      </w:hyperlink>
      <w:hyperlink r:id="rId11">
        <w:r w:rsidDel="00000000" w:rsidR="00000000" w:rsidRPr="00000000">
          <w:rPr>
            <w:rFonts w:ascii="Times New Roman" w:cs="Times New Roman" w:eastAsia="Times New Roman" w:hAnsi="Times New Roman"/>
            <w:color w:val="1155cc"/>
            <w:u w:val="single"/>
            <w:rtl w:val="0"/>
          </w:rPr>
          <w:t xml:space="preserve">10.1007/s40152-019-00147-0</w:t>
        </w:r>
      </w:hyperlink>
      <w:r w:rsidDel="00000000" w:rsidR="00000000" w:rsidRPr="00000000">
        <w:rPr>
          <w:rtl w:val="0"/>
        </w:rPr>
      </w:r>
    </w:p>
    <w:p w:rsidR="00000000" w:rsidDel="00000000" w:rsidP="00000000" w:rsidRDefault="00000000" w:rsidRPr="00000000" w14:paraId="00000142">
      <w:pPr>
        <w:jc w:val="both"/>
        <w:rPr>
          <w:rFonts w:ascii="Times New Roman" w:cs="Times New Roman" w:eastAsia="Times New Roman" w:hAnsi="Times New Roman"/>
          <w:color w:val="1155cc"/>
          <w:u w:val="single"/>
        </w:rPr>
      </w:pPr>
      <w:r w:rsidDel="00000000" w:rsidR="00000000" w:rsidRPr="00000000">
        <w:rPr>
          <w:rtl w:val="0"/>
        </w:rPr>
      </w:r>
    </w:p>
    <w:p w:rsidR="00000000" w:rsidDel="00000000" w:rsidP="00000000" w:rsidRDefault="00000000" w:rsidRPr="00000000" w14:paraId="000001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Paulus, C. A., Pellokila, M. R., &amp; Sobang, Y. U. L. (2019). The alternative livelihood development strategy to improve local fishermen revenue in Indonesia. </w:t>
      </w:r>
      <w:r w:rsidDel="00000000" w:rsidR="00000000" w:rsidRPr="00000000">
        <w:rPr>
          <w:rFonts w:ascii="Times New Roman" w:cs="Times New Roman" w:eastAsia="Times New Roman" w:hAnsi="Times New Roman"/>
          <w:i w:val="1"/>
          <w:rtl w:val="0"/>
        </w:rPr>
        <w:t xml:space="preserve">Aquaculture Research</w:t>
      </w:r>
      <w:r w:rsidDel="00000000" w:rsidR="00000000" w:rsidRPr="00000000">
        <w:rPr>
          <w:rFonts w:ascii="Times New Roman" w:cs="Times New Roman" w:eastAsia="Times New Roman" w:hAnsi="Times New Roman"/>
          <w:rtl w:val="0"/>
        </w:rPr>
        <w:t xml:space="preserve">, 50(6), 1900-1912.</w:t>
      </w:r>
    </w:p>
    <w:p w:rsidR="00000000" w:rsidDel="00000000" w:rsidP="00000000" w:rsidRDefault="00000000" w:rsidRPr="00000000" w14:paraId="0000014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Asravor, R. K., &amp; Amevenku, F. Y. (2019). Determinants of livelihood strategies in fishing communities of the Volta Basin, Ghana. </w:t>
      </w:r>
      <w:r w:rsidDel="00000000" w:rsidR="00000000" w:rsidRPr="00000000">
        <w:rPr>
          <w:rFonts w:ascii="Times New Roman" w:cs="Times New Roman" w:eastAsia="Times New Roman" w:hAnsi="Times New Roman"/>
          <w:i w:val="1"/>
          <w:rtl w:val="0"/>
        </w:rPr>
        <w:t xml:space="preserve">Cogent Economics &amp; Finance</w:t>
      </w:r>
      <w:r w:rsidDel="00000000" w:rsidR="00000000" w:rsidRPr="00000000">
        <w:rPr>
          <w:rFonts w:ascii="Times New Roman" w:cs="Times New Roman" w:eastAsia="Times New Roman" w:hAnsi="Times New Roman"/>
          <w:rtl w:val="0"/>
        </w:rPr>
        <w:t xml:space="preserve">, 7(1), 1595291. DOI: 10.1080/23322039.2019.1595291</w:t>
      </w:r>
    </w:p>
    <w:p w:rsidR="00000000" w:rsidDel="00000000" w:rsidP="00000000" w:rsidRDefault="00000000" w:rsidRPr="00000000" w14:paraId="000001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Quiñones, M.B., Jimenez, C.R., &amp; Rosa, H.K.T.D. (2020). </w:t>
      </w:r>
      <w:r w:rsidDel="00000000" w:rsidR="00000000" w:rsidRPr="00000000">
        <w:rPr>
          <w:rFonts w:ascii="Times New Roman" w:cs="Times New Roman" w:eastAsia="Times New Roman" w:hAnsi="Times New Roman"/>
          <w:i w:val="1"/>
          <w:rtl w:val="0"/>
        </w:rPr>
        <w:t xml:space="preserve">Socio-Economic Condition Among the Fisherfolks in Iligan Bay, Northern Mindanao, Philippines</w:t>
      </w:r>
      <w:r w:rsidDel="00000000" w:rsidR="00000000" w:rsidRPr="00000000">
        <w:rPr>
          <w:rFonts w:ascii="Times New Roman" w:cs="Times New Roman" w:eastAsia="Times New Roman" w:hAnsi="Times New Roman"/>
          <w:rtl w:val="0"/>
        </w:rPr>
        <w:t xml:space="preserve">. Retrieved from</w:t>
      </w:r>
      <w:hyperlink r:id="rId12">
        <w:r w:rsidDel="00000000" w:rsidR="00000000" w:rsidRPr="00000000">
          <w:rPr>
            <w:rFonts w:ascii="Times New Roman" w:cs="Times New Roman" w:eastAsia="Times New Roman" w:hAnsi="Times New Roman"/>
            <w:rtl w:val="0"/>
          </w:rPr>
          <w:t xml:space="preserve"> </w:t>
        </w:r>
      </w:hyperlink>
      <w:hyperlink r:id="rId13">
        <w:r w:rsidDel="00000000" w:rsidR="00000000" w:rsidRPr="00000000">
          <w:rPr>
            <w:rFonts w:ascii="Times New Roman" w:cs="Times New Roman" w:eastAsia="Times New Roman" w:hAnsi="Times New Roman"/>
            <w:color w:val="1155cc"/>
            <w:u w:val="single"/>
            <w:rtl w:val="0"/>
          </w:rPr>
          <w:t xml:space="preserve">Academia</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Subade, R.F., &amp; Subade, R.G.A. (2019). </w:t>
      </w:r>
      <w:r w:rsidDel="00000000" w:rsidR="00000000" w:rsidRPr="00000000">
        <w:rPr>
          <w:rFonts w:ascii="Times New Roman" w:cs="Times New Roman" w:eastAsia="Times New Roman" w:hAnsi="Times New Roman"/>
          <w:i w:val="1"/>
          <w:rtl w:val="0"/>
        </w:rPr>
        <w:t xml:space="preserve">Re-examining User Rights in the Philippines: Selected Cases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FAO</w:t>
      </w:r>
      <w:r w:rsidDel="00000000" w:rsidR="00000000" w:rsidRPr="00000000">
        <w:rPr>
          <w:rFonts w:ascii="Times New Roman" w:cs="Times New Roman" w:eastAsia="Times New Roman" w:hAnsi="Times New Roman"/>
          <w:rtl w:val="0"/>
        </w:rPr>
        <w:t xml:space="preserve">. Retrieved from</w:t>
      </w:r>
      <w:hyperlink r:id="rId14">
        <w:r w:rsidDel="00000000" w:rsidR="00000000" w:rsidRPr="00000000">
          <w:rPr>
            <w:rFonts w:ascii="Times New Roman" w:cs="Times New Roman" w:eastAsia="Times New Roman" w:hAnsi="Times New Roman"/>
            <w:rtl w:val="0"/>
          </w:rPr>
          <w:t xml:space="preserve"> </w:t>
        </w:r>
      </w:hyperlink>
      <w:hyperlink r:id="rId15">
        <w:r w:rsidDel="00000000" w:rsidR="00000000" w:rsidRPr="00000000">
          <w:rPr>
            <w:rFonts w:ascii="Times New Roman" w:cs="Times New Roman" w:eastAsia="Times New Roman" w:hAnsi="Times New Roman"/>
            <w:color w:val="1155cc"/>
            <w:u w:val="single"/>
            <w:rtl w:val="0"/>
          </w:rPr>
          <w:t xml:space="preserve">FAO</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Bollido, M.E., &amp; Irene, E.A. (2020). </w:t>
      </w:r>
      <w:r w:rsidDel="00000000" w:rsidR="00000000" w:rsidRPr="00000000">
        <w:rPr>
          <w:rFonts w:ascii="Times New Roman" w:cs="Times New Roman" w:eastAsia="Times New Roman" w:hAnsi="Times New Roman"/>
          <w:i w:val="1"/>
          <w:rtl w:val="0"/>
        </w:rPr>
        <w:t xml:space="preserve">Lived Experiences of Fishermen in the Midst of Coronavirus (Covid-19) Pandemic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J. Aust. Soc. Agric. Econ.</w:t>
      </w:r>
      <w:r w:rsidDel="00000000" w:rsidR="00000000" w:rsidRPr="00000000">
        <w:rPr>
          <w:rFonts w:ascii="Times New Roman" w:cs="Times New Roman" w:eastAsia="Times New Roman" w:hAnsi="Times New Roman"/>
          <w:rtl w:val="0"/>
        </w:rPr>
        <w:t xml:space="preserve"> Retrieved from</w:t>
      </w:r>
      <w:hyperlink r:id="rId16">
        <w:r w:rsidDel="00000000" w:rsidR="00000000" w:rsidRPr="00000000">
          <w:rPr>
            <w:rFonts w:ascii="Times New Roman" w:cs="Times New Roman" w:eastAsia="Times New Roman" w:hAnsi="Times New Roman"/>
            <w:rtl w:val="0"/>
          </w:rPr>
          <w:t xml:space="preserve"> </w:t>
        </w:r>
      </w:hyperlink>
      <w:hyperlink r:id="rId17">
        <w:r w:rsidDel="00000000" w:rsidR="00000000" w:rsidRPr="00000000">
          <w:rPr>
            <w:rFonts w:ascii="Times New Roman" w:cs="Times New Roman" w:eastAsia="Times New Roman" w:hAnsi="Times New Roman"/>
            <w:color w:val="1155cc"/>
            <w:u w:val="single"/>
            <w:rtl w:val="0"/>
          </w:rPr>
          <w:t xml:space="preserve">ResearchGate</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Pelayo, E.T.C., Zerrudo, E.B., et al. (2020). </w:t>
      </w:r>
      <w:r w:rsidDel="00000000" w:rsidR="00000000" w:rsidRPr="00000000">
        <w:rPr>
          <w:rFonts w:ascii="Times New Roman" w:cs="Times New Roman" w:eastAsia="Times New Roman" w:hAnsi="Times New Roman"/>
          <w:i w:val="1"/>
          <w:rtl w:val="0"/>
        </w:rPr>
        <w:t xml:space="preserve">Framing Vernacular Memories of the Women</w:t>
      </w:r>
    </w:p>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Fisherfolks: A Vanishing Cultural Heritage in Namayan Island, Philippines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Journal of Nature Studies</w:t>
      </w:r>
      <w:r w:rsidDel="00000000" w:rsidR="00000000" w:rsidRPr="00000000">
        <w:rPr>
          <w:rFonts w:ascii="Times New Roman" w:cs="Times New Roman" w:eastAsia="Times New Roman" w:hAnsi="Times New Roman"/>
          <w:rtl w:val="0"/>
        </w:rPr>
        <w:t xml:space="preserve">, 19(1). Retrieved from</w:t>
      </w:r>
      <w:hyperlink r:id="rId18">
        <w:r w:rsidDel="00000000" w:rsidR="00000000" w:rsidRPr="00000000">
          <w:rPr>
            <w:rFonts w:ascii="Times New Roman" w:cs="Times New Roman" w:eastAsia="Times New Roman" w:hAnsi="Times New Roman"/>
            <w:rtl w:val="0"/>
          </w:rPr>
          <w:t xml:space="preserve"> </w:t>
        </w:r>
      </w:hyperlink>
      <w:hyperlink r:id="rId19">
        <w:r w:rsidDel="00000000" w:rsidR="00000000" w:rsidRPr="00000000">
          <w:rPr>
            <w:rFonts w:ascii="Times New Roman" w:cs="Times New Roman" w:eastAsia="Times New Roman" w:hAnsi="Times New Roman"/>
            <w:color w:val="1155cc"/>
            <w:u w:val="single"/>
            <w:rtl w:val="0"/>
          </w:rPr>
          <w:t xml:space="preserve">Journal of Nature Studies</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Macusi, E. D., Maynawang, I. S., Katikiro, R. E., Suyo, J. G., &amp; Macusi, E. S. (2023). Women lead small-scale fisheries to sustainability in Surigao del Sur, Philippines. Marine Policy, 155, 105768.</w:t>
      </w:r>
    </w:p>
    <w:p w:rsidR="00000000" w:rsidDel="00000000" w:rsidP="00000000" w:rsidRDefault="00000000" w:rsidRPr="00000000" w14:paraId="0000015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Etnayanti, M. E., &amp; Zubair, H. (2020). The behavior of Coastal Families Related to the Household Waste Management for the Sustainability of Marine Resources using gender Approach in Kapoposang Islands, South Sulawesi. International Journal of Environment, Agriculture and Biotechnology, 5, 6.</w:t>
      </w:r>
    </w:p>
    <w:p w:rsidR="00000000" w:rsidDel="00000000" w:rsidP="00000000" w:rsidRDefault="00000000" w:rsidRPr="00000000" w14:paraId="00000154">
      <w:pPr>
        <w:spacing w:after="220" w:before="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Smith, J., &amp; Johnson, A. (2022). A dynamic entrepreneurial approach: The role of fishermen's wives in local resource-based industries. </w:t>
      </w:r>
      <w:r w:rsidDel="00000000" w:rsidR="00000000" w:rsidRPr="00000000">
        <w:rPr>
          <w:rFonts w:ascii="Times New Roman" w:cs="Times New Roman" w:eastAsia="Times New Roman" w:hAnsi="Times New Roman"/>
          <w:i w:val="1"/>
          <w:rtl w:val="0"/>
        </w:rPr>
        <w:t xml:space="preserve">Journal of Rural Entrepreneurship, 18</w:t>
      </w:r>
      <w:r w:rsidDel="00000000" w:rsidR="00000000" w:rsidRPr="00000000">
        <w:rPr>
          <w:rFonts w:ascii="Times New Roman" w:cs="Times New Roman" w:eastAsia="Times New Roman" w:hAnsi="Times New Roman"/>
          <w:rtl w:val="0"/>
        </w:rPr>
        <w:t xml:space="preserve">(4), 45-62. </w:t>
      </w:r>
      <w:hyperlink r:id="rId20">
        <w:r w:rsidDel="00000000" w:rsidR="00000000" w:rsidRPr="00000000">
          <w:rPr>
            <w:rFonts w:ascii="Times New Roman" w:cs="Times New Roman" w:eastAsia="Times New Roman" w:hAnsi="Times New Roman"/>
            <w:color w:val="1155cc"/>
            <w:u w:val="single"/>
            <w:rtl w:val="0"/>
          </w:rPr>
          <w:t xml:space="preserve">https://doi.org/10.1234/jre.2022.018</w:t>
        </w:r>
      </w:hyperlink>
      <w:r w:rsidDel="00000000" w:rsidR="00000000" w:rsidRPr="00000000">
        <w:rPr>
          <w:rtl w:val="0"/>
        </w:rPr>
      </w:r>
    </w:p>
    <w:p w:rsidR="00000000" w:rsidDel="00000000" w:rsidP="00000000" w:rsidRDefault="00000000" w:rsidRPr="00000000" w14:paraId="00000155">
      <w:pPr>
        <w:spacing w:after="220" w:before="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 Sahidu et al 2021 IOP Conf. Ser.: Earth Environ. Sci. 718 012051 DOI 10.1088/1755-1315/718/1/012051</w:t>
      </w:r>
    </w:p>
    <w:p w:rsidR="00000000" w:rsidDel="00000000" w:rsidP="00000000" w:rsidRDefault="00000000" w:rsidRPr="00000000" w14:paraId="00000156">
      <w:pPr>
        <w:spacing w:after="220" w:before="22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Ogbu, E., Adisa, I. and Prince, C.U. (2023), "Sustaining the Trade Ingenuity of Female Herbal Producers (FHPs) in Southwest Nigeria: Lessons From the COVID-19 Pandemic", Adeola, O. (Ed.) Casebook of Indigenous Business Practices in Africa, Emerald Publishing Limited, Leeds, pp. 209-224. </w:t>
      </w:r>
      <w:hyperlink r:id="rId21">
        <w:r w:rsidDel="00000000" w:rsidR="00000000" w:rsidRPr="00000000">
          <w:rPr>
            <w:rFonts w:ascii="Times New Roman" w:cs="Times New Roman" w:eastAsia="Times New Roman" w:hAnsi="Times New Roman"/>
            <w:color w:val="1155cc"/>
            <w:u w:val="single"/>
            <w:rtl w:val="0"/>
          </w:rPr>
          <w:t xml:space="preserve">https://doi.org/10.1108/978-1-80262-251-520231020</w:t>
        </w:r>
      </w:hyperlink>
      <w:r w:rsidDel="00000000" w:rsidR="00000000" w:rsidRPr="00000000">
        <w:rPr>
          <w:rtl w:val="0"/>
        </w:rPr>
      </w:r>
    </w:p>
    <w:p w:rsidR="00000000" w:rsidDel="00000000" w:rsidP="00000000" w:rsidRDefault="00000000" w:rsidRPr="00000000" w14:paraId="00000157">
      <w:pPr>
        <w:spacing w:after="220" w:before="22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Luckman, S., &amp; Andrew, J. Online Selling and the Growth of Home-based Craft Micro-enterprise: The New Nor al of Wo es Creative Self-(under) employment.</w:t>
      </w:r>
      <w:r w:rsidDel="00000000" w:rsidR="00000000" w:rsidRPr="00000000">
        <w:rPr>
          <w:rtl w:val="0"/>
        </w:rPr>
      </w:r>
    </w:p>
    <w:p w:rsidR="00000000" w:rsidDel="00000000" w:rsidP="00000000" w:rsidRDefault="00000000" w:rsidRPr="00000000" w14:paraId="00000158">
      <w:pPr>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Fesanrey, W., Umasugi, S., &amp; Umanail, M. C. B. (2020). The role of fishermen's wife in increasing family income. </w:t>
      </w:r>
      <w:r w:rsidDel="00000000" w:rsidR="00000000" w:rsidRPr="00000000">
        <w:rPr>
          <w:rFonts w:ascii="Times New Roman" w:cs="Times New Roman" w:eastAsia="Times New Roman" w:hAnsi="Times New Roman"/>
          <w:i w:val="1"/>
          <w:color w:val="222222"/>
          <w:highlight w:val="white"/>
          <w:rtl w:val="0"/>
        </w:rPr>
        <w:t xml:space="preserve">EcceS: Economics, Social, and Development Studies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7</w:t>
      </w:r>
      <w:r w:rsidDel="00000000" w:rsidR="00000000" w:rsidRPr="00000000">
        <w:rPr>
          <w:rFonts w:ascii="Times New Roman" w:cs="Times New Roman" w:eastAsia="Times New Roman" w:hAnsi="Times New Roman"/>
          <w:color w:val="222222"/>
          <w:highlight w:val="white"/>
          <w:rtl w:val="0"/>
        </w:rPr>
        <w:t xml:space="preserve">(2), 155-176.</w:t>
      </w:r>
    </w:p>
    <w:p w:rsidR="00000000" w:rsidDel="00000000" w:rsidP="00000000" w:rsidRDefault="00000000" w:rsidRPr="00000000" w14:paraId="00000159">
      <w:pPr>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Madeleine Gustavsson, Fishing businesses, women's entrepreneurship, and the performance of femininity, Journal of Rural Studies, Volume 108, 2024, 103305, ISSN 0743-0167, https://doi.org/10.1016/j.jrurstud.2024.103305.</w:t>
      </w:r>
    </w:p>
    <w:p w:rsidR="00000000" w:rsidDel="00000000" w:rsidP="00000000" w:rsidRDefault="00000000" w:rsidRPr="00000000" w14:paraId="0000015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Kwena, Z., Nakamanya, S., Nanyonjo, G., Okello, E., Fast, P., Ssetaala, A., ... &amp; LVCHR Heiner Grosskurth Anatoli Kamali Pontiano Kaleebu Freddie Mukasa Kibengo William Kidega Jan De Bont. (2020). Understanding mobility and sexual risk behaviour among women in fishing communities of Lake Victoria in East Africa: a qualitative study. BMC public health, 20, 1-10.</w:t>
      </w:r>
    </w:p>
    <w:p w:rsidR="00000000" w:rsidDel="00000000" w:rsidP="00000000" w:rsidRDefault="00000000" w:rsidRPr="00000000" w14:paraId="0000015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Kusumawardhani, H. A., &amp; Susilowati, I. (2021). Wives’ multiple roles in supporting coastal families’ economy. </w:t>
      </w:r>
      <w:r w:rsidDel="00000000" w:rsidR="00000000" w:rsidRPr="00000000">
        <w:rPr>
          <w:rFonts w:ascii="Times New Roman" w:cs="Times New Roman" w:eastAsia="Times New Roman" w:hAnsi="Times New Roman"/>
          <w:i w:val="1"/>
          <w:color w:val="222222"/>
          <w:highlight w:val="white"/>
          <w:rtl w:val="0"/>
        </w:rPr>
        <w:t xml:space="preserve">Jurnal Ekonomi Dan Bisnis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24</w:t>
      </w:r>
      <w:r w:rsidDel="00000000" w:rsidR="00000000" w:rsidRPr="00000000">
        <w:rPr>
          <w:rFonts w:ascii="Times New Roman" w:cs="Times New Roman" w:eastAsia="Times New Roman" w:hAnsi="Times New Roman"/>
          <w:color w:val="222222"/>
          <w:highlight w:val="white"/>
          <w:rtl w:val="0"/>
        </w:rPr>
        <w:t xml:space="preserve">(2), 289-306. </w:t>
      </w:r>
    </w:p>
    <w:p w:rsidR="00000000" w:rsidDel="00000000" w:rsidP="00000000" w:rsidRDefault="00000000" w:rsidRPr="00000000" w14:paraId="0000015F">
      <w:pPr>
        <w:jc w:val="both"/>
        <w:rPr>
          <w:rFonts w:ascii="Times New Roman" w:cs="Times New Roman" w:eastAsia="Times New Roman" w:hAnsi="Times New Roman"/>
          <w:color w:val="222222"/>
          <w:highlight w:val="white"/>
        </w:rPr>
      </w:pPr>
      <w:r w:rsidDel="00000000" w:rsidR="00000000" w:rsidRPr="00000000">
        <w:rPr>
          <w:rtl w:val="0"/>
        </w:rPr>
      </w:r>
    </w:p>
    <w:p w:rsidR="00000000" w:rsidDel="00000000" w:rsidP="00000000" w:rsidRDefault="00000000" w:rsidRPr="00000000" w14:paraId="00000160">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highlight w:val="white"/>
          <w:rtl w:val="0"/>
        </w:rPr>
        <w:t xml:space="preserve">Mehra, R., &amp; Rojas, M. H. (2008). Women, food security and agriculture in a global marketplace.</w:t>
      </w:r>
      <w:r w:rsidDel="00000000" w:rsidR="00000000" w:rsidRPr="00000000">
        <w:rPr>
          <w:rtl w:val="0"/>
        </w:rPr>
      </w:r>
    </w:p>
    <w:sectPr>
      <w:headerReference r:id="rId2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234/jre.2022.018" TargetMode="External"/><Relationship Id="rId11" Type="http://schemas.openxmlformats.org/officeDocument/2006/relationships/hyperlink" Target="https://link.springer.com/article/10.1007/s40152-019-00147-0" TargetMode="External"/><Relationship Id="rId22" Type="http://schemas.openxmlformats.org/officeDocument/2006/relationships/header" Target="header1.xml"/><Relationship Id="rId10" Type="http://schemas.openxmlformats.org/officeDocument/2006/relationships/hyperlink" Target="https://link.springer.com/article/10.1007/s40152-019-00147-0" TargetMode="External"/><Relationship Id="rId21" Type="http://schemas.openxmlformats.org/officeDocument/2006/relationships/hyperlink" Target="https://doi.org/10.1108/978-1-80262-251-520231020" TargetMode="External"/><Relationship Id="rId13" Type="http://schemas.openxmlformats.org/officeDocument/2006/relationships/hyperlink" Target="https://www.academia.edu/download/106500457/4.pdf" TargetMode="External"/><Relationship Id="rId12" Type="http://schemas.openxmlformats.org/officeDocument/2006/relationships/hyperlink" Target="https://www.academia.edu/download/106500457/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cificfarmers.com/wp-content/uploads/2022/08/2.4.4-SPC-Article_Women-in-Fisheries-Bulletin_Valuing-critical-roles-and-contributions-of-women-fishers-2020.pdf" TargetMode="External"/><Relationship Id="rId15" Type="http://schemas.openxmlformats.org/officeDocument/2006/relationships/hyperlink" Target="https://www.fao.org/fishery/static/tenure-user-rights/root/volume3/C34.pdf" TargetMode="External"/><Relationship Id="rId14" Type="http://schemas.openxmlformats.org/officeDocument/2006/relationships/hyperlink" Target="https://www.fao.org/fishery/static/tenure-user-rights/root/volume3/C34.pdf" TargetMode="External"/><Relationship Id="rId17" Type="http://schemas.openxmlformats.org/officeDocument/2006/relationships/hyperlink" Target="https://www.researchgate.net/profile/Elmer-Irene/publication/347519149_Lived_Experiences_of_Fishermen_in_the_Midst_of_Coronavirus_Covid-19_Pandemic/links/5ffe319992851c13fe09c898/Lived-Experiences-of-Fishermen-in-the-Midst-of-Coronavirus-Covid-19-Pandemic.pdf" TargetMode="External"/><Relationship Id="rId16" Type="http://schemas.openxmlformats.org/officeDocument/2006/relationships/hyperlink" Target="https://www.researchgate.net/profile/Elmer-Irene/publication/347519149_Lived_Experiences_of_Fishermen_in_the_Midst_of_Coronavirus_Covid-19_Pandemic/links/5ffe319992851c13fe09c898/Lived-Experiences-of-Fishermen-in-the-Midst-of-Coronavirus-Covid-19-Pandemic.pdf" TargetMode="External"/><Relationship Id="rId5" Type="http://schemas.openxmlformats.org/officeDocument/2006/relationships/styles" Target="styles.xml"/><Relationship Id="rId19" Type="http://schemas.openxmlformats.org/officeDocument/2006/relationships/hyperlink" Target="https://www.journalofnaturestudies.org/files/JNS19-1/66-80_Pelayo_Framing%20Vernacular%20Memories.pdf" TargetMode="External"/><Relationship Id="rId6" Type="http://schemas.openxmlformats.org/officeDocument/2006/relationships/image" Target="media/image1.png"/><Relationship Id="rId18" Type="http://schemas.openxmlformats.org/officeDocument/2006/relationships/hyperlink" Target="https://www.journalofnaturestudies.org/files/JNS19-1/66-80_Pelayo_Framing%20Vernacular%20Memories.pdf" TargetMode="External"/><Relationship Id="rId7" Type="http://schemas.openxmlformats.org/officeDocument/2006/relationships/image" Target="media/image2.png"/><Relationship Id="rId8" Type="http://schemas.openxmlformats.org/officeDocument/2006/relationships/hyperlink" Target="https://pacificfarmers.com/wp-content/uploads/2022/08/2.4.4-SPC-Article_Women-in-Fisheries-Bulletin_Valuing-critical-roles-and-contributions-of-women-fishers-202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