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547E" w:rsidRPr="0003547E" w:rsidRDefault="00685B39" w:rsidP="0003547E">
      <w:pPr>
        <w:spacing w:after="0" w:line="240" w:lineRule="auto"/>
        <w:contextualSpacing/>
        <w:jc w:val="center"/>
        <w:rPr>
          <w:b/>
          <w:sz w:val="28"/>
          <w:szCs w:val="28"/>
        </w:rPr>
      </w:pPr>
      <w:r>
        <w:rPr>
          <w:b/>
          <w:sz w:val="28"/>
          <w:szCs w:val="28"/>
        </w:rPr>
        <w:t xml:space="preserve">Explicative Ranking Abstraction </w:t>
      </w:r>
      <w:r w:rsidR="0003547E">
        <w:rPr>
          <w:b/>
          <w:sz w:val="28"/>
          <w:szCs w:val="28"/>
        </w:rPr>
        <w:t>o</w:t>
      </w:r>
      <w:r w:rsidR="0003547E" w:rsidRPr="0003547E">
        <w:rPr>
          <w:b/>
          <w:sz w:val="28"/>
          <w:szCs w:val="28"/>
        </w:rPr>
        <w:t>f Thermodynamic Hydrate Inhibitor Modeling</w:t>
      </w:r>
    </w:p>
    <w:p w:rsidR="0003547E" w:rsidRDefault="0003547E" w:rsidP="0003547E">
      <w:pPr>
        <w:spacing w:after="0" w:line="240" w:lineRule="auto"/>
        <w:contextualSpacing/>
        <w:jc w:val="center"/>
      </w:pPr>
    </w:p>
    <w:p w:rsidR="0003547E" w:rsidRPr="00F000DF" w:rsidRDefault="0003547E" w:rsidP="0003547E">
      <w:pPr>
        <w:spacing w:after="0" w:line="240" w:lineRule="auto"/>
        <w:contextualSpacing/>
        <w:jc w:val="center"/>
      </w:pPr>
      <w:r w:rsidRPr="00F000DF">
        <w:t>By</w:t>
      </w:r>
    </w:p>
    <w:p w:rsidR="0003547E" w:rsidRPr="00F000DF" w:rsidRDefault="0003547E" w:rsidP="0003547E">
      <w:pPr>
        <w:spacing w:after="0" w:line="240" w:lineRule="auto"/>
        <w:contextualSpacing/>
        <w:jc w:val="center"/>
      </w:pPr>
    </w:p>
    <w:p w:rsidR="0003547E" w:rsidRPr="00156ABD" w:rsidRDefault="00A37A69" w:rsidP="0003547E">
      <w:pPr>
        <w:spacing w:after="0" w:line="240" w:lineRule="auto"/>
        <w:contextualSpacing/>
        <w:jc w:val="center"/>
        <w:rPr>
          <w:b/>
        </w:rPr>
      </w:pPr>
      <w:r>
        <w:rPr>
          <w:b/>
        </w:rPr>
        <w:t>D</w:t>
      </w:r>
      <w:r w:rsidRPr="00156ABD">
        <w:rPr>
          <w:b/>
        </w:rPr>
        <w:t xml:space="preserve">. </w:t>
      </w:r>
      <w:r>
        <w:rPr>
          <w:b/>
        </w:rPr>
        <w:t>I. Egu</w:t>
      </w:r>
      <w:r>
        <w:rPr>
          <w:b/>
          <w:vertAlign w:val="superscript"/>
        </w:rPr>
        <w:t>1</w:t>
      </w:r>
      <w:r w:rsidRPr="00156ABD">
        <w:rPr>
          <w:b/>
        </w:rPr>
        <w:t xml:space="preserve">; </w:t>
      </w:r>
      <w:r w:rsidR="0003547E">
        <w:rPr>
          <w:b/>
        </w:rPr>
        <w:t>V. C</w:t>
      </w:r>
      <w:r w:rsidR="0003547E" w:rsidRPr="00156ABD">
        <w:rPr>
          <w:b/>
        </w:rPr>
        <w:t xml:space="preserve">. </w:t>
      </w:r>
      <w:r w:rsidR="0003547E">
        <w:rPr>
          <w:b/>
        </w:rPr>
        <w:t>Amaefule</w:t>
      </w:r>
      <w:r>
        <w:rPr>
          <w:b/>
          <w:vertAlign w:val="superscript"/>
        </w:rPr>
        <w:t>2</w:t>
      </w:r>
      <w:r w:rsidR="0003547E">
        <w:rPr>
          <w:b/>
        </w:rPr>
        <w:t xml:space="preserve">; </w:t>
      </w:r>
      <w:r w:rsidR="0003547E" w:rsidRPr="00156ABD">
        <w:rPr>
          <w:b/>
        </w:rPr>
        <w:t>R.C. Okoloekwe</w:t>
      </w:r>
      <w:r w:rsidR="0003547E" w:rsidRPr="00156ABD">
        <w:rPr>
          <w:b/>
          <w:vertAlign w:val="superscript"/>
        </w:rPr>
        <w:t>3</w:t>
      </w:r>
      <w:r w:rsidR="0003547E" w:rsidRPr="00156ABD">
        <w:rPr>
          <w:b/>
        </w:rPr>
        <w:t>; A. A. Omeche</w:t>
      </w:r>
      <w:r w:rsidR="0003547E" w:rsidRPr="00156ABD">
        <w:rPr>
          <w:b/>
          <w:vertAlign w:val="superscript"/>
        </w:rPr>
        <w:t>4</w:t>
      </w:r>
      <w:r w:rsidR="0003547E" w:rsidRPr="00156ABD">
        <w:rPr>
          <w:b/>
        </w:rPr>
        <w:t>; U.J. Eze</w:t>
      </w:r>
      <w:r w:rsidR="0003547E" w:rsidRPr="00156ABD">
        <w:rPr>
          <w:b/>
          <w:vertAlign w:val="superscript"/>
        </w:rPr>
        <w:t>5</w:t>
      </w:r>
      <w:r w:rsidR="0003547E" w:rsidRPr="00156ABD">
        <w:rPr>
          <w:b/>
        </w:rPr>
        <w:t xml:space="preserve"> </w:t>
      </w:r>
    </w:p>
    <w:p w:rsidR="0003547E" w:rsidRPr="00156ABD" w:rsidRDefault="0003547E" w:rsidP="0003547E">
      <w:pPr>
        <w:spacing w:after="0" w:line="240" w:lineRule="auto"/>
        <w:contextualSpacing/>
        <w:jc w:val="center"/>
        <w:rPr>
          <w:b/>
        </w:rPr>
      </w:pPr>
    </w:p>
    <w:p w:rsidR="0003547E" w:rsidRPr="00156ABD" w:rsidRDefault="0003547E" w:rsidP="0003547E">
      <w:pPr>
        <w:spacing w:after="0" w:line="240" w:lineRule="auto"/>
        <w:contextualSpacing/>
        <w:jc w:val="center"/>
      </w:pPr>
      <w:r w:rsidRPr="00156ABD">
        <w:rPr>
          <w:vertAlign w:val="superscript"/>
        </w:rPr>
        <w:t>1</w:t>
      </w:r>
      <w:r>
        <w:rPr>
          <w:vertAlign w:val="superscript"/>
        </w:rPr>
        <w:t>,2</w:t>
      </w:r>
      <w:r w:rsidRPr="00156ABD">
        <w:t>Department of Petroleum Engineering, Madonna University Nigeria</w:t>
      </w:r>
    </w:p>
    <w:p w:rsidR="0003547E" w:rsidRPr="00156ABD" w:rsidRDefault="0003547E" w:rsidP="0003547E">
      <w:pPr>
        <w:spacing w:after="0" w:line="240" w:lineRule="auto"/>
        <w:contextualSpacing/>
        <w:jc w:val="center"/>
      </w:pPr>
      <w:r w:rsidRPr="00156ABD">
        <w:rPr>
          <w:vertAlign w:val="superscript"/>
        </w:rPr>
        <w:t>3</w:t>
      </w:r>
      <w:r w:rsidRPr="00156ABD">
        <w:t>Department of Civil Engineering, Madonna University Nigeria</w:t>
      </w:r>
    </w:p>
    <w:p w:rsidR="0003547E" w:rsidRPr="00156ABD" w:rsidRDefault="0003547E" w:rsidP="0003547E">
      <w:pPr>
        <w:spacing w:after="0" w:line="240" w:lineRule="auto"/>
        <w:contextualSpacing/>
        <w:jc w:val="center"/>
      </w:pPr>
      <w:r w:rsidRPr="00156ABD">
        <w:rPr>
          <w:vertAlign w:val="superscript"/>
        </w:rPr>
        <w:t>4</w:t>
      </w:r>
      <w:r w:rsidRPr="00156ABD">
        <w:t>Department of Electrical and Electronics Engineering, Madonna University Nigeria</w:t>
      </w:r>
    </w:p>
    <w:p w:rsidR="0003547E" w:rsidRPr="00156ABD" w:rsidRDefault="0003547E" w:rsidP="0003547E">
      <w:pPr>
        <w:spacing w:after="0" w:line="240" w:lineRule="auto"/>
        <w:contextualSpacing/>
        <w:jc w:val="center"/>
      </w:pPr>
      <w:r w:rsidRPr="00156ABD">
        <w:rPr>
          <w:vertAlign w:val="superscript"/>
        </w:rPr>
        <w:t>5</w:t>
      </w:r>
      <w:r w:rsidRPr="00156ABD">
        <w:t>Department of Computer Engineering, Madonna University Nigeria</w:t>
      </w:r>
    </w:p>
    <w:p w:rsidR="0003547E" w:rsidRPr="00156ABD" w:rsidRDefault="0003547E" w:rsidP="0003547E">
      <w:pPr>
        <w:spacing w:after="0" w:line="240" w:lineRule="auto"/>
        <w:contextualSpacing/>
        <w:jc w:val="center"/>
      </w:pPr>
      <w:r w:rsidRPr="00156ABD">
        <w:rPr>
          <w:b/>
        </w:rPr>
        <w:t xml:space="preserve">Email: </w:t>
      </w:r>
      <w:hyperlink r:id="rId7" w:history="1">
        <w:r w:rsidRPr="00156ABD">
          <w:rPr>
            <w:rStyle w:val="Hyperlink"/>
          </w:rPr>
          <w:t>daniyke98@gmail.com</w:t>
        </w:r>
      </w:hyperlink>
    </w:p>
    <w:p w:rsidR="0003547E" w:rsidRDefault="0003547E" w:rsidP="0003547E">
      <w:pPr>
        <w:spacing w:after="0" w:line="240" w:lineRule="auto"/>
        <w:contextualSpacing/>
        <w:rPr>
          <w:b/>
          <w:sz w:val="32"/>
          <w:szCs w:val="32"/>
        </w:rPr>
      </w:pPr>
    </w:p>
    <w:p w:rsidR="0003547E" w:rsidRPr="00F55A51" w:rsidRDefault="0003547E" w:rsidP="0003547E">
      <w:pPr>
        <w:tabs>
          <w:tab w:val="left" w:pos="2910"/>
        </w:tabs>
        <w:spacing w:after="0" w:line="240" w:lineRule="auto"/>
        <w:contextualSpacing/>
        <w:rPr>
          <w:b/>
        </w:rPr>
      </w:pPr>
      <w:r w:rsidRPr="00F55A51">
        <w:rPr>
          <w:b/>
        </w:rPr>
        <w:t>ABSTRACT</w:t>
      </w:r>
    </w:p>
    <w:p w:rsidR="006C02B9" w:rsidRDefault="0003547E" w:rsidP="0003547E">
      <w:pPr>
        <w:spacing w:after="0" w:line="240" w:lineRule="auto"/>
        <w:contextualSpacing/>
        <w:jc w:val="both"/>
      </w:pPr>
      <w:r w:rsidRPr="0003547E">
        <w:rPr>
          <w:bCs/>
        </w:rPr>
        <w:t xml:space="preserve">Huge financial resources are spent on prevention, control and management thermodynamic gas hydrates particularly during down times. The poor ranking, selection and choice of thermodynamic inhibitor concentrations is a major challenge due to inadequate prediction of the hydrate depression temperatures necessary to control this problem. The non availability of much simpler models for quick computation is perhaps the main reason for most technical failures in the field. </w:t>
      </w:r>
      <w:r w:rsidRPr="0003547E">
        <w:t xml:space="preserve">The </w:t>
      </w:r>
      <w:r w:rsidRPr="0003547E">
        <w:rPr>
          <w:color w:val="FF0000"/>
        </w:rPr>
        <w:t>aim</w:t>
      </w:r>
      <w:r w:rsidRPr="0003547E">
        <w:t xml:space="preserve"> of this study is to carry out a comparative ranking sensitivity analysis modeling of some </w:t>
      </w:r>
      <w:r w:rsidRPr="0003547E">
        <w:rPr>
          <w:bCs/>
        </w:rPr>
        <w:t>thermodynamic</w:t>
      </w:r>
      <w:r w:rsidRPr="0003547E">
        <w:t xml:space="preserve"> hydrate inhibitors. The</w:t>
      </w:r>
      <w:r w:rsidRPr="0003547E">
        <w:rPr>
          <w:b/>
        </w:rPr>
        <w:t xml:space="preserve"> </w:t>
      </w:r>
      <w:r w:rsidRPr="0003547E">
        <w:rPr>
          <w:color w:val="FF0000"/>
        </w:rPr>
        <w:t>objectives</w:t>
      </w:r>
      <w:r w:rsidRPr="0003547E">
        <w:t xml:space="preserve"> are to develop and predict simple depression temperature equations as functions of the inhibitor concentrations from the </w:t>
      </w:r>
      <w:proofErr w:type="spellStart"/>
      <w:r w:rsidRPr="0003547E">
        <w:t>Hammerschimdt</w:t>
      </w:r>
      <w:proofErr w:type="spellEnd"/>
      <w:r w:rsidRPr="0003547E">
        <w:t xml:space="preserve"> and Nielsen-Bucklin equations, to carry out comparative analysis and predict equations of predicted results in order to understand the behavior of the curve patterns and to carry out hydrate inhibitor ranking and selection from predicted results in order to improve the choice of selection for effective performance thereby improving modeling time and quality. The </w:t>
      </w:r>
      <w:r w:rsidRPr="0003547E">
        <w:rPr>
          <w:color w:val="FF0000"/>
        </w:rPr>
        <w:t>method</w:t>
      </w:r>
      <w:r w:rsidRPr="0003547E">
        <w:t xml:space="preserve"> used involves a total of seven </w:t>
      </w:r>
      <w:r w:rsidRPr="0003547E">
        <w:rPr>
          <w:bCs/>
        </w:rPr>
        <w:t>thermodynamic</w:t>
      </w:r>
      <w:r w:rsidRPr="0003547E">
        <w:t xml:space="preserve"> hydrate inhibitors with a concentration range from 5 to 50 wt%, while mathematical programs and model predictions were developed with Microsoft Excel spreadsheet. Comparative </w:t>
      </w:r>
      <w:r w:rsidRPr="0003547E">
        <w:rPr>
          <w:color w:val="FF0000"/>
        </w:rPr>
        <w:t>results</w:t>
      </w:r>
      <w:r w:rsidRPr="0003547E">
        <w:t xml:space="preserve"> of all predicted depression temperature with inhibitor concentrations show that methanol performed better from 5 wt% to 40 wt%. Results of comprehensive predicted depression temperature model gave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0031</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4503</m:t>
        </m:r>
        <m:r>
          <m:rPr>
            <m:sty m:val="bi"/>
          </m:rPr>
          <w:rPr>
            <w:rFonts w:ascii="Cambria Math" w:hAnsi="Cambria Math"/>
            <w:color w:val="333333"/>
          </w:rPr>
          <m:t>C</m:t>
        </m:r>
        <m:r>
          <m:rPr>
            <m:sty m:val="bi"/>
          </m:rPr>
          <w:rPr>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6504</m:t>
        </m:r>
        <m:r>
          <m:rPr>
            <m:sty m:val="bi"/>
          </m:rPr>
          <w:rPr>
            <w:rFonts w:ascii="Cambria Math"/>
            <w:color w:val="333333"/>
          </w:rPr>
          <m:t xml:space="preserve">;  </m:t>
        </m:r>
      </m:oMath>
      <w:r w:rsidRPr="0003547E">
        <w:rPr>
          <w:color w:val="333333"/>
        </w:rPr>
        <w:t xml:space="preserve">with square regression </w:t>
      </w:r>
      <w:proofErr w:type="gramStart"/>
      <w:r w:rsidRPr="0003547E">
        <w:rPr>
          <w:color w:val="333333"/>
        </w:rPr>
        <w:t xml:space="preserve">of </w:t>
      </w:r>
      <m:oMath>
        <w:proofErr w:type="gramEnd"/>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oMath>
      <w:r w:rsidRPr="0003547E">
        <w:rPr>
          <w:color w:val="333333"/>
        </w:rPr>
        <w:t xml:space="preserve">. </w:t>
      </w:r>
      <w:r w:rsidRPr="0003547E">
        <w:t xml:space="preserve">The predicted inhibitor </w:t>
      </w:r>
      <w:r w:rsidRPr="0003547E">
        <w:rPr>
          <w:color w:val="FF0000"/>
        </w:rPr>
        <w:t>ranking</w:t>
      </w:r>
      <w:r w:rsidRPr="0003547E">
        <w:t xml:space="preserve"> due to hydrate depression temperature is best from </w:t>
      </w:r>
      <w:r w:rsidRPr="0003547E">
        <w:rPr>
          <w:color w:val="FF0000"/>
        </w:rPr>
        <w:t>methanol</w:t>
      </w:r>
      <w:r w:rsidRPr="0003547E">
        <w:t xml:space="preserve"> (</w:t>
      </w:r>
      <w:proofErr w:type="spellStart"/>
      <w:r w:rsidRPr="0003547E">
        <w:t>MeOH</w:t>
      </w:r>
      <w:proofErr w:type="spellEnd"/>
      <w:r w:rsidRPr="0003547E">
        <w:t>) at 175.872</w:t>
      </w:r>
      <w:r w:rsidRPr="0003547E">
        <w:rPr>
          <w:vertAlign w:val="superscript"/>
        </w:rPr>
        <w:t>o</w:t>
      </w:r>
      <w:r w:rsidRPr="0003547E">
        <w:t>F; ethanol (</w:t>
      </w:r>
      <w:proofErr w:type="spellStart"/>
      <w:r w:rsidRPr="0003547E">
        <w:t>EtOH</w:t>
      </w:r>
      <w:proofErr w:type="spellEnd"/>
      <w:r w:rsidRPr="0003547E">
        <w:t>) at 118.0349</w:t>
      </w:r>
      <w:r w:rsidRPr="0003547E">
        <w:rPr>
          <w:vertAlign w:val="superscript"/>
        </w:rPr>
        <w:t>o</w:t>
      </w:r>
      <w:r w:rsidRPr="0003547E">
        <w:t>F; sodium chloride (</w:t>
      </w:r>
      <w:proofErr w:type="spellStart"/>
      <w:r w:rsidRPr="0003547E">
        <w:t>NaCl</w:t>
      </w:r>
      <w:proofErr w:type="spellEnd"/>
      <w:r w:rsidRPr="0003547E">
        <w:t>) at 114.4619</w:t>
      </w:r>
      <w:r w:rsidRPr="0003547E">
        <w:rPr>
          <w:vertAlign w:val="superscript"/>
        </w:rPr>
        <w:t>o</w:t>
      </w:r>
      <w:r w:rsidRPr="0003547E">
        <w:t>F; potassium chloride (</w:t>
      </w:r>
      <w:proofErr w:type="spellStart"/>
      <w:r w:rsidRPr="0003547E">
        <w:t>KCl</w:t>
      </w:r>
      <w:proofErr w:type="spellEnd"/>
      <w:r w:rsidRPr="0003547E">
        <w:t>) at 103.5248</w:t>
      </w:r>
      <w:r w:rsidRPr="0003547E">
        <w:rPr>
          <w:vertAlign w:val="superscript"/>
        </w:rPr>
        <w:t>o</w:t>
      </w:r>
      <w:r w:rsidRPr="0003547E">
        <w:t>F; predicted comprehensive equation at 78.6146</w:t>
      </w:r>
      <w:r w:rsidRPr="0003547E">
        <w:rPr>
          <w:vertAlign w:val="superscript"/>
        </w:rPr>
        <w:t>o</w:t>
      </w:r>
      <w:r w:rsidRPr="0003547E">
        <w:t>F; calcium chloride (CaCl</w:t>
      </w:r>
      <w:r w:rsidRPr="0003547E">
        <w:rPr>
          <w:vertAlign w:val="subscript"/>
        </w:rPr>
        <w:t>2</w:t>
      </w:r>
      <w:r w:rsidRPr="0003547E">
        <w:t>) at 76.6799</w:t>
      </w:r>
      <w:r w:rsidRPr="0003547E">
        <w:rPr>
          <w:vertAlign w:val="superscript"/>
        </w:rPr>
        <w:t>o</w:t>
      </w:r>
      <w:r w:rsidRPr="0003547E">
        <w:t xml:space="preserve">F; </w:t>
      </w:r>
      <w:proofErr w:type="spellStart"/>
      <w:r w:rsidRPr="0003547E">
        <w:t>di</w:t>
      </w:r>
      <w:proofErr w:type="spellEnd"/>
      <w:r w:rsidRPr="0003547E">
        <w:t>-ethylene glycol (DEG) at 68.6595</w:t>
      </w:r>
      <w:r w:rsidRPr="0003547E">
        <w:rPr>
          <w:vertAlign w:val="superscript"/>
        </w:rPr>
        <w:t>o</w:t>
      </w:r>
      <w:r w:rsidRPr="0003547E">
        <w:t>F; and tri-ethylene glycol (</w:t>
      </w:r>
      <w:r w:rsidRPr="0003547E">
        <w:rPr>
          <w:color w:val="FF0000"/>
        </w:rPr>
        <w:t>TEG</w:t>
      </w:r>
      <w:r w:rsidRPr="0003547E">
        <w:t>) at 68.3905</w:t>
      </w:r>
      <w:r w:rsidRPr="0003547E">
        <w:rPr>
          <w:vertAlign w:val="superscript"/>
        </w:rPr>
        <w:t>o</w:t>
      </w:r>
      <w:r w:rsidRPr="0003547E">
        <w:t>F.</w:t>
      </w:r>
    </w:p>
    <w:p w:rsidR="006C02B9" w:rsidRDefault="006C02B9" w:rsidP="0003547E">
      <w:pPr>
        <w:spacing w:after="0" w:line="240" w:lineRule="auto"/>
        <w:contextualSpacing/>
        <w:jc w:val="both"/>
      </w:pPr>
    </w:p>
    <w:p w:rsidR="0003547E" w:rsidRPr="0003547E" w:rsidRDefault="0003547E" w:rsidP="0003547E">
      <w:pPr>
        <w:spacing w:after="0" w:line="240" w:lineRule="auto"/>
        <w:contextualSpacing/>
        <w:jc w:val="both"/>
      </w:pPr>
      <w:r w:rsidRPr="0003547E">
        <w:rPr>
          <w:b/>
        </w:rPr>
        <w:t>Key words:</w:t>
      </w:r>
      <w:r>
        <w:t xml:space="preserve"> Thermodynamics, inhibitors, hydrates, concentration, depression temperature, ranking.</w:t>
      </w:r>
    </w:p>
    <w:p w:rsidR="0003547E" w:rsidRPr="0003547E" w:rsidRDefault="0003547E" w:rsidP="0003547E">
      <w:pPr>
        <w:spacing w:after="0" w:line="240" w:lineRule="auto"/>
        <w:contextualSpacing/>
      </w:pPr>
    </w:p>
    <w:p w:rsidR="0003547E" w:rsidRPr="0003547E" w:rsidRDefault="0003547E" w:rsidP="0003547E">
      <w:pPr>
        <w:pStyle w:val="ListParagraph"/>
        <w:numPr>
          <w:ilvl w:val="0"/>
          <w:numId w:val="17"/>
        </w:numPr>
        <w:spacing w:after="0" w:line="240" w:lineRule="auto"/>
        <w:rPr>
          <w:b/>
        </w:rPr>
      </w:pPr>
      <w:r w:rsidRPr="0003547E">
        <w:rPr>
          <w:b/>
        </w:rPr>
        <w:t>Background of study</w:t>
      </w:r>
    </w:p>
    <w:p w:rsidR="0003547E" w:rsidRPr="0003547E" w:rsidRDefault="0003547E" w:rsidP="0003547E">
      <w:pPr>
        <w:spacing w:after="0" w:line="240" w:lineRule="auto"/>
        <w:contextualSpacing/>
        <w:jc w:val="both"/>
      </w:pPr>
      <w:r w:rsidRPr="0003547E">
        <w:t>Kinetic hydrate inhibitors are low molecular weight water – soluble polymers or copolymers that prevent hydrate blockage by bonding to the hydrate surface and delaying hydrate crystal nucleation and/or growth (</w:t>
      </w:r>
      <w:proofErr w:type="spellStart"/>
      <w:r w:rsidRPr="0003547E">
        <w:rPr>
          <w:color w:val="FF0000"/>
        </w:rPr>
        <w:t>Kelland</w:t>
      </w:r>
      <w:proofErr w:type="spellEnd"/>
      <w:r w:rsidRPr="0003547E">
        <w:rPr>
          <w:color w:val="FF0000"/>
        </w:rPr>
        <w:t xml:space="preserve">, 2019; </w:t>
      </w:r>
      <w:proofErr w:type="spellStart"/>
      <w:r w:rsidRPr="0003547E">
        <w:rPr>
          <w:color w:val="FF0000"/>
        </w:rPr>
        <w:t>Zheng</w:t>
      </w:r>
      <w:proofErr w:type="spellEnd"/>
      <w:r w:rsidRPr="0003547E">
        <w:rPr>
          <w:color w:val="FF0000"/>
        </w:rPr>
        <w:t xml:space="preserve"> et al., 2021</w:t>
      </w:r>
      <w:r w:rsidRPr="0003547E">
        <w:t xml:space="preserve">). Examples are sodium carbonate </w:t>
      </w:r>
      <w:proofErr w:type="spellStart"/>
      <w:r w:rsidRPr="0003547E">
        <w:t>decahydrate</w:t>
      </w:r>
      <w:proofErr w:type="spellEnd"/>
      <w:r w:rsidRPr="0003547E">
        <w:t xml:space="preserve"> – </w:t>
      </w:r>
      <w:r w:rsidRPr="0003547E">
        <w:rPr>
          <w:color w:val="FF0000"/>
        </w:rPr>
        <w:t>Na</w:t>
      </w:r>
      <w:r w:rsidRPr="0003547E">
        <w:rPr>
          <w:color w:val="FF0000"/>
          <w:vertAlign w:val="subscript"/>
        </w:rPr>
        <w:t>2</w:t>
      </w:r>
      <w:r w:rsidRPr="0003547E">
        <w:rPr>
          <w:color w:val="FF0000"/>
        </w:rPr>
        <w:t>CO</w:t>
      </w:r>
      <w:r w:rsidRPr="0003547E">
        <w:rPr>
          <w:color w:val="FF0000"/>
          <w:vertAlign w:val="subscript"/>
        </w:rPr>
        <w:t>3</w:t>
      </w:r>
      <w:r w:rsidRPr="0003547E">
        <w:rPr>
          <w:color w:val="FF0000"/>
        </w:rPr>
        <w:t xml:space="preserve"> 10H</w:t>
      </w:r>
      <w:r w:rsidRPr="0003547E">
        <w:rPr>
          <w:color w:val="FF0000"/>
          <w:vertAlign w:val="subscript"/>
        </w:rPr>
        <w:t>2</w:t>
      </w:r>
      <w:r w:rsidRPr="0003547E">
        <w:rPr>
          <w:color w:val="FF0000"/>
        </w:rPr>
        <w:t>O</w:t>
      </w:r>
      <w:r w:rsidRPr="0003547E">
        <w:t xml:space="preserve"> and copper </w:t>
      </w:r>
      <w:proofErr w:type="spellStart"/>
      <w:r w:rsidRPr="0003547E">
        <w:t>sulphate</w:t>
      </w:r>
      <w:proofErr w:type="spellEnd"/>
      <w:r w:rsidRPr="0003547E">
        <w:t xml:space="preserve"> </w:t>
      </w:r>
      <w:proofErr w:type="spellStart"/>
      <w:r w:rsidRPr="0003547E">
        <w:t>pentahydrate</w:t>
      </w:r>
      <w:proofErr w:type="spellEnd"/>
      <w:r w:rsidRPr="0003547E">
        <w:t xml:space="preserve"> – </w:t>
      </w:r>
      <w:r w:rsidRPr="0003547E">
        <w:rPr>
          <w:color w:val="FF0000"/>
        </w:rPr>
        <w:t>CuSO</w:t>
      </w:r>
      <w:r w:rsidRPr="0003547E">
        <w:rPr>
          <w:color w:val="FF0000"/>
          <w:vertAlign w:val="subscript"/>
        </w:rPr>
        <w:t>4</w:t>
      </w:r>
      <w:r w:rsidRPr="0003547E">
        <w:rPr>
          <w:color w:val="FF0000"/>
        </w:rPr>
        <w:t xml:space="preserve"> 5H</w:t>
      </w:r>
      <w:r w:rsidRPr="0003547E">
        <w:rPr>
          <w:color w:val="FF0000"/>
          <w:vertAlign w:val="subscript"/>
        </w:rPr>
        <w:t>2</w:t>
      </w:r>
      <w:r w:rsidRPr="0003547E">
        <w:rPr>
          <w:color w:val="FF0000"/>
        </w:rPr>
        <w:t>O.</w:t>
      </w:r>
      <w:r w:rsidR="009B4ED8">
        <w:t xml:space="preserve"> </w:t>
      </w:r>
      <w:r w:rsidRPr="0003547E">
        <w:t>The f</w:t>
      </w:r>
      <w:r w:rsidR="009B4ED8">
        <w:t xml:space="preserve">ormation of hydrates depends on the presence of sufficient amount of water, presence of hydrate former and appropriate temperature and pressure conditions. </w:t>
      </w:r>
      <w:r w:rsidRPr="0003547E">
        <w:t>Methane hydrate is an ice-like substance formed when methane and water combine at low temperature (up to approximately 25</w:t>
      </w:r>
      <w:r w:rsidRPr="0003547E">
        <w:rPr>
          <w:vertAlign w:val="superscript"/>
        </w:rPr>
        <w:t>o</w:t>
      </w:r>
      <w:r w:rsidRPr="0003547E">
        <w:t>C) and moderate pressures (greater than 450 to 750Psi). This means that hydrates may form from natural gases at elevated temperatures well above zero degrees centigrade (</w:t>
      </w:r>
      <w:r w:rsidRPr="0003547E">
        <w:rPr>
          <w:color w:val="FF0000"/>
        </w:rPr>
        <w:t>Harris et al., 2022; Semenov et al., 2024</w:t>
      </w:r>
      <w:r w:rsidRPr="0003547E">
        <w:t xml:space="preserve">). </w:t>
      </w:r>
    </w:p>
    <w:p w:rsidR="0003547E" w:rsidRPr="0003547E" w:rsidRDefault="0003547E" w:rsidP="0003547E">
      <w:pPr>
        <w:spacing w:after="0" w:line="240" w:lineRule="auto"/>
        <w:contextualSpacing/>
        <w:jc w:val="both"/>
      </w:pPr>
      <w:r w:rsidRPr="0003547E">
        <w:t>Hydrate inhibitors are typically used to lower the hydrate formation temperature of the gas. Methane (</w:t>
      </w:r>
      <w:proofErr w:type="spellStart"/>
      <w:r w:rsidRPr="0003547E">
        <w:t>MeOH</w:t>
      </w:r>
      <w:proofErr w:type="spellEnd"/>
      <w:r w:rsidRPr="0003547E">
        <w:t>) and ethylene glycol are the most commonly used inhibitors in the industry. Gas hydrates occur in the pore spaces of sediments and may form cements, nodes or layers</w:t>
      </w:r>
      <w:r w:rsidR="003B404C">
        <w:t xml:space="preserve"> (</w:t>
      </w:r>
      <w:r w:rsidR="003B404C" w:rsidRPr="003B404C">
        <w:rPr>
          <w:color w:val="FF0000"/>
        </w:rPr>
        <w:t>Egu et al., 2022</w:t>
      </w:r>
      <w:r w:rsidR="003B404C">
        <w:t>)</w:t>
      </w:r>
      <w:r w:rsidRPr="0003547E">
        <w:t>. They are also found in naturally occurring deposits under oceanic sediments or within continental sedimentary rock formations (</w:t>
      </w:r>
      <w:r w:rsidRPr="0003547E">
        <w:rPr>
          <w:color w:val="FF0000"/>
        </w:rPr>
        <w:t>Jose et al., 2020</w:t>
      </w:r>
      <w:r w:rsidRPr="0003547E">
        <w:t>)</w:t>
      </w:r>
      <w:r w:rsidR="009B4ED8">
        <w:t xml:space="preserve">. </w:t>
      </w:r>
      <w:r w:rsidRPr="0003547E">
        <w:t xml:space="preserve">The three kinds of hydrates are organic, inorganic, and gas (or </w:t>
      </w:r>
      <w:proofErr w:type="spellStart"/>
      <w:r w:rsidRPr="0003547E">
        <w:t>clathrates</w:t>
      </w:r>
      <w:proofErr w:type="spellEnd"/>
      <w:r w:rsidRPr="0003547E">
        <w:t xml:space="preserve">). Methane </w:t>
      </w:r>
      <w:proofErr w:type="spellStart"/>
      <w:r w:rsidRPr="0003547E">
        <w:t>clathrate</w:t>
      </w:r>
      <w:proofErr w:type="spellEnd"/>
      <w:r w:rsidRPr="0003547E">
        <w:t xml:space="preserve"> (CH</w:t>
      </w:r>
      <w:r w:rsidRPr="0003547E">
        <w:rPr>
          <w:vertAlign w:val="subscript"/>
        </w:rPr>
        <w:t>4</w:t>
      </w:r>
      <w:r w:rsidRPr="0003547E">
        <w:t xml:space="preserve"> 5.75H</w:t>
      </w:r>
      <w:r w:rsidRPr="0003547E">
        <w:rPr>
          <w:vertAlign w:val="subscript"/>
        </w:rPr>
        <w:t>2</w:t>
      </w:r>
      <w:r w:rsidRPr="0003547E">
        <w:t>O) or (4CH</w:t>
      </w:r>
      <w:r w:rsidRPr="0003547E">
        <w:rPr>
          <w:vertAlign w:val="subscript"/>
        </w:rPr>
        <w:t>4</w:t>
      </w:r>
      <w:r w:rsidRPr="0003547E">
        <w:t xml:space="preserve"> 23H</w:t>
      </w:r>
      <w:r w:rsidRPr="0003547E">
        <w:rPr>
          <w:vertAlign w:val="subscript"/>
        </w:rPr>
        <w:t>2</w:t>
      </w:r>
      <w:r w:rsidRPr="0003547E">
        <w:t xml:space="preserve">O), also called methane hydrate, </w:t>
      </w:r>
      <w:proofErr w:type="spellStart"/>
      <w:r w:rsidRPr="0003547E">
        <w:t>hydromethane</w:t>
      </w:r>
      <w:proofErr w:type="spellEnd"/>
      <w:r w:rsidRPr="0003547E">
        <w:t xml:space="preserve">, methane ice, natural gas hydrate or gas hydrate is a solid </w:t>
      </w:r>
      <w:proofErr w:type="spellStart"/>
      <w:r w:rsidRPr="0003547E">
        <w:t>clathrate</w:t>
      </w:r>
      <w:proofErr w:type="spellEnd"/>
      <w:r w:rsidRPr="0003547E">
        <w:t xml:space="preserve"> compound in which a large amount of methane is trapped </w:t>
      </w:r>
      <w:r w:rsidRPr="0003547E">
        <w:lastRenderedPageBreak/>
        <w:t>within a crystal structure of water forming a</w:t>
      </w:r>
      <w:r w:rsidR="006C2EE9">
        <w:t xml:space="preserve"> solid substance (</w:t>
      </w:r>
      <w:proofErr w:type="spellStart"/>
      <w:r w:rsidR="003B404C">
        <w:rPr>
          <w:color w:val="FF0000"/>
        </w:rPr>
        <w:t>Ilozobhie</w:t>
      </w:r>
      <w:proofErr w:type="spellEnd"/>
      <w:r w:rsidR="003B404C">
        <w:rPr>
          <w:color w:val="FF0000"/>
        </w:rPr>
        <w:t xml:space="preserve"> et al.</w:t>
      </w:r>
      <w:r w:rsidR="006C2EE9">
        <w:rPr>
          <w:color w:val="FF0000"/>
        </w:rPr>
        <w:t xml:space="preserve">, </w:t>
      </w:r>
      <w:r w:rsidR="003B404C">
        <w:rPr>
          <w:color w:val="FF0000"/>
        </w:rPr>
        <w:t>2023</w:t>
      </w:r>
      <w:r w:rsidR="006C2EE9" w:rsidRPr="0003547E">
        <w:rPr>
          <w:color w:val="FF0000"/>
        </w:rPr>
        <w:t>)</w:t>
      </w:r>
      <w:r w:rsidR="006C2EE9">
        <w:rPr>
          <w:color w:val="FF0000"/>
        </w:rPr>
        <w:t>.</w:t>
      </w:r>
      <w:r w:rsidR="009B4ED8">
        <w:t xml:space="preserve"> </w:t>
      </w:r>
      <w:r w:rsidRPr="0003547E">
        <w:t>Hydrates are classified by the crystal structures they form. There are three common structures namely: type I, type II and type H. The size of the hydrate former molecule dictates which type of hydrate will form. The smallest guest molecules form type II, the intermediate ones for typ</w:t>
      </w:r>
      <w:r w:rsidR="006C2EE9">
        <w:t>e I and the largest form type H (</w:t>
      </w:r>
      <w:proofErr w:type="spellStart"/>
      <w:r w:rsidR="006C2EE9">
        <w:rPr>
          <w:color w:val="FF0000"/>
        </w:rPr>
        <w:t>Okereke</w:t>
      </w:r>
      <w:proofErr w:type="spellEnd"/>
      <w:r w:rsidR="006C2EE9">
        <w:rPr>
          <w:color w:val="FF0000"/>
        </w:rPr>
        <w:t xml:space="preserve"> et al </w:t>
      </w:r>
      <w:r w:rsidR="006C2EE9" w:rsidRPr="0003547E">
        <w:rPr>
          <w:color w:val="FF0000"/>
        </w:rPr>
        <w:t>2020)</w:t>
      </w:r>
      <w:r w:rsidR="006C2EE9">
        <w:rPr>
          <w:color w:val="FF0000"/>
        </w:rPr>
        <w:t>.</w:t>
      </w:r>
    </w:p>
    <w:p w:rsidR="0003547E" w:rsidRPr="0003547E" w:rsidRDefault="0003547E" w:rsidP="0003547E">
      <w:pPr>
        <w:spacing w:after="0" w:line="240" w:lineRule="auto"/>
        <w:contextualSpacing/>
        <w:jc w:val="both"/>
      </w:pPr>
      <w:r w:rsidRPr="0003547E">
        <w:t xml:space="preserve">Meanwhile, gas hydrates are also naturally found in sub oceanic sediments in the </w:t>
      </w:r>
      <w:proofErr w:type="gramStart"/>
      <w:r w:rsidRPr="0003547E">
        <w:t>polar regions</w:t>
      </w:r>
      <w:proofErr w:type="gramEnd"/>
      <w:r w:rsidRPr="0003547E">
        <w:t xml:space="preserve"> (or shallow water) and in continental slope sediments (or deep water) where pressure and temperature conditions combine to make them stable (</w:t>
      </w:r>
      <w:proofErr w:type="spellStart"/>
      <w:r w:rsidRPr="0003547E">
        <w:rPr>
          <w:color w:val="FF0000"/>
        </w:rPr>
        <w:t>Hao</w:t>
      </w:r>
      <w:proofErr w:type="spellEnd"/>
      <w:r w:rsidRPr="0003547E">
        <w:rPr>
          <w:color w:val="FF0000"/>
        </w:rPr>
        <w:t xml:space="preserve"> et al., 2023</w:t>
      </w:r>
      <w:r w:rsidRPr="0003547E">
        <w:t>).</w:t>
      </w:r>
      <w:r w:rsidR="009B4ED8">
        <w:t xml:space="preserve"> </w:t>
      </w:r>
      <w:r w:rsidRPr="0003547E">
        <w:t>Hydrates can be identified by stating the name of the anhydrous component followed by the Greek prefix indicating the number of moles of water present, then the word hydrate. This means that hydrates are named by the ionic compound followed by a numerical prefix and suffix –“hydrate”. The “nH</w:t>
      </w:r>
      <w:r w:rsidRPr="0003547E">
        <w:rPr>
          <w:vertAlign w:val="subscript"/>
        </w:rPr>
        <w:t>2</w:t>
      </w:r>
      <w:r w:rsidRPr="0003547E">
        <w:t>O” notation indicates that “n” (described by a Greek prefix) number of loosely bonded water molecule is associated per formula-unit of the salt. An anhydrite is a hydrate that has lost water (</w:t>
      </w:r>
      <w:r w:rsidRPr="0003547E">
        <w:rPr>
          <w:color w:val="FF0000"/>
        </w:rPr>
        <w:t>Fabien et al., 2019</w:t>
      </w:r>
      <w:r w:rsidRPr="0003547E">
        <w:t xml:space="preserve">). </w:t>
      </w:r>
    </w:p>
    <w:p w:rsidR="0003547E" w:rsidRPr="0003547E" w:rsidRDefault="0003547E" w:rsidP="0003547E">
      <w:pPr>
        <w:spacing w:after="0" w:line="240" w:lineRule="auto"/>
        <w:contextualSpacing/>
        <w:jc w:val="both"/>
      </w:pPr>
      <w:r w:rsidRPr="0003547E">
        <w:t>Nevertheless, there are four basic methods of prevention of hydrate formation. These include;</w:t>
      </w:r>
    </w:p>
    <w:p w:rsidR="0003547E" w:rsidRPr="0003547E" w:rsidRDefault="0003547E" w:rsidP="0003547E">
      <w:pPr>
        <w:pStyle w:val="ListParagraph"/>
        <w:numPr>
          <w:ilvl w:val="0"/>
          <w:numId w:val="11"/>
        </w:numPr>
        <w:spacing w:after="0" w:line="240" w:lineRule="auto"/>
        <w:jc w:val="both"/>
      </w:pPr>
      <w:r w:rsidRPr="0003547E">
        <w:t>Removal of water from the system.</w:t>
      </w:r>
    </w:p>
    <w:p w:rsidR="0003547E" w:rsidRPr="0003547E" w:rsidRDefault="0003547E" w:rsidP="0003547E">
      <w:pPr>
        <w:pStyle w:val="ListParagraph"/>
        <w:numPr>
          <w:ilvl w:val="0"/>
          <w:numId w:val="11"/>
        </w:numPr>
        <w:spacing w:after="0" w:line="240" w:lineRule="auto"/>
        <w:jc w:val="both"/>
      </w:pPr>
      <w:r w:rsidRPr="0003547E">
        <w:t>Raising the system temperature above equilibrium.</w:t>
      </w:r>
    </w:p>
    <w:p w:rsidR="0003547E" w:rsidRPr="0003547E" w:rsidRDefault="0003547E" w:rsidP="0003547E">
      <w:pPr>
        <w:pStyle w:val="ListParagraph"/>
        <w:numPr>
          <w:ilvl w:val="0"/>
          <w:numId w:val="11"/>
        </w:numPr>
        <w:spacing w:after="0" w:line="240" w:lineRule="auto"/>
        <w:jc w:val="both"/>
      </w:pPr>
      <w:r w:rsidRPr="0003547E">
        <w:t>Decreasing the system pressure below equilibrium.</w:t>
      </w:r>
    </w:p>
    <w:p w:rsidR="0003547E" w:rsidRPr="0003547E" w:rsidRDefault="0003547E" w:rsidP="0003547E">
      <w:pPr>
        <w:pStyle w:val="ListParagraph"/>
        <w:numPr>
          <w:ilvl w:val="0"/>
          <w:numId w:val="11"/>
        </w:numPr>
        <w:spacing w:after="0" w:line="240" w:lineRule="auto"/>
        <w:jc w:val="both"/>
      </w:pPr>
      <w:r w:rsidRPr="0003547E">
        <w:t>Introduction of inhibitors.</w:t>
      </w:r>
    </w:p>
    <w:p w:rsidR="0003547E" w:rsidRPr="0003547E" w:rsidRDefault="0003547E" w:rsidP="0003547E">
      <w:pPr>
        <w:spacing w:after="0" w:line="240" w:lineRule="auto"/>
        <w:contextualSpacing/>
        <w:jc w:val="both"/>
        <w:rPr>
          <w:b/>
          <w:bCs/>
        </w:rPr>
      </w:pPr>
    </w:p>
    <w:p w:rsidR="0003547E" w:rsidRPr="009B4ED8" w:rsidRDefault="0003547E" w:rsidP="0003547E">
      <w:pPr>
        <w:spacing w:after="0" w:line="240" w:lineRule="auto"/>
        <w:contextualSpacing/>
        <w:jc w:val="both"/>
        <w:rPr>
          <w:bCs/>
        </w:rPr>
      </w:pPr>
      <w:r w:rsidRPr="00F81D12">
        <w:rPr>
          <w:bCs/>
          <w:color w:val="FF0000"/>
        </w:rPr>
        <w:t>Huge</w:t>
      </w:r>
      <w:r w:rsidRPr="0003547E">
        <w:rPr>
          <w:bCs/>
        </w:rPr>
        <w:t xml:space="preserve"> financial resources are spent on hydrate prevention and control particularly during down times. The poor ranking, selection and choice of thermodynamic inhibitor concentrations is a major challenge due to the inadequate prediction of the hydrate depression temperatures necessary to control this problem. Inadequate modeling techniques and software with skilled hydrate engineers is a major concern to improving the quality of hydrate control and prevention particularly with the aid of simple equations. The non understanding of predicted depression curve patterns can also lead to wrong selection of inhibitors giving rise to huge system failure and considerable loss of revenue. The non availability of much simpler models for quick computation is perhaps the main reason for most technical failures in the field.</w:t>
      </w:r>
      <w:r w:rsidR="00F81D12">
        <w:rPr>
          <w:bCs/>
        </w:rPr>
        <w:t xml:space="preserve"> </w:t>
      </w:r>
      <w:r w:rsidRPr="0003547E">
        <w:t xml:space="preserve">The </w:t>
      </w:r>
      <w:r w:rsidRPr="00F81D12">
        <w:rPr>
          <w:color w:val="FF0000"/>
        </w:rPr>
        <w:t>aim</w:t>
      </w:r>
      <w:r w:rsidRPr="0003547E">
        <w:t xml:space="preserve"> of this study is to carry out a comparative ranking sensitivity analysis modeling of some thermodynamic hydrate inhibitors.</w:t>
      </w:r>
      <w:r w:rsidR="009B4ED8">
        <w:t xml:space="preserve"> </w:t>
      </w:r>
      <w:r w:rsidRPr="0003547E">
        <w:rPr>
          <w:color w:val="333333"/>
        </w:rPr>
        <w:t>The</w:t>
      </w:r>
      <w:r w:rsidRPr="0003547E">
        <w:rPr>
          <w:b/>
          <w:color w:val="333333"/>
        </w:rPr>
        <w:t xml:space="preserve"> </w:t>
      </w:r>
      <w:r w:rsidRPr="00F81D12">
        <w:rPr>
          <w:color w:val="FF0000"/>
        </w:rPr>
        <w:t>objectives</w:t>
      </w:r>
      <w:r w:rsidRPr="0003547E">
        <w:rPr>
          <w:color w:val="333333"/>
        </w:rPr>
        <w:t xml:space="preserve"> of this study</w:t>
      </w:r>
      <w:r w:rsidR="00F81D12">
        <w:rPr>
          <w:color w:val="333333"/>
        </w:rPr>
        <w:t xml:space="preserve"> are t</w:t>
      </w:r>
      <w:r w:rsidRPr="0003547E">
        <w:rPr>
          <w:color w:val="333333"/>
        </w:rPr>
        <w:t xml:space="preserve">o develop and </w:t>
      </w:r>
      <w:r w:rsidRPr="0003547E">
        <w:rPr>
          <w:color w:val="FF0000"/>
        </w:rPr>
        <w:t>predict</w:t>
      </w:r>
      <w:r w:rsidRPr="0003547E">
        <w:rPr>
          <w:color w:val="333333"/>
        </w:rPr>
        <w:t xml:space="preserve"> simple depression temperature equations as functions of the inhibitor concentrations from 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rPr>
          <w:color w:val="333333"/>
        </w:rPr>
        <w:t xml:space="preserve"> equations</w:t>
      </w:r>
      <w:r w:rsidR="00F81D12">
        <w:rPr>
          <w:color w:val="333333"/>
        </w:rPr>
        <w:t>, t</w:t>
      </w:r>
      <w:r w:rsidRPr="0003547E">
        <w:rPr>
          <w:color w:val="333333"/>
        </w:rPr>
        <w:t xml:space="preserve">o carry out </w:t>
      </w:r>
      <w:r w:rsidRPr="0003547E">
        <w:rPr>
          <w:color w:val="FF0000"/>
        </w:rPr>
        <w:t>comparative</w:t>
      </w:r>
      <w:r w:rsidRPr="0003547E">
        <w:rPr>
          <w:color w:val="333333"/>
        </w:rPr>
        <w:t xml:space="preserve"> analysis of predicted results in order to understand the behavior of the curve patterns</w:t>
      </w:r>
      <w:r w:rsidR="00F81D12">
        <w:rPr>
          <w:color w:val="333333"/>
        </w:rPr>
        <w:t>, t</w:t>
      </w:r>
      <w:r w:rsidRPr="0003547E">
        <w:rPr>
          <w:color w:val="333333"/>
        </w:rPr>
        <w:t xml:space="preserve">o carry out hydrate inhibitor </w:t>
      </w:r>
      <w:r w:rsidRPr="0003547E">
        <w:rPr>
          <w:color w:val="FF0000"/>
        </w:rPr>
        <w:t>ranking</w:t>
      </w:r>
      <w:r w:rsidRPr="0003547E">
        <w:rPr>
          <w:color w:val="333333"/>
        </w:rPr>
        <w:t xml:space="preserve"> and </w:t>
      </w:r>
      <w:r w:rsidRPr="0003547E">
        <w:rPr>
          <w:color w:val="FF0000"/>
        </w:rPr>
        <w:t>selection</w:t>
      </w:r>
      <w:r w:rsidRPr="0003547E">
        <w:rPr>
          <w:color w:val="333333"/>
        </w:rPr>
        <w:t xml:space="preserve"> from predicted results in order to improve the choice of selection for effective performance</w:t>
      </w:r>
      <w:r w:rsidR="00F81D12">
        <w:rPr>
          <w:color w:val="333333"/>
        </w:rPr>
        <w:t>, and t</w:t>
      </w:r>
      <w:r w:rsidRPr="0003547E">
        <w:rPr>
          <w:color w:val="333333"/>
        </w:rPr>
        <w:t xml:space="preserve">o develop a general </w:t>
      </w:r>
      <w:r w:rsidRPr="0003547E">
        <w:rPr>
          <w:color w:val="FF0000"/>
        </w:rPr>
        <w:t>equation</w:t>
      </w:r>
      <w:r w:rsidRPr="0003547E">
        <w:rPr>
          <w:color w:val="333333"/>
        </w:rPr>
        <w:t xml:space="preserve"> from all predicted equations in order to improve modeling time and quality</w:t>
      </w:r>
      <w:r w:rsidR="009B4ED8">
        <w:rPr>
          <w:color w:val="333333"/>
        </w:rPr>
        <w:t xml:space="preserve">. </w:t>
      </w:r>
      <w:r w:rsidRPr="0003547E">
        <w:t>This study will improve the choice of selection of thermodynamic gas hydrate inhibitors through the ranking modeling sensitivity analysis. The development of simple gas hydrate equations will also enhance the understanding of the impact of depression temperatures on the inhibitor concentrations</w:t>
      </w:r>
      <w:r w:rsidR="006C2EE9">
        <w:t xml:space="preserve"> (</w:t>
      </w:r>
      <w:r w:rsidR="003B404C">
        <w:rPr>
          <w:color w:val="FF0000"/>
        </w:rPr>
        <w:t>George</w:t>
      </w:r>
      <w:r w:rsidR="006C2EE9">
        <w:rPr>
          <w:color w:val="FF0000"/>
        </w:rPr>
        <w:t xml:space="preserve"> </w:t>
      </w:r>
      <w:proofErr w:type="gramStart"/>
      <w:r w:rsidR="006C2EE9">
        <w:rPr>
          <w:color w:val="FF0000"/>
        </w:rPr>
        <w:t>et</w:t>
      </w:r>
      <w:proofErr w:type="gramEnd"/>
      <w:r w:rsidR="006C2EE9">
        <w:rPr>
          <w:color w:val="FF0000"/>
        </w:rPr>
        <w:t xml:space="preserve"> al.</w:t>
      </w:r>
      <w:r w:rsidR="003B404C">
        <w:rPr>
          <w:color w:val="FF0000"/>
        </w:rPr>
        <w:t>2018</w:t>
      </w:r>
      <w:r w:rsidR="006C2EE9" w:rsidRPr="0003547E">
        <w:rPr>
          <w:color w:val="FF0000"/>
        </w:rPr>
        <w:t>)</w:t>
      </w:r>
      <w:r w:rsidRPr="0003547E">
        <w:t>. This may perhaps be used for the upgrading of existing models for simplification purpose and quality assessment.</w:t>
      </w:r>
    </w:p>
    <w:p w:rsidR="0003547E" w:rsidRPr="0003547E" w:rsidRDefault="0003547E" w:rsidP="0003547E">
      <w:pPr>
        <w:spacing w:after="0" w:line="240" w:lineRule="auto"/>
        <w:contextualSpacing/>
        <w:jc w:val="both"/>
      </w:pPr>
    </w:p>
    <w:p w:rsidR="0003547E" w:rsidRPr="0003547E" w:rsidRDefault="00107E9B" w:rsidP="0003547E">
      <w:pPr>
        <w:spacing w:after="0" w:line="240" w:lineRule="auto"/>
        <w:contextualSpacing/>
        <w:jc w:val="both"/>
        <w:rPr>
          <w:b/>
        </w:rPr>
      </w:pPr>
      <w:r>
        <w:rPr>
          <w:b/>
        </w:rPr>
        <w:t>2</w:t>
      </w:r>
      <w:r w:rsidR="00F81D12">
        <w:rPr>
          <w:b/>
        </w:rPr>
        <w:t>.0</w:t>
      </w:r>
      <w:r w:rsidR="0003547E" w:rsidRPr="0003547E">
        <w:rPr>
          <w:b/>
        </w:rPr>
        <w:t xml:space="preserve"> Hydrate formation mechanism</w:t>
      </w:r>
    </w:p>
    <w:p w:rsidR="0003547E" w:rsidRPr="0003547E" w:rsidRDefault="0003547E" w:rsidP="0003547E">
      <w:pPr>
        <w:spacing w:after="0" w:line="240" w:lineRule="auto"/>
        <w:contextualSpacing/>
        <w:jc w:val="both"/>
      </w:pPr>
      <w:r w:rsidRPr="0003547E">
        <w:t xml:space="preserve">One key industry flow assurance problem is hydrates formation on production lines. Hydrates are ice-like crystalline structures, formed from water and hydrocarbon molecules at high pressure and low temperature </w:t>
      </w:r>
      <w:proofErr w:type="spellStart"/>
      <w:r w:rsidRPr="0003547E">
        <w:t>temperature</w:t>
      </w:r>
      <w:proofErr w:type="spellEnd"/>
      <w:r w:rsidRPr="0003547E">
        <w:t xml:space="preserve"> (</w:t>
      </w:r>
      <w:proofErr w:type="spellStart"/>
      <w:r w:rsidR="003B404C">
        <w:rPr>
          <w:color w:val="FF0000"/>
        </w:rPr>
        <w:t>Baojiang</w:t>
      </w:r>
      <w:proofErr w:type="spellEnd"/>
      <w:r w:rsidR="003B404C">
        <w:rPr>
          <w:color w:val="FF0000"/>
        </w:rPr>
        <w:t xml:space="preserve"> et al.</w:t>
      </w:r>
      <w:r w:rsidRPr="0003547E">
        <w:rPr>
          <w:color w:val="FF0000"/>
        </w:rPr>
        <w:t>, 20</w:t>
      </w:r>
      <w:r w:rsidR="003B404C">
        <w:rPr>
          <w:color w:val="FF0000"/>
        </w:rPr>
        <w:t>20</w:t>
      </w:r>
      <w:r w:rsidRPr="0003547E">
        <w:t>). Hydrates often give rise to the plugging of pipeline-riser sections designed to convey hydrocarbon from the reservoir to the topsides facility. Typically, expenditure on the mitigation of hydrates plug formation in offshore oil production facilities is projected at about 15% (</w:t>
      </w:r>
      <w:r w:rsidR="003B404C">
        <w:rPr>
          <w:color w:val="FF0000"/>
        </w:rPr>
        <w:t xml:space="preserve">Paul and Rolf, </w:t>
      </w:r>
      <w:r w:rsidRPr="0003547E">
        <w:rPr>
          <w:color w:val="FF0000"/>
        </w:rPr>
        <w:t>20</w:t>
      </w:r>
      <w:r w:rsidR="003B404C">
        <w:rPr>
          <w:color w:val="FF0000"/>
        </w:rPr>
        <w:t>23</w:t>
      </w:r>
      <w:r w:rsidRPr="0003547E">
        <w:t xml:space="preserve">). There is a crucial need to moderate the operational cost associated with production from deepwater oil fields; especially with the current low oil price regime that industry is experiencing. MEG (Mono Ethylene Glycol) is typically associated with high cost, as a result of the relatively large dosage and volume required for </w:t>
      </w:r>
      <w:proofErr w:type="spellStart"/>
      <w:r w:rsidRPr="0003547E">
        <w:t>it's</w:t>
      </w:r>
      <w:proofErr w:type="spellEnd"/>
      <w:r w:rsidRPr="0003547E">
        <w:t xml:space="preserve"> effectiveness in mitigating hydrates</w:t>
      </w:r>
      <w:r w:rsidR="006C2EE9">
        <w:t xml:space="preserve"> (</w:t>
      </w:r>
      <w:proofErr w:type="spellStart"/>
      <w:r w:rsidR="006C2EE9">
        <w:rPr>
          <w:color w:val="FF0000"/>
        </w:rPr>
        <w:t>Narendra</w:t>
      </w:r>
      <w:proofErr w:type="spellEnd"/>
      <w:r w:rsidR="006C2EE9">
        <w:rPr>
          <w:color w:val="FF0000"/>
        </w:rPr>
        <w:t xml:space="preserve"> et al., </w:t>
      </w:r>
      <w:r w:rsidR="006C2EE9" w:rsidRPr="0003547E">
        <w:rPr>
          <w:color w:val="FF0000"/>
        </w:rPr>
        <w:t>2019)</w:t>
      </w:r>
      <w:r w:rsidRPr="0003547E">
        <w:t xml:space="preserve">. Also, recent experience from some deepwater oil </w:t>
      </w:r>
      <w:proofErr w:type="gramStart"/>
      <w:r w:rsidRPr="0003547E">
        <w:t>fields,</w:t>
      </w:r>
      <w:proofErr w:type="gramEnd"/>
      <w:r w:rsidRPr="0003547E">
        <w:t xml:space="preserve"> indicates the formation of hydrates on MEG lines. Hence, the need to study and compare LDHI (Low Dosage Hydrates Inhibitors) and MEG hydrates mitigation potentials in deepwater oil fields</w:t>
      </w:r>
      <w:r w:rsidR="00107E9B">
        <w:t>.</w:t>
      </w:r>
    </w:p>
    <w:p w:rsidR="00107E9B" w:rsidRDefault="0003547E" w:rsidP="0003547E">
      <w:pPr>
        <w:spacing w:after="0" w:line="240" w:lineRule="auto"/>
        <w:contextualSpacing/>
        <w:jc w:val="both"/>
      </w:pPr>
      <w:r w:rsidRPr="0003547E">
        <w:t>The concept of flow assurance is new to the oil and gas industry and focused on analyzing the approaches geared towards ensuring a smooth flow of crude oil from sub-surface to the topsides</w:t>
      </w:r>
      <w:r w:rsidR="00107E9B">
        <w:t xml:space="preserve"> (</w:t>
      </w:r>
      <w:proofErr w:type="spellStart"/>
      <w:r w:rsidR="00107E9B" w:rsidRPr="0003547E">
        <w:rPr>
          <w:color w:val="FF0000"/>
        </w:rPr>
        <w:t>Prajaka</w:t>
      </w:r>
      <w:proofErr w:type="spellEnd"/>
      <w:r w:rsidR="00107E9B" w:rsidRPr="0003547E">
        <w:rPr>
          <w:color w:val="FF0000"/>
        </w:rPr>
        <w:t xml:space="preserve"> e</w:t>
      </w:r>
      <w:r w:rsidR="00107E9B">
        <w:rPr>
          <w:color w:val="FF0000"/>
        </w:rPr>
        <w:t xml:space="preserve">t al </w:t>
      </w:r>
      <w:r w:rsidR="00107E9B" w:rsidRPr="0003547E">
        <w:rPr>
          <w:color w:val="FF0000"/>
        </w:rPr>
        <w:t>2018</w:t>
      </w:r>
      <w:r w:rsidR="00107E9B">
        <w:rPr>
          <w:color w:val="FF0000"/>
        </w:rPr>
        <w:t xml:space="preserve">; </w:t>
      </w:r>
      <w:proofErr w:type="spellStart"/>
      <w:r w:rsidR="003B404C">
        <w:rPr>
          <w:color w:val="FF0000"/>
        </w:rPr>
        <w:lastRenderedPageBreak/>
        <w:t>Sotirious</w:t>
      </w:r>
      <w:proofErr w:type="spellEnd"/>
      <w:r w:rsidR="003B404C">
        <w:rPr>
          <w:color w:val="FF0000"/>
        </w:rPr>
        <w:t xml:space="preserve"> et al., 2022</w:t>
      </w:r>
      <w:r w:rsidR="00107E9B" w:rsidRPr="0003547E">
        <w:rPr>
          <w:color w:val="FF0000"/>
        </w:rPr>
        <w:t>)</w:t>
      </w:r>
      <w:r w:rsidRPr="0003547E">
        <w:t xml:space="preserve">. Some major flow assurance challenges include slug mitigation in oil and gas fields, corrosion inhibition and most recently the need for cost-effective mitigation of hydrates in typical deepwater oil field scenarios </w:t>
      </w:r>
      <w:r w:rsidR="003B404C">
        <w:rPr>
          <w:color w:val="FF0000"/>
        </w:rPr>
        <w:t>(Qin et al., 2019</w:t>
      </w:r>
      <w:r w:rsidRPr="0003547E">
        <w:rPr>
          <w:color w:val="FF0000"/>
        </w:rPr>
        <w:t xml:space="preserve">; </w:t>
      </w:r>
      <w:proofErr w:type="spellStart"/>
      <w:r w:rsidRPr="0003547E">
        <w:rPr>
          <w:color w:val="FF0000"/>
        </w:rPr>
        <w:t>Saket</w:t>
      </w:r>
      <w:proofErr w:type="spellEnd"/>
      <w:r w:rsidRPr="0003547E">
        <w:rPr>
          <w:color w:val="FF0000"/>
        </w:rPr>
        <w:t xml:space="preserve"> et al., 2023), </w:t>
      </w:r>
      <w:r w:rsidRPr="0003547E">
        <w:t xml:space="preserve">described a hydrate as an ice-like crystalline structure formed when molecules of gas get trapped within hydrogen-bonded water at high pressure and low temperature conditions. Hydrates exist in two structural forms (Structure I and Structure II). According to </w:t>
      </w:r>
      <w:r w:rsidRPr="0003547E">
        <w:rPr>
          <w:color w:val="FF0000"/>
        </w:rPr>
        <w:t>Qin et al. (2019),</w:t>
      </w:r>
      <w:r w:rsidRPr="0003547E">
        <w:t xml:space="preserve"> a combination of water and smaller molecules such as methane, ethane, </w:t>
      </w:r>
      <w:proofErr w:type="spellStart"/>
      <w:r w:rsidRPr="0003547E">
        <w:t>carbondioxide</w:t>
      </w:r>
      <w:proofErr w:type="spellEnd"/>
      <w:r w:rsidRPr="0003547E">
        <w:t xml:space="preserve"> and hydrogen </w:t>
      </w:r>
      <w:proofErr w:type="spellStart"/>
      <w:r w:rsidRPr="0003547E">
        <w:t>sulphide</w:t>
      </w:r>
      <w:proofErr w:type="spellEnd"/>
      <w:r w:rsidRPr="0003547E">
        <w:t xml:space="preserve"> would give rise to the formation of Structure I hydrates, while Structure II hydrates are formed by relatively larger molecules such as propane and isobutene combining with water (</w:t>
      </w:r>
      <w:proofErr w:type="spellStart"/>
      <w:r w:rsidRPr="0003547E">
        <w:rPr>
          <w:color w:val="FF0000"/>
        </w:rPr>
        <w:t>Englezos</w:t>
      </w:r>
      <w:proofErr w:type="spellEnd"/>
      <w:r w:rsidRPr="0003547E">
        <w:rPr>
          <w:color w:val="FF0000"/>
        </w:rPr>
        <w:t xml:space="preserve"> et al. 2018</w:t>
      </w:r>
      <w:r w:rsidRPr="0003547E">
        <w:t>). There is also a focus of current research on the prediction of hydrates structure H</w:t>
      </w:r>
    </w:p>
    <w:p w:rsidR="00107E9B" w:rsidRDefault="00107E9B" w:rsidP="0003547E">
      <w:pPr>
        <w:spacing w:after="0" w:line="240" w:lineRule="auto"/>
        <w:contextualSpacing/>
        <w:jc w:val="both"/>
      </w:pPr>
    </w:p>
    <w:p w:rsidR="0003547E" w:rsidRPr="0003547E" w:rsidRDefault="00107E9B" w:rsidP="0003547E">
      <w:pPr>
        <w:spacing w:after="0" w:line="240" w:lineRule="auto"/>
        <w:contextualSpacing/>
        <w:jc w:val="both"/>
        <w:rPr>
          <w:b/>
        </w:rPr>
      </w:pPr>
      <w:r>
        <w:rPr>
          <w:b/>
        </w:rPr>
        <w:t>2.1</w:t>
      </w:r>
      <w:r w:rsidR="0003547E" w:rsidRPr="0003547E">
        <w:rPr>
          <w:b/>
        </w:rPr>
        <w:t xml:space="preserve"> The presence of a hydrate former </w:t>
      </w:r>
    </w:p>
    <w:p w:rsidR="0003547E" w:rsidRPr="0003547E" w:rsidRDefault="0003547E" w:rsidP="0003547E">
      <w:pPr>
        <w:spacing w:after="0" w:line="240" w:lineRule="auto"/>
        <w:contextualSpacing/>
        <w:jc w:val="both"/>
      </w:pPr>
      <w:r w:rsidRPr="0003547E">
        <w:t xml:space="preserve">Hydrate formers are the molecules that combine with water at relatively high pressure and low temperature to form hydrates. They include methane, ethane, propane, </w:t>
      </w:r>
      <w:proofErr w:type="spellStart"/>
      <w:r w:rsidRPr="0003547E">
        <w:t>iso</w:t>
      </w:r>
      <w:proofErr w:type="spellEnd"/>
      <w:r w:rsidRPr="0003547E">
        <w:t xml:space="preserve">-butane, hydrogen </w:t>
      </w:r>
      <w:proofErr w:type="spellStart"/>
      <w:r w:rsidRPr="0003547E">
        <w:t>sulphide</w:t>
      </w:r>
      <w:proofErr w:type="spellEnd"/>
      <w:r w:rsidRPr="0003547E">
        <w:t xml:space="preserve"> and carbon dioxide (</w:t>
      </w:r>
      <w:proofErr w:type="spellStart"/>
      <w:r w:rsidR="003B404C">
        <w:rPr>
          <w:color w:val="FF0000"/>
        </w:rPr>
        <w:t>Pawan</w:t>
      </w:r>
      <w:proofErr w:type="spellEnd"/>
      <w:r w:rsidR="003B404C">
        <w:rPr>
          <w:color w:val="FF0000"/>
        </w:rPr>
        <w:t xml:space="preserve"> and </w:t>
      </w:r>
      <w:proofErr w:type="spellStart"/>
      <w:r w:rsidR="003B404C">
        <w:rPr>
          <w:color w:val="FF0000"/>
        </w:rPr>
        <w:t>Jitendra</w:t>
      </w:r>
      <w:proofErr w:type="spellEnd"/>
      <w:r w:rsidRPr="0003547E">
        <w:rPr>
          <w:color w:val="FF0000"/>
        </w:rPr>
        <w:t>, 20</w:t>
      </w:r>
      <w:r w:rsidR="003B404C">
        <w:rPr>
          <w:color w:val="FF0000"/>
        </w:rPr>
        <w:t>18</w:t>
      </w:r>
      <w:r w:rsidRPr="0003547E">
        <w:t>). The Physical and chemical properties of a former include:</w:t>
      </w:r>
    </w:p>
    <w:p w:rsidR="0003547E" w:rsidRPr="0003547E" w:rsidRDefault="0003547E" w:rsidP="0003547E">
      <w:pPr>
        <w:pStyle w:val="ListParagraph"/>
        <w:numPr>
          <w:ilvl w:val="0"/>
          <w:numId w:val="16"/>
        </w:numPr>
        <w:spacing w:after="0" w:line="240" w:lineRule="auto"/>
        <w:jc w:val="both"/>
        <w:rPr>
          <w:b/>
        </w:rPr>
      </w:pPr>
      <w:r w:rsidRPr="0003547E">
        <w:rPr>
          <w:b/>
        </w:rPr>
        <w:t xml:space="preserve">Size </w:t>
      </w:r>
    </w:p>
    <w:p w:rsidR="0003547E" w:rsidRPr="0003547E" w:rsidRDefault="0003547E" w:rsidP="0003547E">
      <w:pPr>
        <w:pStyle w:val="ListParagraph"/>
        <w:spacing w:after="0" w:line="240" w:lineRule="auto"/>
        <w:ind w:left="420"/>
        <w:jc w:val="both"/>
      </w:pPr>
      <w:r w:rsidRPr="0003547E">
        <w:t xml:space="preserve">A guest molecule must be sufficiently small. Its size must be between 3.8 Å and 7 Å. If it is larger than 7 Å, it may be too large to enter the cage formed by the water molecules. </w:t>
      </w:r>
    </w:p>
    <w:p w:rsidR="0003547E" w:rsidRPr="0003547E" w:rsidRDefault="0003547E" w:rsidP="0003547E">
      <w:pPr>
        <w:pStyle w:val="ListParagraph"/>
        <w:numPr>
          <w:ilvl w:val="0"/>
          <w:numId w:val="16"/>
        </w:numPr>
        <w:spacing w:after="0" w:line="240" w:lineRule="auto"/>
        <w:jc w:val="both"/>
        <w:rPr>
          <w:b/>
        </w:rPr>
      </w:pPr>
      <w:r w:rsidRPr="0003547E">
        <w:rPr>
          <w:b/>
        </w:rPr>
        <w:t xml:space="preserve">Solubility </w:t>
      </w:r>
    </w:p>
    <w:p w:rsidR="0003547E" w:rsidRPr="0003547E" w:rsidRDefault="0003547E" w:rsidP="00107E9B">
      <w:pPr>
        <w:pStyle w:val="ListParagraph"/>
        <w:spacing w:after="0" w:line="240" w:lineRule="auto"/>
        <w:ind w:left="420"/>
        <w:jc w:val="both"/>
      </w:pPr>
      <w:r w:rsidRPr="0003547E">
        <w:t>A molecule may be sufficiently small but it may not form a hydrate if th</w:t>
      </w:r>
      <w:r w:rsidR="00107E9B">
        <w:t xml:space="preserve">e molecule is soluble in water. </w:t>
      </w:r>
      <w:r w:rsidRPr="0003547E">
        <w:t xml:space="preserve">However, carbon dioxide, hydrogen </w:t>
      </w:r>
      <w:proofErr w:type="spellStart"/>
      <w:r w:rsidRPr="0003547E">
        <w:t>sulphide</w:t>
      </w:r>
      <w:proofErr w:type="spellEnd"/>
      <w:r w:rsidRPr="0003547E">
        <w:t xml:space="preserve"> and </w:t>
      </w:r>
      <w:proofErr w:type="spellStart"/>
      <w:r w:rsidRPr="0003547E">
        <w:t>sulphur</w:t>
      </w:r>
      <w:proofErr w:type="spellEnd"/>
      <w:r w:rsidRPr="0003547E">
        <w:t xml:space="preserve"> oxide, which are quite soluble in water are hydrate formers. As a rule of thumb, gases more soluble than SO2 (e.g. ammonia and hydrogen chloride) do not form hydrates. </w:t>
      </w:r>
    </w:p>
    <w:p w:rsidR="0003547E" w:rsidRPr="0003547E" w:rsidRDefault="0003547E" w:rsidP="0003547E">
      <w:pPr>
        <w:pStyle w:val="ListParagraph"/>
        <w:numPr>
          <w:ilvl w:val="0"/>
          <w:numId w:val="16"/>
        </w:numPr>
        <w:spacing w:after="0" w:line="240" w:lineRule="auto"/>
        <w:jc w:val="both"/>
        <w:rPr>
          <w:b/>
        </w:rPr>
      </w:pPr>
      <w:r w:rsidRPr="0003547E">
        <w:rPr>
          <w:b/>
        </w:rPr>
        <w:t xml:space="preserve">Hydrogen bond </w:t>
      </w:r>
    </w:p>
    <w:p w:rsidR="0003547E" w:rsidRDefault="0003547E" w:rsidP="0003547E">
      <w:pPr>
        <w:pStyle w:val="ListParagraph"/>
        <w:spacing w:after="0" w:line="240" w:lineRule="auto"/>
        <w:ind w:left="420"/>
        <w:jc w:val="both"/>
      </w:pPr>
      <w:r w:rsidRPr="0003547E">
        <w:t>If the molecule interferes with the hydrogen bonding, a hydrate will not form. For instance, methanol does not form a hydrate because it is hydrogen-bonded and hence interferes with the hydrogen bonding among the water molecules (</w:t>
      </w:r>
      <w:proofErr w:type="spellStart"/>
      <w:r w:rsidRPr="0003547E">
        <w:rPr>
          <w:color w:val="FF0000"/>
        </w:rPr>
        <w:t>Hao</w:t>
      </w:r>
      <w:proofErr w:type="spellEnd"/>
      <w:r w:rsidRPr="0003547E">
        <w:rPr>
          <w:color w:val="FF0000"/>
        </w:rPr>
        <w:t xml:space="preserve"> et al., 2020</w:t>
      </w:r>
      <w:r w:rsidRPr="0003547E">
        <w:t>).</w:t>
      </w:r>
    </w:p>
    <w:p w:rsidR="00107E9B" w:rsidRPr="0003547E" w:rsidRDefault="00107E9B" w:rsidP="0003547E">
      <w:pPr>
        <w:pStyle w:val="ListParagraph"/>
        <w:spacing w:after="0" w:line="240" w:lineRule="auto"/>
        <w:ind w:left="420"/>
        <w:jc w:val="both"/>
      </w:pPr>
    </w:p>
    <w:p w:rsidR="0003547E" w:rsidRPr="0003547E" w:rsidRDefault="0003547E" w:rsidP="0003547E">
      <w:pPr>
        <w:spacing w:after="0" w:line="240" w:lineRule="auto"/>
        <w:contextualSpacing/>
        <w:jc w:val="both"/>
        <w:rPr>
          <w:b/>
        </w:rPr>
      </w:pPr>
      <w:r w:rsidRPr="0003547E">
        <w:rPr>
          <w:b/>
        </w:rPr>
        <w:t xml:space="preserve">2.3 Effect of temperature and pressure </w:t>
      </w:r>
    </w:p>
    <w:p w:rsidR="0003547E" w:rsidRDefault="0003547E" w:rsidP="0003547E">
      <w:pPr>
        <w:spacing w:after="0" w:line="240" w:lineRule="auto"/>
        <w:contextualSpacing/>
        <w:jc w:val="both"/>
      </w:pPr>
      <w:r w:rsidRPr="0003547E">
        <w:t xml:space="preserve">Hydrate formation is </w:t>
      </w:r>
      <w:proofErr w:type="spellStart"/>
      <w:r w:rsidRPr="0003547E">
        <w:t>favoured</w:t>
      </w:r>
      <w:proofErr w:type="spellEnd"/>
      <w:r w:rsidRPr="0003547E">
        <w:t xml:space="preserve"> by low temperature and relatively high pressure. The exact temperature and pressure depends on the composition of the former. However, hydrates form at temperatures greater than 0°C (32°F). For instance, methane hydrate formation in natural gas systems requires the presence of free water, temperatures lower than 40 °F and pressure greater than 166 psig or temperature greater than 70 °F and pressure higher than 2900 psig . (</w:t>
      </w:r>
      <w:r w:rsidRPr="0003547E">
        <w:rPr>
          <w:color w:val="FF0000"/>
        </w:rPr>
        <w:t>Jose, et al., 2021</w:t>
      </w:r>
      <w:r w:rsidRPr="0003547E">
        <w:t xml:space="preserve">) </w:t>
      </w:r>
    </w:p>
    <w:p w:rsidR="00107E9B" w:rsidRPr="0003547E" w:rsidRDefault="00107E9B" w:rsidP="0003547E">
      <w:pPr>
        <w:spacing w:after="0" w:line="240" w:lineRule="auto"/>
        <w:contextualSpacing/>
        <w:jc w:val="both"/>
      </w:pPr>
    </w:p>
    <w:p w:rsidR="0003547E" w:rsidRPr="0003547E" w:rsidRDefault="0003547E" w:rsidP="0003547E">
      <w:pPr>
        <w:spacing w:after="0" w:line="240" w:lineRule="auto"/>
        <w:contextualSpacing/>
        <w:jc w:val="both"/>
        <w:rPr>
          <w:b/>
        </w:rPr>
      </w:pPr>
      <w:r w:rsidRPr="0003547E">
        <w:rPr>
          <w:b/>
        </w:rPr>
        <w:t>2.4 Sufficient amount of water</w:t>
      </w:r>
    </w:p>
    <w:p w:rsidR="0003547E" w:rsidRPr="0003547E" w:rsidRDefault="0003547E" w:rsidP="0003547E">
      <w:pPr>
        <w:spacing w:after="0" w:line="240" w:lineRule="auto"/>
        <w:contextualSpacing/>
        <w:jc w:val="both"/>
      </w:pPr>
      <w:r w:rsidRPr="0003547E">
        <w:t>Water is essential for hydrate formation. Water has several unusual properties which can be attributed to the shape of the water molecule and the interactions that result from its shape. The water molecule consists of a single atom of oxygen bonded to two hydrogen atoms. In the water molecule, the bond between the oxygen and hydrogen atoms is a covalent bond (i.e. a shared pair of electrons). There are two pairs of unbounded electrons on the “back” of the oxygen molecule. Heavy water can also form hydrates because heavy water still exhibits hydrogen bonding (</w:t>
      </w:r>
      <w:proofErr w:type="spellStart"/>
      <w:r w:rsidR="003B404C">
        <w:rPr>
          <w:color w:val="FF0000"/>
        </w:rPr>
        <w:t>Jianbo</w:t>
      </w:r>
      <w:proofErr w:type="spellEnd"/>
      <w:r w:rsidRPr="0003547E">
        <w:rPr>
          <w:color w:val="FF0000"/>
        </w:rPr>
        <w:t xml:space="preserve"> et al., 20</w:t>
      </w:r>
      <w:r w:rsidR="003B404C">
        <w:rPr>
          <w:color w:val="FF0000"/>
        </w:rPr>
        <w:t>23</w:t>
      </w:r>
      <w:r w:rsidRPr="0003547E">
        <w:t>). However, with heavy water, a slightly higher pressure will be required to form hydrates than in regular wate</w:t>
      </w:r>
      <w:r w:rsidR="00107E9B">
        <w:t xml:space="preserve">r </w:t>
      </w:r>
      <w:r w:rsidRPr="0003547E">
        <w:t>(</w:t>
      </w:r>
      <w:proofErr w:type="spellStart"/>
      <w:r w:rsidRPr="0003547E">
        <w:rPr>
          <w:color w:val="FF0000"/>
        </w:rPr>
        <w:t>Moghaddam</w:t>
      </w:r>
      <w:proofErr w:type="spellEnd"/>
      <w:r w:rsidRPr="0003547E">
        <w:rPr>
          <w:color w:val="FF0000"/>
        </w:rPr>
        <w:t xml:space="preserve"> et al., 2024</w:t>
      </w:r>
      <w:r w:rsidRPr="0003547E">
        <w:t>).</w:t>
      </w:r>
    </w:p>
    <w:p w:rsidR="00107E9B" w:rsidRDefault="00107E9B" w:rsidP="0003547E">
      <w:pPr>
        <w:spacing w:after="0" w:line="240" w:lineRule="auto"/>
        <w:contextualSpacing/>
        <w:jc w:val="both"/>
        <w:rPr>
          <w:b/>
        </w:rPr>
      </w:pPr>
    </w:p>
    <w:p w:rsidR="0003547E" w:rsidRPr="0003547E" w:rsidRDefault="0003547E" w:rsidP="0003547E">
      <w:pPr>
        <w:spacing w:after="0" w:line="240" w:lineRule="auto"/>
        <w:contextualSpacing/>
        <w:jc w:val="both"/>
        <w:rPr>
          <w:b/>
        </w:rPr>
      </w:pPr>
      <w:r w:rsidRPr="0003547E">
        <w:rPr>
          <w:b/>
        </w:rPr>
        <w:t xml:space="preserve">2.5 Hydrates Formation and its effect on Production </w:t>
      </w:r>
    </w:p>
    <w:p w:rsidR="0003547E" w:rsidRPr="0003547E" w:rsidRDefault="0003547E" w:rsidP="0003547E">
      <w:pPr>
        <w:spacing w:after="0" w:line="240" w:lineRule="auto"/>
        <w:contextualSpacing/>
        <w:jc w:val="both"/>
      </w:pPr>
      <w:r w:rsidRPr="0003547E">
        <w:t>The formation of hydrates, which occurs when water and gas molecules combine at high pressure and low temperature most often pose a difficult challenge towards production optimization from a typical offshore oil production asset. Hydrates often form in gas fields as well as oil fields, plugging pipeline-riser systems. The location and seriousness of hydrates plug in well or pipeline-riser system depends on the following key factors (</w:t>
      </w:r>
      <w:proofErr w:type="spellStart"/>
      <w:r w:rsidR="003B404C">
        <w:rPr>
          <w:color w:val="FF0000"/>
        </w:rPr>
        <w:t>Dhifaf</w:t>
      </w:r>
      <w:proofErr w:type="spellEnd"/>
      <w:r w:rsidR="003B404C">
        <w:rPr>
          <w:color w:val="FF0000"/>
        </w:rPr>
        <w:t xml:space="preserve"> et al., 2020; Egu et al., 2022</w:t>
      </w:r>
      <w:r w:rsidRPr="0003547E">
        <w:t xml:space="preserve">) </w:t>
      </w:r>
    </w:p>
    <w:p w:rsidR="0003547E" w:rsidRPr="0003547E" w:rsidRDefault="0003547E" w:rsidP="0003547E">
      <w:pPr>
        <w:pStyle w:val="ListParagraph"/>
        <w:numPr>
          <w:ilvl w:val="0"/>
          <w:numId w:val="13"/>
        </w:numPr>
        <w:spacing w:after="0" w:line="240" w:lineRule="auto"/>
        <w:jc w:val="both"/>
      </w:pPr>
      <w:r w:rsidRPr="0003547E">
        <w:t>Design.</w:t>
      </w:r>
    </w:p>
    <w:p w:rsidR="0003547E" w:rsidRPr="0003547E" w:rsidRDefault="0003547E" w:rsidP="0003547E">
      <w:pPr>
        <w:pStyle w:val="ListParagraph"/>
        <w:numPr>
          <w:ilvl w:val="0"/>
          <w:numId w:val="13"/>
        </w:numPr>
        <w:spacing w:after="0" w:line="240" w:lineRule="auto"/>
        <w:jc w:val="both"/>
      </w:pPr>
      <w:r w:rsidRPr="0003547E">
        <w:t>Operating phase.</w:t>
      </w:r>
    </w:p>
    <w:p w:rsidR="0003547E" w:rsidRPr="0003547E" w:rsidRDefault="0003547E" w:rsidP="0003547E">
      <w:pPr>
        <w:pStyle w:val="ListParagraph"/>
        <w:numPr>
          <w:ilvl w:val="0"/>
          <w:numId w:val="13"/>
        </w:numPr>
        <w:spacing w:after="0" w:line="240" w:lineRule="auto"/>
        <w:jc w:val="both"/>
      </w:pPr>
      <w:r w:rsidRPr="0003547E">
        <w:t xml:space="preserve">Fluid composition </w:t>
      </w:r>
    </w:p>
    <w:p w:rsidR="0003547E" w:rsidRPr="0003547E" w:rsidRDefault="0003547E" w:rsidP="0003547E">
      <w:pPr>
        <w:spacing w:after="0" w:line="240" w:lineRule="auto"/>
        <w:contextualSpacing/>
        <w:jc w:val="both"/>
      </w:pPr>
      <w:r w:rsidRPr="0003547E">
        <w:lastRenderedPageBreak/>
        <w:t xml:space="preserve">The presence of gas hydrate crystals on pipeline-riser systems or in a well-bore can cause undesirable effects ranging from blockage of production </w:t>
      </w:r>
      <w:proofErr w:type="spellStart"/>
      <w:r w:rsidRPr="0003547E">
        <w:t>flowline</w:t>
      </w:r>
      <w:proofErr w:type="spellEnd"/>
      <w:r w:rsidRPr="0003547E">
        <w:t>-riser systems and offshore transfer lines (</w:t>
      </w:r>
      <w:proofErr w:type="spellStart"/>
      <w:r w:rsidRPr="0003547E">
        <w:rPr>
          <w:color w:val="FF0000"/>
        </w:rPr>
        <w:t>Sayani</w:t>
      </w:r>
      <w:proofErr w:type="spellEnd"/>
      <w:r w:rsidRPr="0003547E">
        <w:rPr>
          <w:color w:val="FF0000"/>
        </w:rPr>
        <w:t xml:space="preserve"> et al., 2022</w:t>
      </w:r>
      <w:r w:rsidRPr="0003547E">
        <w:t xml:space="preserve">). </w:t>
      </w:r>
    </w:p>
    <w:p w:rsidR="0003547E" w:rsidRPr="0003547E" w:rsidRDefault="0003547E" w:rsidP="0003547E">
      <w:pPr>
        <w:spacing w:after="0" w:line="240" w:lineRule="auto"/>
        <w:contextualSpacing/>
        <w:jc w:val="both"/>
      </w:pPr>
      <w:r w:rsidRPr="0003547E">
        <w:t xml:space="preserve">Most importantly, there is the need to note that partial or complete plug of the inner part of a gas pipeline for instance can lead to high pressure build-up within the pipeline; resulting to a collapse of the pipeline </w:t>
      </w:r>
      <w:r w:rsidRPr="0003547E">
        <w:rPr>
          <w:color w:val="FF0000"/>
        </w:rPr>
        <w:t>(</w:t>
      </w:r>
      <w:proofErr w:type="spellStart"/>
      <w:r w:rsidRPr="0003547E">
        <w:rPr>
          <w:color w:val="FF0000"/>
        </w:rPr>
        <w:t>Davide</w:t>
      </w:r>
      <w:proofErr w:type="spellEnd"/>
      <w:r w:rsidRPr="0003547E">
        <w:rPr>
          <w:color w:val="FF0000"/>
        </w:rPr>
        <w:t xml:space="preserve"> et al., 2023). </w:t>
      </w:r>
      <w:r w:rsidRPr="0003547E">
        <w:t xml:space="preserve">With respect to cost implications, challenges encountered as a result of formation of gas hydrates are not cost effective for operators since billions of US dollars is spent annually to proffer solutions for solving hydrate formation. Also, application of strategies to solve hydrate formation in pipelines has led to non-productive time since shut-in of production wells and pipelines is imminent. Citing </w:t>
      </w:r>
      <w:r w:rsidR="0031485D">
        <w:rPr>
          <w:color w:val="FF0000"/>
        </w:rPr>
        <w:t>(Semenov et al., 2024</w:t>
      </w:r>
      <w:r w:rsidRPr="0003547E">
        <w:rPr>
          <w:color w:val="FF0000"/>
        </w:rPr>
        <w:t xml:space="preserve">), </w:t>
      </w:r>
      <w:r w:rsidRPr="0003547E">
        <w:t xml:space="preserve">on the average 5 – 15 million US dollars is spent annually to prevent hydrate formation in gas or gas-condensate fields. </w:t>
      </w:r>
    </w:p>
    <w:p w:rsidR="009C44DE" w:rsidRDefault="009C44DE" w:rsidP="0003547E">
      <w:pPr>
        <w:spacing w:after="0" w:line="240" w:lineRule="auto"/>
        <w:contextualSpacing/>
        <w:jc w:val="both"/>
      </w:pPr>
    </w:p>
    <w:p w:rsidR="0003547E" w:rsidRPr="0003547E" w:rsidRDefault="0003547E" w:rsidP="0003547E">
      <w:pPr>
        <w:spacing w:after="0" w:line="240" w:lineRule="auto"/>
        <w:contextualSpacing/>
        <w:jc w:val="both"/>
        <w:rPr>
          <w:b/>
        </w:rPr>
      </w:pPr>
      <w:r w:rsidRPr="0003547E">
        <w:t xml:space="preserve">2.6 </w:t>
      </w:r>
      <w:r w:rsidR="009B4ED8">
        <w:rPr>
          <w:b/>
        </w:rPr>
        <w:t>Hydrates Inhibition Strategies</w:t>
      </w:r>
    </w:p>
    <w:p w:rsidR="0003547E" w:rsidRPr="0003547E" w:rsidRDefault="0003547E" w:rsidP="0003547E">
      <w:pPr>
        <w:spacing w:after="0" w:line="240" w:lineRule="auto"/>
        <w:contextualSpacing/>
        <w:jc w:val="both"/>
      </w:pPr>
      <w:r w:rsidRPr="0003547E">
        <w:t>Hydrates inhibition strategies are key considerations in the design of offshore oil production facilities. This is important, because the formation of hydrates plug, often leads to production disruption and most often equipment breakdown (</w:t>
      </w:r>
      <w:proofErr w:type="spellStart"/>
      <w:r w:rsidRPr="0003547E">
        <w:rPr>
          <w:color w:val="FF0000"/>
        </w:rPr>
        <w:t>Wenyuan</w:t>
      </w:r>
      <w:proofErr w:type="spellEnd"/>
      <w:r w:rsidRPr="0003547E">
        <w:rPr>
          <w:color w:val="FF0000"/>
        </w:rPr>
        <w:t xml:space="preserve"> et al., 2020</w:t>
      </w:r>
      <w:r w:rsidRPr="0003547E">
        <w:t>).</w:t>
      </w:r>
    </w:p>
    <w:p w:rsidR="009C44DE" w:rsidRDefault="009C44DE" w:rsidP="0003547E">
      <w:pPr>
        <w:spacing w:after="0" w:line="240" w:lineRule="auto"/>
        <w:contextualSpacing/>
        <w:jc w:val="both"/>
        <w:rPr>
          <w:b/>
        </w:rPr>
      </w:pPr>
    </w:p>
    <w:p w:rsidR="0003547E" w:rsidRPr="0003547E" w:rsidRDefault="0003547E" w:rsidP="0003547E">
      <w:pPr>
        <w:spacing w:after="0" w:line="240" w:lineRule="auto"/>
        <w:contextualSpacing/>
        <w:jc w:val="both"/>
        <w:rPr>
          <w:b/>
        </w:rPr>
      </w:pPr>
      <w:r w:rsidRPr="0003547E">
        <w:rPr>
          <w:b/>
        </w:rPr>
        <w:t>2.6.1 Thermodynamic hydrate inhibitors (THIs)</w:t>
      </w:r>
    </w:p>
    <w:p w:rsidR="0003547E" w:rsidRPr="0003547E" w:rsidRDefault="0003547E" w:rsidP="0003547E">
      <w:pPr>
        <w:spacing w:after="0" w:line="240" w:lineRule="auto"/>
        <w:contextualSpacing/>
        <w:jc w:val="both"/>
      </w:pPr>
      <w:r w:rsidRPr="0003547E">
        <w:t xml:space="preserve">The thermodynamic approach generally attempts to alter the physical conditions or the chemical composition of a system, so that the hydrate state is thermodynamically </w:t>
      </w:r>
      <w:proofErr w:type="spellStart"/>
      <w:r w:rsidRPr="0003547E">
        <w:t>unfavourable</w:t>
      </w:r>
      <w:proofErr w:type="spellEnd"/>
      <w:r w:rsidRPr="0003547E">
        <w:t>. These include: water removal, increasing temperature, decreasing pressure, addition of "antifreeze" (methanol, ethanol, ethylene glycol) to the fluid, or via a combination of these. From an engineering standpoint, maintaining temperature and/or pressure outside hydrate formation conditions requires design and equipment modifications, such as insulated or jacketed piping. Such modifications are often unfeasible or costly to implement and maintain (</w:t>
      </w:r>
      <w:r w:rsidR="0031485D">
        <w:rPr>
          <w:color w:val="FF0000"/>
        </w:rPr>
        <w:t>Simon</w:t>
      </w:r>
      <w:r w:rsidRPr="0003547E">
        <w:rPr>
          <w:color w:val="FF0000"/>
        </w:rPr>
        <w:t xml:space="preserve"> et al., 20</w:t>
      </w:r>
      <w:r w:rsidR="0031485D">
        <w:rPr>
          <w:color w:val="FF0000"/>
        </w:rPr>
        <w:t>24</w:t>
      </w:r>
      <w:r w:rsidRPr="0003547E">
        <w:t>). The most common approach used by operators to mitigate hydrate problems in pipelines is the use of “antifreeze” or thermodynamic inhibitors, which changes the hydrate stability curve and allows the system to operate in conditions where hydrates cannot form.</w:t>
      </w:r>
    </w:p>
    <w:p w:rsidR="0003547E" w:rsidRDefault="0003547E" w:rsidP="0003547E">
      <w:pPr>
        <w:spacing w:after="0" w:line="240" w:lineRule="auto"/>
        <w:contextualSpacing/>
        <w:jc w:val="both"/>
      </w:pPr>
      <w:r w:rsidRPr="0003547E">
        <w:t xml:space="preserve">Thermodynamic hydrate inhibitors (THIs) are in common use in the industry and notably, MEG (Mono ethylene glycol) is the most often used hydrate inhibitor. MEG is used mainly because of </w:t>
      </w:r>
      <w:proofErr w:type="spellStart"/>
      <w:r w:rsidRPr="0003547E">
        <w:t>it's</w:t>
      </w:r>
      <w:proofErr w:type="spellEnd"/>
      <w:r w:rsidRPr="0003547E">
        <w:t xml:space="preserve"> wide spread availability and </w:t>
      </w:r>
      <w:proofErr w:type="spellStart"/>
      <w:r w:rsidRPr="0003547E">
        <w:t>it's</w:t>
      </w:r>
      <w:proofErr w:type="spellEnd"/>
      <w:r w:rsidRPr="0003547E">
        <w:t xml:space="preserve"> ability to compete with water molecules as regards hydrogen bonding; thereby thermodynamically preventing the formation of hydrates (</w:t>
      </w:r>
      <w:proofErr w:type="spellStart"/>
      <w:r w:rsidRPr="0003547E">
        <w:rPr>
          <w:color w:val="FF0000"/>
        </w:rPr>
        <w:t>Dhifaf</w:t>
      </w:r>
      <w:proofErr w:type="spellEnd"/>
      <w:r w:rsidRPr="0003547E">
        <w:rPr>
          <w:color w:val="FF0000"/>
        </w:rPr>
        <w:t xml:space="preserve"> et al., 2020</w:t>
      </w:r>
      <w:r w:rsidRPr="0003547E">
        <w:t xml:space="preserve">). In general, </w:t>
      </w:r>
      <w:proofErr w:type="gramStart"/>
      <w:r w:rsidRPr="0003547E">
        <w:t>THIs</w:t>
      </w:r>
      <w:proofErr w:type="gramEnd"/>
      <w:r w:rsidRPr="0003547E">
        <w:t xml:space="preserve"> are suitable for long distance oil pipelines, gas pipelines and gas-condensate tie-backs. Methanol and MEG are the most used </w:t>
      </w:r>
      <w:proofErr w:type="gramStart"/>
      <w:r w:rsidRPr="0003547E">
        <w:t>THIs</w:t>
      </w:r>
      <w:proofErr w:type="gramEnd"/>
      <w:r w:rsidRPr="0003547E">
        <w:t>. The ability of methanol and Meg to suppress hydrates thermodynamically is the key factor that makes them commonly used performance (</w:t>
      </w:r>
      <w:proofErr w:type="spellStart"/>
      <w:r w:rsidRPr="0003547E">
        <w:rPr>
          <w:color w:val="FF0000"/>
        </w:rPr>
        <w:t>Jianbo</w:t>
      </w:r>
      <w:proofErr w:type="spellEnd"/>
      <w:r w:rsidRPr="0003547E">
        <w:rPr>
          <w:color w:val="FF0000"/>
        </w:rPr>
        <w:t xml:space="preserve"> et al., 2023</w:t>
      </w:r>
      <w:r w:rsidRPr="0003547E">
        <w:t xml:space="preserve">). Another key factor that supports the use of methanol and MEG is the highly developed thermodynamic models associated with </w:t>
      </w:r>
      <w:proofErr w:type="gramStart"/>
      <w:r w:rsidRPr="0003547E">
        <w:t>THIs</w:t>
      </w:r>
      <w:proofErr w:type="gramEnd"/>
      <w:r w:rsidRPr="0003547E">
        <w:t xml:space="preserve">; enabling standard estimation of the volumes </w:t>
      </w:r>
      <w:r w:rsidR="0031485D">
        <w:t>of THI for hydrates inhibition</w:t>
      </w:r>
      <w:r w:rsidRPr="0003547E">
        <w:t xml:space="preserve">. The main drawback for </w:t>
      </w:r>
      <w:proofErr w:type="gramStart"/>
      <w:r w:rsidRPr="0003547E">
        <w:t>THIs</w:t>
      </w:r>
      <w:proofErr w:type="gramEnd"/>
      <w:r w:rsidRPr="0003547E">
        <w:t xml:space="preserve"> is their requirement of relatively huge volumes for effective hydrates inhibition in typical offshore oil fields with relatively high water-cut mitigation (</w:t>
      </w:r>
      <w:proofErr w:type="spellStart"/>
      <w:r w:rsidRPr="0003547E">
        <w:rPr>
          <w:color w:val="FF0000"/>
        </w:rPr>
        <w:t>Narendra</w:t>
      </w:r>
      <w:proofErr w:type="spellEnd"/>
      <w:r w:rsidRPr="0003547E">
        <w:rPr>
          <w:color w:val="FF0000"/>
        </w:rPr>
        <w:t xml:space="preserve"> et al., 2019</w:t>
      </w:r>
      <w:r w:rsidRPr="0003547E">
        <w:t>).</w:t>
      </w:r>
    </w:p>
    <w:p w:rsidR="009C44DE" w:rsidRDefault="009C44DE" w:rsidP="0003547E">
      <w:pPr>
        <w:spacing w:after="0" w:line="240" w:lineRule="auto"/>
        <w:contextualSpacing/>
        <w:jc w:val="both"/>
      </w:pPr>
    </w:p>
    <w:p w:rsidR="0003547E" w:rsidRPr="0003547E" w:rsidRDefault="0003547E" w:rsidP="0003547E">
      <w:pPr>
        <w:spacing w:after="0" w:line="240" w:lineRule="auto"/>
        <w:contextualSpacing/>
        <w:jc w:val="both"/>
        <w:rPr>
          <w:b/>
        </w:rPr>
      </w:pPr>
      <w:r w:rsidRPr="0003547E">
        <w:rPr>
          <w:b/>
        </w:rPr>
        <w:t xml:space="preserve">2.6.2 Low Dosage Hydrates Inhibitors (LDHI) </w:t>
      </w:r>
    </w:p>
    <w:p w:rsidR="0003547E" w:rsidRPr="0003547E" w:rsidRDefault="0003547E" w:rsidP="0003547E">
      <w:pPr>
        <w:spacing w:after="0" w:line="240" w:lineRule="auto"/>
        <w:contextualSpacing/>
        <w:jc w:val="both"/>
      </w:pPr>
      <w:r w:rsidRPr="0003547E">
        <w:t>Low dosage hydrates inhibitors are beginning to serve as another option for hydrates inhibition such as MEG and methanol. The key advantage of LDHIs is that they require low volume/dosage as compared to THIs (</w:t>
      </w:r>
      <w:proofErr w:type="spellStart"/>
      <w:r w:rsidRPr="0003547E">
        <w:rPr>
          <w:color w:val="FF0000"/>
        </w:rPr>
        <w:t>Prajaka</w:t>
      </w:r>
      <w:proofErr w:type="spellEnd"/>
      <w:r w:rsidRPr="0003547E">
        <w:rPr>
          <w:color w:val="FF0000"/>
        </w:rPr>
        <w:t xml:space="preserve"> et al., 2018</w:t>
      </w:r>
      <w:r w:rsidRPr="0003547E">
        <w:t>). Accurate deployment of LDHIs could lead to a safe operation of hydrates prone deepwater oil fields and moderate operational expenditure; as well</w:t>
      </w:r>
      <w:r w:rsidR="0031485D">
        <w:t xml:space="preserve"> as extend field life lifetime</w:t>
      </w:r>
      <w:r w:rsidRPr="0003547E">
        <w:t xml:space="preserve">. According to </w:t>
      </w:r>
      <w:r w:rsidRPr="0003547E">
        <w:rPr>
          <w:color w:val="FF0000"/>
        </w:rPr>
        <w:t>George et al., (2018</w:t>
      </w:r>
      <w:r w:rsidRPr="0003547E">
        <w:t>), low dosage hydrates inhibitors (LDHI) are mainly classified into:</w:t>
      </w:r>
    </w:p>
    <w:p w:rsidR="0003547E" w:rsidRPr="0003547E" w:rsidRDefault="0003547E" w:rsidP="0003547E">
      <w:pPr>
        <w:pStyle w:val="ListParagraph"/>
        <w:numPr>
          <w:ilvl w:val="0"/>
          <w:numId w:val="14"/>
        </w:numPr>
        <w:spacing w:after="0" w:line="240" w:lineRule="auto"/>
        <w:jc w:val="both"/>
      </w:pPr>
      <w:r w:rsidRPr="0003547E">
        <w:t xml:space="preserve">Kinetic Hydrates </w:t>
      </w:r>
      <w:proofErr w:type="spellStart"/>
      <w:r w:rsidRPr="0003547E">
        <w:t>Inhibotors</w:t>
      </w:r>
      <w:proofErr w:type="spellEnd"/>
      <w:r w:rsidRPr="0003547E">
        <w:t xml:space="preserve"> (KHIs)</w:t>
      </w:r>
    </w:p>
    <w:p w:rsidR="0003547E" w:rsidRPr="0003547E" w:rsidRDefault="0003547E" w:rsidP="0003547E">
      <w:pPr>
        <w:pStyle w:val="ListParagraph"/>
        <w:numPr>
          <w:ilvl w:val="0"/>
          <w:numId w:val="14"/>
        </w:numPr>
        <w:spacing w:after="0" w:line="240" w:lineRule="auto"/>
        <w:jc w:val="both"/>
      </w:pPr>
      <w:r w:rsidRPr="0003547E">
        <w:t>Anti-</w:t>
      </w:r>
      <w:proofErr w:type="spellStart"/>
      <w:r w:rsidRPr="0003547E">
        <w:t>agglomerant</w:t>
      </w:r>
      <w:proofErr w:type="spellEnd"/>
    </w:p>
    <w:p w:rsidR="009C44DE" w:rsidRDefault="009C44DE" w:rsidP="0003547E">
      <w:pPr>
        <w:spacing w:after="0" w:line="240" w:lineRule="auto"/>
        <w:contextualSpacing/>
        <w:jc w:val="both"/>
        <w:rPr>
          <w:b/>
        </w:rPr>
      </w:pPr>
    </w:p>
    <w:p w:rsidR="0003547E" w:rsidRPr="0003547E" w:rsidRDefault="0003547E" w:rsidP="0003547E">
      <w:pPr>
        <w:spacing w:after="0" w:line="240" w:lineRule="auto"/>
        <w:contextualSpacing/>
        <w:jc w:val="both"/>
        <w:rPr>
          <w:b/>
        </w:rPr>
      </w:pPr>
      <w:r w:rsidRPr="0003547E">
        <w:rPr>
          <w:b/>
        </w:rPr>
        <w:t>2.6.3 Kinetic Hydrates Inhibitors (KHIs)</w:t>
      </w:r>
    </w:p>
    <w:p w:rsidR="0003547E" w:rsidRPr="0003547E" w:rsidRDefault="0003547E" w:rsidP="0003547E">
      <w:pPr>
        <w:spacing w:after="0" w:line="240" w:lineRule="auto"/>
        <w:contextualSpacing/>
        <w:jc w:val="both"/>
      </w:pPr>
      <w:r w:rsidRPr="0003547E">
        <w:t xml:space="preserve"> Typically, KHIs are mainly water soluble polymers which provide resistance to and delay the nucleation of hydrates crystals as well the </w:t>
      </w:r>
      <w:proofErr w:type="spellStart"/>
      <w:r w:rsidRPr="0003547E">
        <w:t>the</w:t>
      </w:r>
      <w:proofErr w:type="spellEnd"/>
      <w:r w:rsidRPr="0003547E">
        <w:t xml:space="preserve"> growth process. The </w:t>
      </w:r>
      <w:r w:rsidR="00483703" w:rsidRPr="0003547E">
        <w:t>ideas of KHIs were</w:t>
      </w:r>
      <w:r w:rsidRPr="0003547E">
        <w:t xml:space="preserve"> conceptualized when observations were made on certain type of fish which had ability not to freeze at below zero seawater temperatures (</w:t>
      </w:r>
      <w:proofErr w:type="spellStart"/>
      <w:r w:rsidRPr="0003547E">
        <w:rPr>
          <w:color w:val="FF0000"/>
        </w:rPr>
        <w:t>Sotirious</w:t>
      </w:r>
      <w:proofErr w:type="spellEnd"/>
      <w:r w:rsidRPr="0003547E">
        <w:rPr>
          <w:color w:val="FF0000"/>
        </w:rPr>
        <w:t xml:space="preserve"> et al., 2022</w:t>
      </w:r>
      <w:r w:rsidRPr="0003547E">
        <w:t xml:space="preserve">). The first </w:t>
      </w:r>
      <w:proofErr w:type="gramStart"/>
      <w:r w:rsidRPr="0003547E">
        <w:t>set of KHIs were</w:t>
      </w:r>
      <w:proofErr w:type="gramEnd"/>
      <w:r w:rsidRPr="0003547E">
        <w:t xml:space="preserve"> derived from polymers of </w:t>
      </w:r>
      <w:proofErr w:type="spellStart"/>
      <w:r w:rsidRPr="0003547E">
        <w:t>pyrrolidione</w:t>
      </w:r>
      <w:proofErr w:type="spellEnd"/>
      <w:r w:rsidRPr="0003547E">
        <w:t xml:space="preserve"> or </w:t>
      </w:r>
      <w:proofErr w:type="spellStart"/>
      <w:r w:rsidRPr="0003547E">
        <w:t>caprolactam</w:t>
      </w:r>
      <w:proofErr w:type="spellEnd"/>
      <w:r w:rsidRPr="0003547E">
        <w:t xml:space="preserve"> ring based s</w:t>
      </w:r>
      <w:r w:rsidR="00483703">
        <w:t>tructures. The major limitation</w:t>
      </w:r>
      <w:r w:rsidRPr="0003547E">
        <w:t xml:space="preserve"> in the deployment of KHI is the limit in operational sub-cooling </w:t>
      </w:r>
      <w:r w:rsidRPr="0003547E">
        <w:lastRenderedPageBreak/>
        <w:t>region as well as the limitation in time for the effectiveness of KHI. The effectiveness of the first set of KHI in mitigating hydrates formation (at up to 14.4°F sub-cooling) was limited to 24 hrs range (</w:t>
      </w:r>
      <w:proofErr w:type="spellStart"/>
      <w:r w:rsidRPr="0003547E">
        <w:rPr>
          <w:color w:val="FF0000"/>
        </w:rPr>
        <w:t>Kelland</w:t>
      </w:r>
      <w:proofErr w:type="spellEnd"/>
      <w:r w:rsidRPr="0003547E">
        <w:rPr>
          <w:color w:val="FF0000"/>
        </w:rPr>
        <w:t>, 2019</w:t>
      </w:r>
      <w:r w:rsidRPr="0003547E">
        <w:t>).</w:t>
      </w:r>
    </w:p>
    <w:p w:rsidR="009C44DE" w:rsidRDefault="009C44DE" w:rsidP="0003547E">
      <w:pPr>
        <w:spacing w:after="0" w:line="240" w:lineRule="auto"/>
        <w:contextualSpacing/>
        <w:jc w:val="both"/>
        <w:rPr>
          <w:b/>
        </w:rPr>
      </w:pPr>
    </w:p>
    <w:p w:rsidR="0003547E" w:rsidRPr="0003547E" w:rsidRDefault="009B4ED8" w:rsidP="0003547E">
      <w:pPr>
        <w:spacing w:after="0" w:line="240" w:lineRule="auto"/>
        <w:contextualSpacing/>
        <w:jc w:val="both"/>
        <w:rPr>
          <w:b/>
        </w:rPr>
      </w:pPr>
      <w:r>
        <w:rPr>
          <w:b/>
        </w:rPr>
        <w:t>2.6.4 Anti-</w:t>
      </w:r>
      <w:proofErr w:type="spellStart"/>
      <w:r w:rsidR="0003547E" w:rsidRPr="0003547E">
        <w:rPr>
          <w:b/>
        </w:rPr>
        <w:t>agglomerants</w:t>
      </w:r>
      <w:proofErr w:type="spellEnd"/>
      <w:r w:rsidR="0003547E" w:rsidRPr="0003547E">
        <w:rPr>
          <w:b/>
        </w:rPr>
        <w:t xml:space="preserve"> </w:t>
      </w:r>
    </w:p>
    <w:p w:rsidR="0003547E" w:rsidRPr="0003547E" w:rsidRDefault="009B4ED8" w:rsidP="0003547E">
      <w:pPr>
        <w:spacing w:after="0" w:line="240" w:lineRule="auto"/>
        <w:contextualSpacing/>
        <w:jc w:val="both"/>
      </w:pPr>
      <w:r>
        <w:t>Anti-</w:t>
      </w:r>
      <w:proofErr w:type="spellStart"/>
      <w:r w:rsidR="0003547E" w:rsidRPr="0003547E">
        <w:t>agglomerants</w:t>
      </w:r>
      <w:proofErr w:type="spellEnd"/>
      <w:r w:rsidR="0003547E" w:rsidRPr="0003547E">
        <w:t xml:space="preserve"> are typically surfactants that ingress into the hydrates structure and break it </w:t>
      </w:r>
      <w:r>
        <w:t>down into small particles. Anti-</w:t>
      </w:r>
      <w:proofErr w:type="spellStart"/>
      <w:r w:rsidR="0003547E" w:rsidRPr="0003547E">
        <w:t>agglomerants</w:t>
      </w:r>
      <w:proofErr w:type="spellEnd"/>
      <w:r w:rsidR="0003547E" w:rsidRPr="0003547E">
        <w:t xml:space="preserve"> operate via a different approach as compared to KHIs. In deploying AAs, they allow the hydrates lattice to form but the hydrates crystals are limited in agglomeration and kept in small particles and also non adherent. It has the following key limitations:</w:t>
      </w:r>
    </w:p>
    <w:p w:rsidR="0003547E" w:rsidRPr="0003547E" w:rsidRDefault="0003547E" w:rsidP="0003547E">
      <w:pPr>
        <w:pStyle w:val="ListParagraph"/>
        <w:numPr>
          <w:ilvl w:val="0"/>
          <w:numId w:val="15"/>
        </w:numPr>
        <w:spacing w:after="0" w:line="240" w:lineRule="auto"/>
        <w:jc w:val="both"/>
      </w:pPr>
      <w:r w:rsidRPr="0003547E">
        <w:t>Does not protect the gas phase.</w:t>
      </w:r>
    </w:p>
    <w:p w:rsidR="0003547E" w:rsidRPr="0003547E" w:rsidRDefault="0003547E" w:rsidP="0003547E">
      <w:pPr>
        <w:pStyle w:val="ListParagraph"/>
        <w:numPr>
          <w:ilvl w:val="0"/>
          <w:numId w:val="15"/>
        </w:numPr>
        <w:spacing w:after="0" w:line="240" w:lineRule="auto"/>
        <w:jc w:val="both"/>
      </w:pPr>
      <w:r w:rsidRPr="0003547E">
        <w:t>Require liquid hydrocarbon phase.</w:t>
      </w:r>
    </w:p>
    <w:p w:rsidR="0003547E" w:rsidRPr="0003547E" w:rsidRDefault="0003547E" w:rsidP="0003547E">
      <w:pPr>
        <w:pStyle w:val="ListParagraph"/>
        <w:numPr>
          <w:ilvl w:val="0"/>
          <w:numId w:val="15"/>
        </w:numPr>
        <w:spacing w:after="0" w:line="240" w:lineRule="auto"/>
        <w:jc w:val="both"/>
      </w:pPr>
      <w:r w:rsidRPr="0003547E">
        <w:t>Often not effective at temperature below 38</w:t>
      </w:r>
      <w:r w:rsidRPr="0003547E">
        <w:rPr>
          <w:vertAlign w:val="superscript"/>
        </w:rPr>
        <w:t>o</w:t>
      </w:r>
      <w:r w:rsidRPr="0003547E">
        <w:t>F (</w:t>
      </w:r>
      <w:r w:rsidR="0031485D">
        <w:rPr>
          <w:color w:val="FF0000"/>
        </w:rPr>
        <w:t>Qin</w:t>
      </w:r>
      <w:r w:rsidRPr="0003547E">
        <w:rPr>
          <w:color w:val="FF0000"/>
        </w:rPr>
        <w:t xml:space="preserve"> et al., 20</w:t>
      </w:r>
      <w:r w:rsidR="0031485D">
        <w:rPr>
          <w:color w:val="FF0000"/>
        </w:rPr>
        <w:t>19</w:t>
      </w:r>
      <w:r w:rsidRPr="0003547E">
        <w:t>).</w:t>
      </w:r>
    </w:p>
    <w:p w:rsidR="0003547E" w:rsidRPr="0003547E" w:rsidRDefault="0003547E" w:rsidP="0003547E">
      <w:pPr>
        <w:spacing w:after="0" w:line="240" w:lineRule="auto"/>
        <w:contextualSpacing/>
        <w:jc w:val="both"/>
      </w:pPr>
    </w:p>
    <w:p w:rsidR="0003547E" w:rsidRPr="0003547E" w:rsidRDefault="009C44DE" w:rsidP="0003547E">
      <w:pPr>
        <w:spacing w:after="0" w:line="240" w:lineRule="auto"/>
        <w:contextualSpacing/>
        <w:jc w:val="both"/>
        <w:rPr>
          <w:rFonts w:eastAsia="Times New Roman"/>
          <w:b/>
          <w:bCs/>
        </w:rPr>
      </w:pPr>
      <w:r>
        <w:rPr>
          <w:rFonts w:eastAsia="Times New Roman"/>
          <w:b/>
          <w:bCs/>
        </w:rPr>
        <w:t>3.0 Methodology</w:t>
      </w:r>
    </w:p>
    <w:p w:rsidR="0003547E" w:rsidRPr="0003547E" w:rsidRDefault="0003547E" w:rsidP="0003547E">
      <w:pPr>
        <w:spacing w:after="0" w:line="240" w:lineRule="auto"/>
        <w:contextualSpacing/>
        <w:jc w:val="both"/>
        <w:rPr>
          <w:b/>
          <w:bCs/>
        </w:rPr>
      </w:pPr>
      <w:r w:rsidRPr="0003547E">
        <w:rPr>
          <w:b/>
          <w:bCs/>
        </w:rPr>
        <w:t>3.1 Materials</w:t>
      </w:r>
    </w:p>
    <w:p w:rsidR="0003547E" w:rsidRPr="0003547E" w:rsidRDefault="0003547E" w:rsidP="0003547E">
      <w:pPr>
        <w:spacing w:after="0" w:line="240" w:lineRule="auto"/>
        <w:contextualSpacing/>
        <w:jc w:val="both"/>
        <w:rPr>
          <w:bCs/>
        </w:rPr>
      </w:pPr>
      <w:r w:rsidRPr="0003547E">
        <w:rPr>
          <w:bCs/>
        </w:rPr>
        <w:t xml:space="preserve">Materials used in this study are soft and hard copies of seven </w:t>
      </w:r>
      <w:r w:rsidRPr="0003547E">
        <w:t>thermodynamic</w:t>
      </w:r>
      <w:r w:rsidRPr="0003547E">
        <w:rPr>
          <w:bCs/>
        </w:rPr>
        <w:t xml:space="preserve"> hydrate inhibitors in wt %. They include methanol (MEOH), ethanol (</w:t>
      </w:r>
      <w:proofErr w:type="spellStart"/>
      <w:r w:rsidRPr="0003547E">
        <w:rPr>
          <w:bCs/>
        </w:rPr>
        <w:t>EtOH</w:t>
      </w:r>
      <w:proofErr w:type="spellEnd"/>
      <w:r w:rsidRPr="0003547E">
        <w:rPr>
          <w:bCs/>
        </w:rPr>
        <w:t xml:space="preserve">), </w:t>
      </w:r>
      <w:proofErr w:type="spellStart"/>
      <w:r w:rsidRPr="0003547E">
        <w:rPr>
          <w:bCs/>
        </w:rPr>
        <w:t>diethylene</w:t>
      </w:r>
      <w:proofErr w:type="spellEnd"/>
      <w:r w:rsidRPr="0003547E">
        <w:rPr>
          <w:bCs/>
        </w:rPr>
        <w:t xml:space="preserve"> glycol (DEG), </w:t>
      </w:r>
      <w:proofErr w:type="spellStart"/>
      <w:r w:rsidRPr="0003547E">
        <w:rPr>
          <w:bCs/>
        </w:rPr>
        <w:t>triethylene</w:t>
      </w:r>
      <w:proofErr w:type="spellEnd"/>
      <w:r w:rsidRPr="0003547E">
        <w:rPr>
          <w:bCs/>
        </w:rPr>
        <w:t xml:space="preserve"> glycol (TEG), sodium chloride (</w:t>
      </w:r>
      <w:proofErr w:type="spellStart"/>
      <w:r w:rsidRPr="0003547E">
        <w:rPr>
          <w:bCs/>
        </w:rPr>
        <w:t>NaCl</w:t>
      </w:r>
      <w:proofErr w:type="spellEnd"/>
      <w:r w:rsidRPr="0003547E">
        <w:rPr>
          <w:bCs/>
        </w:rPr>
        <w:t>), calcium chloride (CaCl</w:t>
      </w:r>
      <w:r w:rsidRPr="0003547E">
        <w:rPr>
          <w:bCs/>
          <w:vertAlign w:val="subscript"/>
        </w:rPr>
        <w:t>2</w:t>
      </w:r>
      <w:r w:rsidRPr="0003547E">
        <w:rPr>
          <w:bCs/>
        </w:rPr>
        <w:t>) and potassium chloride (</w:t>
      </w:r>
      <w:proofErr w:type="spellStart"/>
      <w:r w:rsidRPr="0003547E">
        <w:rPr>
          <w:bCs/>
        </w:rPr>
        <w:t>KCl</w:t>
      </w:r>
      <w:proofErr w:type="spellEnd"/>
      <w:r w:rsidRPr="0003547E">
        <w:rPr>
          <w:bCs/>
        </w:rPr>
        <w:t xml:space="preserve">). </w:t>
      </w:r>
    </w:p>
    <w:p w:rsidR="0003547E" w:rsidRPr="0003547E" w:rsidRDefault="0003547E" w:rsidP="0003547E">
      <w:pPr>
        <w:spacing w:after="0" w:line="240" w:lineRule="auto"/>
        <w:contextualSpacing/>
        <w:jc w:val="both"/>
        <w:rPr>
          <w:bCs/>
        </w:rPr>
      </w:pPr>
      <w:r w:rsidRPr="0003547E">
        <w:rPr>
          <w:bCs/>
        </w:rPr>
        <w:t xml:space="preserve">Their molar masses are; </w:t>
      </w:r>
    </w:p>
    <w:p w:rsidR="0003547E" w:rsidRPr="0003547E" w:rsidRDefault="0003547E" w:rsidP="009A2399">
      <w:pPr>
        <w:pStyle w:val="ListParagraph"/>
        <w:numPr>
          <w:ilvl w:val="0"/>
          <w:numId w:val="18"/>
        </w:numPr>
        <w:spacing w:after="0" w:line="240" w:lineRule="auto"/>
        <w:jc w:val="both"/>
        <w:rPr>
          <w:bCs/>
        </w:rPr>
      </w:pPr>
      <w:r w:rsidRPr="0003547E">
        <w:rPr>
          <w:bCs/>
        </w:rPr>
        <w:t>Methanol (MEOH) = 32g/mol</w:t>
      </w:r>
    </w:p>
    <w:p w:rsidR="0003547E" w:rsidRPr="0003547E" w:rsidRDefault="0003547E" w:rsidP="009A2399">
      <w:pPr>
        <w:pStyle w:val="ListParagraph"/>
        <w:numPr>
          <w:ilvl w:val="0"/>
          <w:numId w:val="18"/>
        </w:numPr>
        <w:spacing w:after="0" w:line="240" w:lineRule="auto"/>
        <w:jc w:val="both"/>
        <w:rPr>
          <w:bCs/>
        </w:rPr>
      </w:pPr>
      <w:r w:rsidRPr="0003547E">
        <w:rPr>
          <w:bCs/>
        </w:rPr>
        <w:t>Ethanol (</w:t>
      </w:r>
      <w:proofErr w:type="spellStart"/>
      <w:r w:rsidRPr="0003547E">
        <w:rPr>
          <w:bCs/>
        </w:rPr>
        <w:t>EtOH</w:t>
      </w:r>
      <w:proofErr w:type="spellEnd"/>
      <w:r w:rsidRPr="0003547E">
        <w:rPr>
          <w:bCs/>
        </w:rPr>
        <w:t>) = 46g/mol</w:t>
      </w:r>
    </w:p>
    <w:p w:rsidR="0003547E" w:rsidRPr="0003547E" w:rsidRDefault="0003547E" w:rsidP="009A2399">
      <w:pPr>
        <w:pStyle w:val="ListParagraph"/>
        <w:numPr>
          <w:ilvl w:val="0"/>
          <w:numId w:val="18"/>
        </w:numPr>
        <w:spacing w:after="0" w:line="240" w:lineRule="auto"/>
        <w:jc w:val="both"/>
        <w:rPr>
          <w:bCs/>
        </w:rPr>
      </w:pPr>
      <w:proofErr w:type="spellStart"/>
      <w:r w:rsidRPr="0003547E">
        <w:rPr>
          <w:bCs/>
        </w:rPr>
        <w:t>Diethylene</w:t>
      </w:r>
      <w:proofErr w:type="spellEnd"/>
      <w:r w:rsidRPr="0003547E">
        <w:rPr>
          <w:bCs/>
        </w:rPr>
        <w:t xml:space="preserve"> glycol (DEG) = 146g/mol</w:t>
      </w:r>
    </w:p>
    <w:p w:rsidR="0003547E" w:rsidRPr="0003547E" w:rsidRDefault="0003547E" w:rsidP="009A2399">
      <w:pPr>
        <w:pStyle w:val="ListParagraph"/>
        <w:numPr>
          <w:ilvl w:val="0"/>
          <w:numId w:val="18"/>
        </w:numPr>
        <w:spacing w:after="0" w:line="240" w:lineRule="auto"/>
        <w:jc w:val="both"/>
        <w:rPr>
          <w:bCs/>
        </w:rPr>
      </w:pPr>
      <w:r w:rsidRPr="0003547E">
        <w:rPr>
          <w:bCs/>
        </w:rPr>
        <w:t xml:space="preserve"> </w:t>
      </w:r>
      <w:proofErr w:type="spellStart"/>
      <w:r w:rsidRPr="0003547E">
        <w:rPr>
          <w:bCs/>
        </w:rPr>
        <w:t>Triethylene</w:t>
      </w:r>
      <w:proofErr w:type="spellEnd"/>
      <w:r w:rsidRPr="0003547E">
        <w:rPr>
          <w:bCs/>
        </w:rPr>
        <w:t xml:space="preserve"> glycol (TEG) = 150g/mol</w:t>
      </w:r>
    </w:p>
    <w:p w:rsidR="0003547E" w:rsidRPr="0003547E" w:rsidRDefault="0003547E" w:rsidP="009A2399">
      <w:pPr>
        <w:pStyle w:val="ListParagraph"/>
        <w:numPr>
          <w:ilvl w:val="0"/>
          <w:numId w:val="18"/>
        </w:numPr>
        <w:spacing w:after="0" w:line="240" w:lineRule="auto"/>
        <w:jc w:val="both"/>
        <w:rPr>
          <w:bCs/>
        </w:rPr>
      </w:pPr>
      <w:r w:rsidRPr="0003547E">
        <w:rPr>
          <w:bCs/>
        </w:rPr>
        <w:t>Sodium chloride (</w:t>
      </w:r>
      <w:proofErr w:type="spellStart"/>
      <w:r w:rsidRPr="0003547E">
        <w:rPr>
          <w:bCs/>
        </w:rPr>
        <w:t>NaCl</w:t>
      </w:r>
      <w:proofErr w:type="spellEnd"/>
      <w:r w:rsidRPr="0003547E">
        <w:rPr>
          <w:bCs/>
        </w:rPr>
        <w:t>) = 58.5g/mol</w:t>
      </w:r>
    </w:p>
    <w:p w:rsidR="0003547E" w:rsidRPr="0003547E" w:rsidRDefault="0003547E" w:rsidP="009A2399">
      <w:pPr>
        <w:pStyle w:val="ListParagraph"/>
        <w:numPr>
          <w:ilvl w:val="0"/>
          <w:numId w:val="18"/>
        </w:numPr>
        <w:spacing w:after="0" w:line="240" w:lineRule="auto"/>
        <w:jc w:val="both"/>
        <w:rPr>
          <w:bCs/>
        </w:rPr>
      </w:pPr>
      <w:r w:rsidRPr="0003547E">
        <w:rPr>
          <w:bCs/>
        </w:rPr>
        <w:t>Calcium chloride (CaCl</w:t>
      </w:r>
      <w:r w:rsidRPr="0003547E">
        <w:rPr>
          <w:bCs/>
          <w:vertAlign w:val="subscript"/>
        </w:rPr>
        <w:t>2</w:t>
      </w:r>
      <w:r w:rsidRPr="0003547E">
        <w:rPr>
          <w:bCs/>
        </w:rPr>
        <w:t>) = 111g/mol</w:t>
      </w:r>
    </w:p>
    <w:p w:rsidR="0003547E" w:rsidRPr="0003547E" w:rsidRDefault="0003547E" w:rsidP="009A2399">
      <w:pPr>
        <w:pStyle w:val="ListParagraph"/>
        <w:numPr>
          <w:ilvl w:val="0"/>
          <w:numId w:val="18"/>
        </w:numPr>
        <w:spacing w:after="0" w:line="240" w:lineRule="auto"/>
        <w:jc w:val="both"/>
        <w:rPr>
          <w:bCs/>
        </w:rPr>
      </w:pPr>
      <w:r w:rsidRPr="0003547E">
        <w:rPr>
          <w:bCs/>
        </w:rPr>
        <w:t>Potassium chloride (</w:t>
      </w:r>
      <w:proofErr w:type="spellStart"/>
      <w:r w:rsidRPr="0003547E">
        <w:rPr>
          <w:bCs/>
        </w:rPr>
        <w:t>KCl</w:t>
      </w:r>
      <w:proofErr w:type="spellEnd"/>
      <w:r w:rsidRPr="0003547E">
        <w:rPr>
          <w:bCs/>
        </w:rPr>
        <w:t>) = 74.5g/mol</w:t>
      </w:r>
    </w:p>
    <w:p w:rsidR="0003547E" w:rsidRPr="0003547E" w:rsidRDefault="0003547E" w:rsidP="0003547E">
      <w:pPr>
        <w:spacing w:after="0" w:line="240" w:lineRule="auto"/>
        <w:contextualSpacing/>
        <w:jc w:val="both"/>
        <w:rPr>
          <w:bCs/>
        </w:rPr>
      </w:pPr>
      <w:r w:rsidRPr="0003547E">
        <w:rPr>
          <w:bCs/>
        </w:rPr>
        <w:t>The analysis is done on Microsoft excel spread sheet.</w:t>
      </w:r>
    </w:p>
    <w:p w:rsidR="009C44DE" w:rsidRDefault="009C44DE" w:rsidP="0003547E">
      <w:pPr>
        <w:spacing w:after="0" w:line="240" w:lineRule="auto"/>
        <w:contextualSpacing/>
        <w:jc w:val="both"/>
        <w:rPr>
          <w:b/>
          <w:bCs/>
        </w:rPr>
      </w:pPr>
    </w:p>
    <w:p w:rsidR="0003547E" w:rsidRPr="0003547E" w:rsidRDefault="0003547E" w:rsidP="0003547E">
      <w:pPr>
        <w:spacing w:after="0" w:line="240" w:lineRule="auto"/>
        <w:contextualSpacing/>
        <w:jc w:val="both"/>
        <w:rPr>
          <w:b/>
          <w:bCs/>
        </w:rPr>
      </w:pPr>
      <w:r w:rsidRPr="0003547E">
        <w:rPr>
          <w:b/>
          <w:bCs/>
        </w:rPr>
        <w:t>3.2 Method</w:t>
      </w:r>
    </w:p>
    <w:p w:rsidR="0003547E" w:rsidRPr="0003547E" w:rsidRDefault="0003547E" w:rsidP="0003547E">
      <w:pPr>
        <w:spacing w:after="0" w:line="240" w:lineRule="auto"/>
        <w:contextualSpacing/>
        <w:jc w:val="both"/>
        <w:rPr>
          <w:bCs/>
        </w:rPr>
      </w:pPr>
      <w:r w:rsidRPr="0003547E">
        <w:rPr>
          <w:bCs/>
        </w:rPr>
        <w:t xml:space="preserve">The procedures used as shown in </w:t>
      </w:r>
      <w:r w:rsidR="00542359">
        <w:rPr>
          <w:bCs/>
          <w:color w:val="FF0000"/>
        </w:rPr>
        <w:t xml:space="preserve">Fig. </w:t>
      </w:r>
      <w:r w:rsidRPr="0003547E">
        <w:rPr>
          <w:bCs/>
          <w:color w:val="FF0000"/>
        </w:rPr>
        <w:t>1</w:t>
      </w:r>
      <w:r w:rsidRPr="0003547E">
        <w:rPr>
          <w:bCs/>
        </w:rPr>
        <w:t xml:space="preserve"> below are as follows;</w:t>
      </w:r>
    </w:p>
    <w:p w:rsidR="0003547E" w:rsidRPr="0003547E" w:rsidRDefault="0003547E" w:rsidP="00CB7567">
      <w:pPr>
        <w:pStyle w:val="ListParagraph"/>
        <w:numPr>
          <w:ilvl w:val="0"/>
          <w:numId w:val="19"/>
        </w:numPr>
        <w:spacing w:after="0" w:line="240" w:lineRule="auto"/>
        <w:jc w:val="both"/>
        <w:rPr>
          <w:bCs/>
        </w:rPr>
      </w:pPr>
      <w:r w:rsidRPr="0003547E">
        <w:rPr>
          <w:bCs/>
        </w:rPr>
        <w:t xml:space="preserve">To check for the quality of the </w:t>
      </w:r>
      <w:r w:rsidRPr="0003547E">
        <w:t>thermodynamic</w:t>
      </w:r>
      <w:r w:rsidRPr="0003547E">
        <w:rPr>
          <w:bCs/>
        </w:rPr>
        <w:t xml:space="preserve"> hydrate inhibitor concentrations by re-developing the depression temperature curves for both the </w:t>
      </w:r>
      <w:proofErr w:type="spellStart"/>
      <w:r w:rsidRPr="0003547E">
        <w:rPr>
          <w:color w:val="FF0000"/>
        </w:rPr>
        <w:t>Hammerschimdt</w:t>
      </w:r>
      <w:proofErr w:type="spellEnd"/>
      <w:r w:rsidRPr="0003547E">
        <w:rPr>
          <w:color w:val="333333"/>
        </w:rPr>
        <w:t xml:space="preserve"> and </w:t>
      </w:r>
      <w:r w:rsidRPr="0003547E">
        <w:rPr>
          <w:color w:val="FF0000"/>
        </w:rPr>
        <w:t xml:space="preserve">Nielsen-Bucklin </w:t>
      </w:r>
      <w:r w:rsidRPr="0003547E">
        <w:rPr>
          <w:color w:val="auto"/>
        </w:rPr>
        <w:t>equations.</w:t>
      </w:r>
    </w:p>
    <w:p w:rsidR="0003547E" w:rsidRPr="0003547E" w:rsidRDefault="0003547E" w:rsidP="00CB7567">
      <w:pPr>
        <w:pStyle w:val="ListParagraph"/>
        <w:numPr>
          <w:ilvl w:val="0"/>
          <w:numId w:val="19"/>
        </w:numPr>
        <w:spacing w:after="0" w:line="240" w:lineRule="auto"/>
        <w:jc w:val="both"/>
        <w:rPr>
          <w:bCs/>
        </w:rPr>
      </w:pPr>
      <w:r w:rsidRPr="0003547E">
        <w:rPr>
          <w:bCs/>
        </w:rPr>
        <w:t>The development of soft mathematical programs or soft codes with Microsoft Excel spreadsheet for each inhibitor concentration in order to compute the hydrate depression temperatures.</w:t>
      </w:r>
    </w:p>
    <w:p w:rsidR="0003547E" w:rsidRPr="0003547E" w:rsidRDefault="0003547E" w:rsidP="00CB7567">
      <w:pPr>
        <w:pStyle w:val="ListParagraph"/>
        <w:numPr>
          <w:ilvl w:val="0"/>
          <w:numId w:val="19"/>
        </w:numPr>
        <w:spacing w:after="0" w:line="240" w:lineRule="auto"/>
        <w:jc w:val="both"/>
        <w:rPr>
          <w:bCs/>
        </w:rPr>
      </w:pPr>
      <w:r w:rsidRPr="0003547E">
        <w:rPr>
          <w:bCs/>
        </w:rPr>
        <w:t>Development of depression temperature result curves for each of the seven (7) inhibitors.</w:t>
      </w:r>
    </w:p>
    <w:p w:rsidR="0003547E" w:rsidRPr="0003547E" w:rsidRDefault="0003547E" w:rsidP="00CB7567">
      <w:pPr>
        <w:pStyle w:val="ListParagraph"/>
        <w:numPr>
          <w:ilvl w:val="0"/>
          <w:numId w:val="19"/>
        </w:numPr>
        <w:spacing w:after="0" w:line="240" w:lineRule="auto"/>
        <w:jc w:val="both"/>
        <w:rPr>
          <w:bCs/>
        </w:rPr>
      </w:pPr>
      <w:r w:rsidRPr="0003547E">
        <w:rPr>
          <w:bCs/>
        </w:rPr>
        <w:t xml:space="preserve"> Development of new equations for each of the seven (7) inhibitors.</w:t>
      </w:r>
    </w:p>
    <w:p w:rsidR="0003547E" w:rsidRPr="0003547E" w:rsidRDefault="0003547E" w:rsidP="00CB7567">
      <w:pPr>
        <w:pStyle w:val="ListParagraph"/>
        <w:numPr>
          <w:ilvl w:val="0"/>
          <w:numId w:val="19"/>
        </w:numPr>
        <w:spacing w:after="0" w:line="240" w:lineRule="auto"/>
        <w:jc w:val="both"/>
        <w:rPr>
          <w:bCs/>
        </w:rPr>
      </w:pPr>
      <w:r w:rsidRPr="0003547E">
        <w:rPr>
          <w:bCs/>
        </w:rPr>
        <w:t>Development and comparison of all predicted equations.</w:t>
      </w:r>
    </w:p>
    <w:p w:rsidR="0003547E" w:rsidRPr="0003547E" w:rsidRDefault="0003547E" w:rsidP="00CB7567">
      <w:pPr>
        <w:pStyle w:val="ListParagraph"/>
        <w:numPr>
          <w:ilvl w:val="0"/>
          <w:numId w:val="19"/>
        </w:numPr>
        <w:spacing w:after="0" w:line="240" w:lineRule="auto"/>
        <w:jc w:val="both"/>
        <w:rPr>
          <w:bCs/>
        </w:rPr>
      </w:pPr>
      <w:r w:rsidRPr="0003547E">
        <w:rPr>
          <w:bCs/>
        </w:rPr>
        <w:t xml:space="preserve"> Development of a simpler comprehensive equation of the depression temperature as a function of the inhibitor concentration from the earlier comparison.</w:t>
      </w:r>
    </w:p>
    <w:p w:rsidR="0003547E" w:rsidRPr="0003547E" w:rsidRDefault="0003547E" w:rsidP="00CB7567">
      <w:pPr>
        <w:pStyle w:val="ListParagraph"/>
        <w:numPr>
          <w:ilvl w:val="0"/>
          <w:numId w:val="19"/>
        </w:numPr>
        <w:tabs>
          <w:tab w:val="left" w:pos="990"/>
        </w:tabs>
        <w:spacing w:after="0" w:line="240" w:lineRule="auto"/>
        <w:jc w:val="both"/>
        <w:rPr>
          <w:bCs/>
        </w:rPr>
      </w:pPr>
      <w:r w:rsidRPr="0003547E">
        <w:rPr>
          <w:bCs/>
        </w:rPr>
        <w:t>Comparative sensitivity ranking analysis of all results</w:t>
      </w:r>
    </w:p>
    <w:p w:rsidR="0003547E" w:rsidRDefault="0003547E" w:rsidP="00CB7567">
      <w:pPr>
        <w:pStyle w:val="ListParagraph"/>
        <w:numPr>
          <w:ilvl w:val="0"/>
          <w:numId w:val="19"/>
        </w:numPr>
        <w:tabs>
          <w:tab w:val="left" w:pos="990"/>
        </w:tabs>
        <w:spacing w:after="0" w:line="240" w:lineRule="auto"/>
        <w:jc w:val="both"/>
        <w:rPr>
          <w:bCs/>
        </w:rPr>
      </w:pPr>
      <w:r w:rsidRPr="0003547E">
        <w:rPr>
          <w:bCs/>
        </w:rPr>
        <w:t>Conclusion and recommendation.</w:t>
      </w:r>
    </w:p>
    <w:p w:rsidR="00542359" w:rsidRPr="0003547E" w:rsidRDefault="00542359" w:rsidP="00542359">
      <w:pPr>
        <w:pStyle w:val="ListParagraph"/>
        <w:tabs>
          <w:tab w:val="left" w:pos="990"/>
        </w:tabs>
        <w:spacing w:after="0" w:line="240" w:lineRule="auto"/>
        <w:jc w:val="both"/>
        <w:rPr>
          <w:bCs/>
        </w:rPr>
      </w:pPr>
    </w:p>
    <w:p w:rsidR="0003547E" w:rsidRPr="0003547E" w:rsidRDefault="0003547E" w:rsidP="0003547E">
      <w:pPr>
        <w:pStyle w:val="ListParagraph"/>
        <w:numPr>
          <w:ilvl w:val="2"/>
          <w:numId w:val="5"/>
        </w:numPr>
        <w:spacing w:after="0" w:line="240" w:lineRule="auto"/>
        <w:jc w:val="both"/>
        <w:rPr>
          <w:b/>
          <w:bCs/>
        </w:rPr>
      </w:pPr>
      <w:r w:rsidRPr="0003547E">
        <w:rPr>
          <w:b/>
          <w:bCs/>
        </w:rPr>
        <w:t>Hydrate prediction modeling</w:t>
      </w:r>
    </w:p>
    <w:p w:rsidR="0003547E" w:rsidRDefault="0003547E" w:rsidP="0003547E">
      <w:pPr>
        <w:spacing w:after="0" w:line="240" w:lineRule="auto"/>
        <w:contextualSpacing/>
        <w:jc w:val="both"/>
        <w:rPr>
          <w:color w:val="auto"/>
        </w:rPr>
      </w:pPr>
      <w:r w:rsidRPr="0003547E">
        <w:rPr>
          <w:bCs/>
        </w:rPr>
        <w:t>The prediction of hydrates was done using the seven inhibitors. It is however assumed that sufficient water is present to form a hydrate. Thus the depression temperature for methanol (MEOH), ethanol (</w:t>
      </w:r>
      <w:proofErr w:type="spellStart"/>
      <w:r w:rsidRPr="0003547E">
        <w:rPr>
          <w:bCs/>
        </w:rPr>
        <w:t>EtOH</w:t>
      </w:r>
      <w:proofErr w:type="spellEnd"/>
      <w:r w:rsidRPr="0003547E">
        <w:rPr>
          <w:bCs/>
        </w:rPr>
        <w:t xml:space="preserve">), </w:t>
      </w:r>
      <w:proofErr w:type="spellStart"/>
      <w:r w:rsidRPr="0003547E">
        <w:rPr>
          <w:bCs/>
        </w:rPr>
        <w:t>diethylene</w:t>
      </w:r>
      <w:proofErr w:type="spellEnd"/>
      <w:r w:rsidRPr="0003547E">
        <w:rPr>
          <w:bCs/>
        </w:rPr>
        <w:t xml:space="preserve"> glycol (DEG), </w:t>
      </w:r>
      <w:proofErr w:type="spellStart"/>
      <w:r w:rsidRPr="0003547E">
        <w:rPr>
          <w:bCs/>
        </w:rPr>
        <w:t>triethylene</w:t>
      </w:r>
      <w:proofErr w:type="spellEnd"/>
      <w:r w:rsidRPr="0003547E">
        <w:rPr>
          <w:bCs/>
        </w:rPr>
        <w:t xml:space="preserve"> glycol (TEG), sodium chloride (</w:t>
      </w:r>
      <w:proofErr w:type="spellStart"/>
      <w:r w:rsidRPr="0003547E">
        <w:rPr>
          <w:bCs/>
        </w:rPr>
        <w:t>NaCl</w:t>
      </w:r>
      <w:proofErr w:type="spellEnd"/>
      <w:r w:rsidRPr="0003547E">
        <w:rPr>
          <w:bCs/>
        </w:rPr>
        <w:t>), calcium chloride (CaCl</w:t>
      </w:r>
      <w:r w:rsidRPr="0003547E">
        <w:rPr>
          <w:bCs/>
          <w:vertAlign w:val="subscript"/>
        </w:rPr>
        <w:t>2</w:t>
      </w:r>
      <w:r w:rsidRPr="0003547E">
        <w:rPr>
          <w:bCs/>
        </w:rPr>
        <w:t>) and potassium chloride (</w:t>
      </w:r>
      <w:proofErr w:type="spellStart"/>
      <w:r w:rsidRPr="0003547E">
        <w:rPr>
          <w:bCs/>
        </w:rPr>
        <w:t>KCl</w:t>
      </w:r>
      <w:proofErr w:type="spellEnd"/>
      <w:r w:rsidRPr="0003547E">
        <w:rPr>
          <w:bCs/>
        </w:rPr>
        <w:t xml:space="preserve">) was calculated using both the </w:t>
      </w:r>
      <w:proofErr w:type="spellStart"/>
      <w:r w:rsidRPr="0003547E">
        <w:rPr>
          <w:color w:val="FF0000"/>
        </w:rPr>
        <w:t>Hammerschimdt</w:t>
      </w:r>
      <w:proofErr w:type="spellEnd"/>
      <w:r w:rsidRPr="0003547E">
        <w:rPr>
          <w:color w:val="333333"/>
        </w:rPr>
        <w:t xml:space="preserve"> and </w:t>
      </w:r>
      <w:r w:rsidRPr="0003547E">
        <w:rPr>
          <w:color w:val="FF0000"/>
        </w:rPr>
        <w:t xml:space="preserve">Nielsen-Bucklin </w:t>
      </w:r>
      <w:r w:rsidRPr="0003547E">
        <w:rPr>
          <w:color w:val="auto"/>
        </w:rPr>
        <w:t xml:space="preserve">equations. The Nielsen-Bucklin equation is used for better predictions for methanol weight greater than 25% by weight. </w:t>
      </w:r>
    </w:p>
    <w:p w:rsidR="00542359" w:rsidRPr="0003547E" w:rsidRDefault="00542359" w:rsidP="00542359">
      <w:pPr>
        <w:spacing w:after="0" w:line="240" w:lineRule="auto"/>
        <w:contextualSpacing/>
        <w:jc w:val="center"/>
        <w:rPr>
          <w:bCs/>
        </w:rPr>
      </w:pPr>
      <w:r w:rsidRPr="00542359">
        <w:rPr>
          <w:bCs/>
          <w:noProof/>
        </w:rPr>
        <w:lastRenderedPageBreak/>
        <w:drawing>
          <wp:inline distT="0" distB="0" distL="0" distR="0">
            <wp:extent cx="3690601" cy="2906973"/>
            <wp:effectExtent l="19050" t="0" r="5099"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57827" t="27232" r="16267" b="12723"/>
                    <a:stretch>
                      <a:fillRect/>
                    </a:stretch>
                  </pic:blipFill>
                  <pic:spPr bwMode="auto">
                    <a:xfrm>
                      <a:off x="0" y="0"/>
                      <a:ext cx="3717065" cy="2927818"/>
                    </a:xfrm>
                    <a:prstGeom prst="rect">
                      <a:avLst/>
                    </a:prstGeom>
                    <a:noFill/>
                    <a:ln w="9525">
                      <a:noFill/>
                      <a:miter lim="800000"/>
                      <a:headEnd/>
                      <a:tailEnd/>
                    </a:ln>
                  </pic:spPr>
                </pic:pic>
              </a:graphicData>
            </a:graphic>
          </wp:inline>
        </w:drawing>
      </w:r>
    </w:p>
    <w:p w:rsidR="00542359" w:rsidRPr="0003547E" w:rsidRDefault="00542359" w:rsidP="00542359">
      <w:pPr>
        <w:spacing w:after="0" w:line="240" w:lineRule="auto"/>
        <w:contextualSpacing/>
        <w:jc w:val="center"/>
        <w:rPr>
          <w:bCs/>
        </w:rPr>
      </w:pPr>
      <w:r>
        <w:rPr>
          <w:b/>
          <w:bCs/>
        </w:rPr>
        <w:t xml:space="preserve">Fig. </w:t>
      </w:r>
      <w:r w:rsidRPr="0003547E">
        <w:rPr>
          <w:b/>
          <w:bCs/>
        </w:rPr>
        <w:t>1:</w:t>
      </w:r>
      <w:r w:rsidRPr="0003547E">
        <w:rPr>
          <w:bCs/>
        </w:rPr>
        <w:t xml:space="preserve"> Process flow chart of procedure used</w:t>
      </w:r>
    </w:p>
    <w:p w:rsidR="00542359" w:rsidRDefault="00542359" w:rsidP="0003547E">
      <w:pPr>
        <w:spacing w:after="0" w:line="240" w:lineRule="auto"/>
        <w:contextualSpacing/>
        <w:jc w:val="both"/>
        <w:rPr>
          <w:color w:val="auto"/>
        </w:rPr>
      </w:pPr>
    </w:p>
    <w:p w:rsidR="0003547E" w:rsidRPr="0003547E" w:rsidRDefault="0003547E" w:rsidP="0003547E">
      <w:pPr>
        <w:pStyle w:val="ListParagraph"/>
        <w:numPr>
          <w:ilvl w:val="0"/>
          <w:numId w:val="6"/>
        </w:numPr>
        <w:spacing w:after="0" w:line="240" w:lineRule="auto"/>
        <w:jc w:val="both"/>
        <w:rPr>
          <w:b/>
          <w:bCs/>
        </w:rPr>
      </w:pPr>
      <w:r w:rsidRPr="0003547E">
        <w:rPr>
          <w:b/>
          <w:bCs/>
        </w:rPr>
        <w:t xml:space="preserve">The </w:t>
      </w:r>
      <w:proofErr w:type="spellStart"/>
      <w:r w:rsidRPr="0003547E">
        <w:rPr>
          <w:b/>
          <w:bCs/>
        </w:rPr>
        <w:t>Hammerschimdt</w:t>
      </w:r>
      <w:proofErr w:type="spellEnd"/>
      <w:r w:rsidRPr="0003547E">
        <w:rPr>
          <w:b/>
          <w:bCs/>
        </w:rPr>
        <w:t xml:space="preserve"> equation</w:t>
      </w:r>
    </w:p>
    <w:p w:rsidR="0003547E" w:rsidRPr="0003547E" w:rsidRDefault="0003547E" w:rsidP="0003547E">
      <w:pPr>
        <w:spacing w:after="0" w:line="240" w:lineRule="auto"/>
        <w:ind w:left="360"/>
        <w:contextualSpacing/>
        <w:jc w:val="both"/>
        <w:rPr>
          <w:bCs/>
        </w:rPr>
      </w:pPr>
      <w:r w:rsidRPr="0003547E">
        <w:rPr>
          <w:bCs/>
        </w:rPr>
        <w:t xml:space="preserve">A simple and widely used method for approximate effect of chemicals on hydrate forming temperature is the </w:t>
      </w:r>
      <w:proofErr w:type="spellStart"/>
      <w:r w:rsidRPr="0003547E">
        <w:rPr>
          <w:bCs/>
        </w:rPr>
        <w:t>Hammerschimdt</w:t>
      </w:r>
      <w:proofErr w:type="spellEnd"/>
      <w:r w:rsidRPr="0003547E">
        <w:rPr>
          <w:bCs/>
        </w:rPr>
        <w:t xml:space="preserve"> equation give as;</w:t>
      </w:r>
    </w:p>
    <w:p w:rsidR="0003547E" w:rsidRPr="0003547E" w:rsidRDefault="0003547E" w:rsidP="0003547E">
      <w:pPr>
        <w:spacing w:after="0" w:line="240" w:lineRule="auto"/>
        <w:ind w:left="360"/>
        <w:contextualSpacing/>
        <w:jc w:val="both"/>
        <w:rPr>
          <w:rFonts w:eastAsiaTheme="minorEastAsia"/>
          <w:bCs/>
        </w:rPr>
      </w:pPr>
      <m:oMath>
        <m:r>
          <m:rPr>
            <m:sty m:val="bi"/>
          </m:rPr>
          <m:t>∆</m:t>
        </m:r>
        <m:r>
          <m:rPr>
            <m:sty m:val="bi"/>
          </m:rPr>
          <w:rPr>
            <w:rFonts w:ascii="Cambria Math" w:hAnsi="Cambria Math"/>
          </w:rPr>
          <m:t>T</m:t>
        </m:r>
        <m:r>
          <m:rPr>
            <m:sty m:val="bi"/>
          </m:rPr>
          <w:rPr>
            <w:rFonts w:asci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H</m:t>
                </m:r>
              </m:sub>
            </m:sSub>
            <m:r>
              <m:rPr>
                <m:sty m:val="bi"/>
              </m:rPr>
              <w:rPr>
                <w:rFonts w:ascii="Cambria Math" w:hAnsi="Cambria Math"/>
              </w:rPr>
              <m:t>W</m:t>
            </m:r>
          </m:num>
          <m:den>
            <m:r>
              <m:rPr>
                <m:sty m:val="bi"/>
              </m:rPr>
              <w:rPr>
                <w:rFonts w:ascii="Cambria Math" w:hAnsi="Cambria Math"/>
              </w:rPr>
              <m:t>M</m:t>
            </m:r>
            <m:d>
              <m:dPr>
                <m:ctrlPr>
                  <w:rPr>
                    <w:rFonts w:ascii="Cambria Math" w:hAnsi="Cambria Math"/>
                    <w:b/>
                    <w:bCs/>
                    <w:i/>
                  </w:rPr>
                </m:ctrlPr>
              </m:dPr>
              <m:e>
                <m:r>
                  <m:rPr>
                    <m:sty m:val="bi"/>
                  </m:rPr>
                  <w:rPr>
                    <w:rFonts w:ascii="Cambria Math" w:hAnsi="Cambria Math"/>
                  </w:rPr>
                  <m:t>100</m:t>
                </m:r>
                <m:r>
                  <m:rPr>
                    <m:sty m:val="bi"/>
                  </m:rPr>
                  <m:t>-</m:t>
                </m:r>
                <m:r>
                  <m:rPr>
                    <m:sty m:val="bi"/>
                  </m:rPr>
                  <w:rPr>
                    <w:rFonts w:ascii="Cambria Math" w:hAnsi="Cambria Math"/>
                  </w:rPr>
                  <m:t>W</m:t>
                </m:r>
              </m:e>
            </m:d>
          </m:den>
        </m:f>
      </m:oMath>
      <w:r w:rsidRPr="0003547E">
        <w:rPr>
          <w:rFonts w:eastAsiaTheme="minorEastAsia"/>
          <w:b/>
          <w:bCs/>
        </w:rPr>
        <w:t xml:space="preserve"> </w:t>
      </w:r>
      <w:r w:rsidRPr="0003547E">
        <w:rPr>
          <w:rFonts w:eastAsiaTheme="minorEastAsia"/>
          <w:b/>
          <w:bCs/>
        </w:rPr>
        <w:tab/>
      </w:r>
      <w:r w:rsidRPr="0003547E">
        <w:rPr>
          <w:rFonts w:eastAsiaTheme="minorEastAsia"/>
          <w:b/>
          <w:bCs/>
        </w:rPr>
        <w:tab/>
      </w:r>
      <w:r w:rsidRPr="0003547E">
        <w:rPr>
          <w:rFonts w:eastAsiaTheme="minorEastAsia"/>
          <w:b/>
          <w:bCs/>
        </w:rPr>
        <w:tab/>
      </w:r>
      <w:r w:rsidRPr="0003547E">
        <w:rPr>
          <w:rFonts w:eastAsiaTheme="minorEastAsia"/>
          <w:b/>
          <w:bCs/>
        </w:rPr>
        <w:tab/>
      </w:r>
      <w:r w:rsidRPr="0003547E">
        <w:rPr>
          <w:rFonts w:eastAsiaTheme="minorEastAsia"/>
          <w:b/>
          <w:bCs/>
        </w:rPr>
        <w:tab/>
      </w:r>
      <w:r w:rsidRPr="0003547E">
        <w:rPr>
          <w:rFonts w:eastAsiaTheme="minorEastAsia"/>
          <w:b/>
          <w:bCs/>
        </w:rPr>
        <w:tab/>
      </w:r>
      <w:r w:rsidRPr="0003547E">
        <w:rPr>
          <w:rFonts w:eastAsiaTheme="minorEastAsia"/>
          <w:b/>
          <w:bCs/>
        </w:rPr>
        <w:tab/>
      </w:r>
      <w:r w:rsidR="0074759A">
        <w:rPr>
          <w:rFonts w:eastAsiaTheme="minorEastAsia"/>
          <w:bCs/>
        </w:rPr>
        <w:t>(</w:t>
      </w:r>
      <w:r w:rsidRPr="0003547E">
        <w:rPr>
          <w:rFonts w:eastAsiaTheme="minorEastAsia"/>
          <w:bCs/>
        </w:rPr>
        <w:t>1)</w:t>
      </w:r>
    </w:p>
    <w:p w:rsidR="0003547E" w:rsidRPr="0003547E" w:rsidRDefault="0003547E" w:rsidP="0003547E">
      <w:pPr>
        <w:spacing w:after="0" w:line="240" w:lineRule="auto"/>
        <w:ind w:left="360"/>
        <w:contextualSpacing/>
        <w:jc w:val="both"/>
        <w:rPr>
          <w:bCs/>
        </w:rPr>
      </w:pPr>
      <w:r w:rsidRPr="0003547E">
        <w:rPr>
          <w:bCs/>
        </w:rPr>
        <w:t xml:space="preserve">Where; ΔT is the depression temperature in </w:t>
      </w:r>
      <w:proofErr w:type="spellStart"/>
      <w:r w:rsidRPr="0003547E">
        <w:rPr>
          <w:bCs/>
          <w:vertAlign w:val="superscript"/>
        </w:rPr>
        <w:t>o</w:t>
      </w:r>
      <w:r w:rsidRPr="0003547E">
        <w:rPr>
          <w:bCs/>
        </w:rPr>
        <w:t>F</w:t>
      </w:r>
      <w:proofErr w:type="spellEnd"/>
      <w:r w:rsidRPr="0003547E">
        <w:rPr>
          <w:bCs/>
        </w:rPr>
        <w:t>; M is the molar mass of the inhibitor in g/mol; W is the concentration of the inhibitor in weight percent in the aqueous phase; and K</w:t>
      </w:r>
      <w:r w:rsidRPr="0003547E">
        <w:rPr>
          <w:bCs/>
          <w:vertAlign w:val="subscript"/>
        </w:rPr>
        <w:t>H</w:t>
      </w:r>
      <w:r w:rsidRPr="0003547E">
        <w:rPr>
          <w:bCs/>
        </w:rPr>
        <w:t xml:space="preserve"> is a constant with a value of 2355.</w:t>
      </w:r>
    </w:p>
    <w:p w:rsidR="0003547E" w:rsidRDefault="0003547E" w:rsidP="006C02B9">
      <w:pPr>
        <w:spacing w:after="0" w:line="240" w:lineRule="auto"/>
        <w:ind w:left="360"/>
        <w:contextualSpacing/>
        <w:jc w:val="both"/>
        <w:rPr>
          <w:bCs/>
        </w:rPr>
      </w:pPr>
      <w:r w:rsidRPr="0003547E">
        <w:rPr>
          <w:bCs/>
        </w:rPr>
        <w:tab/>
        <w:t xml:space="preserve">However, in order to use the </w:t>
      </w:r>
      <w:proofErr w:type="spellStart"/>
      <w:r w:rsidRPr="0003547E">
        <w:rPr>
          <w:bCs/>
        </w:rPr>
        <w:t>Hammerschimdt</w:t>
      </w:r>
      <w:proofErr w:type="spellEnd"/>
      <w:r w:rsidRPr="0003547E">
        <w:rPr>
          <w:bCs/>
        </w:rPr>
        <w:t xml:space="preserve"> equation, you must first estimate the hydrate conditions without an inhibitor present. The </w:t>
      </w:r>
      <w:proofErr w:type="spellStart"/>
      <w:r w:rsidRPr="0003547E">
        <w:rPr>
          <w:bCs/>
        </w:rPr>
        <w:t>Hammerschimdt</w:t>
      </w:r>
      <w:proofErr w:type="spellEnd"/>
      <w:r w:rsidRPr="0003547E">
        <w:rPr>
          <w:bCs/>
        </w:rPr>
        <w:t xml:space="preserve"> equation only predicts the deviation from the temperature without an inhibitor present, not the hydrate forming conditions themselves.</w:t>
      </w:r>
      <w:r w:rsidR="006C02B9">
        <w:rPr>
          <w:bCs/>
        </w:rPr>
        <w:t xml:space="preserve"> </w:t>
      </w:r>
      <w:r w:rsidRPr="0003547E">
        <w:rPr>
          <w:bCs/>
        </w:rPr>
        <w:t xml:space="preserve">The </w:t>
      </w:r>
      <w:proofErr w:type="spellStart"/>
      <w:r w:rsidRPr="0003547E">
        <w:rPr>
          <w:bCs/>
        </w:rPr>
        <w:t>Hammerschimdt</w:t>
      </w:r>
      <w:proofErr w:type="spellEnd"/>
      <w:r w:rsidRPr="0003547E">
        <w:rPr>
          <w:bCs/>
        </w:rPr>
        <w:t xml:space="preserve"> equation is limited to concentrations of about 30wt% for methanol and ethylene glycol (EG) and only to about 20wt% for other glycols. The freezing point depression method used in this project bears a resemblance to the </w:t>
      </w:r>
      <w:proofErr w:type="spellStart"/>
      <w:r w:rsidRPr="0003547E">
        <w:rPr>
          <w:bCs/>
        </w:rPr>
        <w:t>Hammerschimdt</w:t>
      </w:r>
      <w:proofErr w:type="spellEnd"/>
      <w:r w:rsidRPr="0003547E">
        <w:rPr>
          <w:bCs/>
        </w:rPr>
        <w:t xml:space="preserve"> equation but applies to only a few percent </w:t>
      </w:r>
      <w:proofErr w:type="gramStart"/>
      <w:r w:rsidRPr="0003547E">
        <w:rPr>
          <w:bCs/>
        </w:rPr>
        <w:t>solution</w:t>
      </w:r>
      <w:proofErr w:type="gramEnd"/>
      <w:r w:rsidRPr="0003547E">
        <w:rPr>
          <w:bCs/>
        </w:rPr>
        <w:t xml:space="preserve">.  </w:t>
      </w:r>
    </w:p>
    <w:p w:rsidR="0074759A" w:rsidRPr="0003547E" w:rsidRDefault="0074759A" w:rsidP="0003547E">
      <w:pPr>
        <w:spacing w:after="0" w:line="240" w:lineRule="auto"/>
        <w:ind w:left="360"/>
        <w:contextualSpacing/>
        <w:jc w:val="both"/>
        <w:rPr>
          <w:bCs/>
        </w:rPr>
      </w:pPr>
    </w:p>
    <w:p w:rsidR="0003547E" w:rsidRPr="0003547E" w:rsidRDefault="0003547E" w:rsidP="0003547E">
      <w:pPr>
        <w:pStyle w:val="ListParagraph"/>
        <w:numPr>
          <w:ilvl w:val="0"/>
          <w:numId w:val="6"/>
        </w:numPr>
        <w:spacing w:after="0" w:line="240" w:lineRule="auto"/>
        <w:jc w:val="both"/>
        <w:rPr>
          <w:b/>
          <w:bCs/>
        </w:rPr>
      </w:pPr>
      <w:r w:rsidRPr="0003547E">
        <w:rPr>
          <w:b/>
          <w:bCs/>
        </w:rPr>
        <w:t>The Nielsen-Bucklin equation</w:t>
      </w:r>
    </w:p>
    <w:p w:rsidR="0003547E" w:rsidRPr="0003547E" w:rsidRDefault="0003547E" w:rsidP="0003547E">
      <w:pPr>
        <w:spacing w:after="0" w:line="240" w:lineRule="auto"/>
        <w:contextualSpacing/>
        <w:jc w:val="both"/>
        <w:rPr>
          <w:bCs/>
        </w:rPr>
      </w:pPr>
      <w:r w:rsidRPr="0003547E">
        <w:rPr>
          <w:bCs/>
        </w:rPr>
        <w:t xml:space="preserve">The prediction of hydrate inhibition using methanol as an inhibitor was applied by </w:t>
      </w:r>
      <w:r w:rsidRPr="0003547E">
        <w:rPr>
          <w:bCs/>
          <w:color w:val="FF0000"/>
        </w:rPr>
        <w:t>Nielsen and Bucklin (1983)</w:t>
      </w:r>
      <w:r w:rsidRPr="0003547E">
        <w:rPr>
          <w:bCs/>
        </w:rPr>
        <w:t>. Their equation as used in this work is give as;</w:t>
      </w:r>
    </w:p>
    <w:p w:rsidR="0003547E" w:rsidRPr="0003547E" w:rsidRDefault="0003547E" w:rsidP="0003547E">
      <w:pPr>
        <w:spacing w:after="0" w:line="240" w:lineRule="auto"/>
        <w:contextualSpacing/>
        <w:jc w:val="both"/>
        <w:rPr>
          <w:bCs/>
        </w:rPr>
      </w:pPr>
      <m:oMath>
        <m:r>
          <m:rPr>
            <m:sty m:val="bi"/>
          </m:rPr>
          <m:t>∆</m:t>
        </m:r>
        <m:r>
          <m:rPr>
            <m:sty m:val="bi"/>
          </m:rPr>
          <w:rPr>
            <w:rFonts w:ascii="Cambria Math" w:hAnsi="Cambria Math"/>
          </w:rPr>
          <m:t>T</m:t>
        </m:r>
        <m:r>
          <m:rPr>
            <m:sty m:val="bi"/>
          </m:rPr>
          <w:rPr>
            <w:rFonts w:ascii="Cambria Math"/>
          </w:rPr>
          <m:t>=</m:t>
        </m:r>
        <m:r>
          <m:rPr>
            <m:sty m:val="bi"/>
          </m:rPr>
          <w:rPr>
            <w:rFonts w:ascii="Cambria Math"/>
          </w:rPr>
          <m:t>-</m:t>
        </m:r>
        <m:r>
          <m:rPr>
            <m:sty m:val="bi"/>
          </m:rPr>
          <w:rPr>
            <w:rFonts w:ascii="Cambria Math" w:hAnsi="Cambria Math"/>
          </w:rPr>
          <m:t>72</m:t>
        </m:r>
        <m:r>
          <m:rPr>
            <m:sty m:val="bi"/>
          </m:rPr>
          <w:rPr>
            <w:rFonts w:ascii="Cambria Math" w:hAnsi="Cambria Math"/>
          </w:rPr>
          <m:t>In</m:t>
        </m:r>
        <m:d>
          <m:dPr>
            <m:ctrlPr>
              <w:rPr>
                <w:rFonts w:ascii="Cambria Math" w:hAnsi="Cambria Math"/>
                <w:b/>
                <w:bCs/>
                <w:i/>
              </w:rPr>
            </m:ctrlPr>
          </m:dPr>
          <m:e>
            <m:r>
              <m:rPr>
                <m:sty m:val="bi"/>
              </m:rPr>
              <w:rPr>
                <w:rFonts w:ascii="Cambria Math" w:hAnsi="Cambria Math"/>
              </w:rPr>
              <m:t>1</m:t>
            </m:r>
            <m:r>
              <m:rPr>
                <m:sty m:val="bi"/>
              </m: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e>
        </m:d>
      </m:oMath>
      <w:r w:rsidR="0074759A">
        <w:rPr>
          <w:rFonts w:eastAsiaTheme="minorEastAsia"/>
          <w:bCs/>
        </w:rPr>
        <w:t xml:space="preserve">  </w:t>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t>(</w:t>
      </w:r>
      <w:r w:rsidRPr="0003547E">
        <w:rPr>
          <w:rFonts w:eastAsiaTheme="minorEastAsia"/>
          <w:bCs/>
        </w:rPr>
        <w:t>2)</w:t>
      </w:r>
    </w:p>
    <w:p w:rsidR="0003547E" w:rsidRPr="0003547E" w:rsidRDefault="0003547E" w:rsidP="0003547E">
      <w:pPr>
        <w:spacing w:after="0" w:line="240" w:lineRule="auto"/>
        <w:contextualSpacing/>
        <w:jc w:val="both"/>
        <w:rPr>
          <w:bCs/>
        </w:rPr>
      </w:pPr>
      <w:r w:rsidRPr="0003547E">
        <w:rPr>
          <w:bCs/>
        </w:rPr>
        <w:t xml:space="preserve">Where; ΔT is the depression temperature in </w:t>
      </w:r>
      <w:proofErr w:type="spellStart"/>
      <w:r w:rsidRPr="0003547E">
        <w:rPr>
          <w:bCs/>
          <w:vertAlign w:val="superscript"/>
        </w:rPr>
        <w:t>o</w:t>
      </w:r>
      <w:r w:rsidRPr="0003547E">
        <w:rPr>
          <w:bCs/>
        </w:rPr>
        <w:t>F</w:t>
      </w:r>
      <w:proofErr w:type="spellEnd"/>
      <w:r w:rsidRPr="0003547E">
        <w:rPr>
          <w:bCs/>
        </w:rPr>
        <w:t xml:space="preserve"> and </w:t>
      </w:r>
      <w:proofErr w:type="spellStart"/>
      <w:r w:rsidRPr="0003547E">
        <w:rPr>
          <w:bCs/>
        </w:rPr>
        <w:t>x</w:t>
      </w:r>
      <w:r w:rsidRPr="0003547E">
        <w:rPr>
          <w:bCs/>
          <w:vertAlign w:val="subscript"/>
        </w:rPr>
        <w:t>m</w:t>
      </w:r>
      <w:proofErr w:type="spellEnd"/>
      <w:r w:rsidRPr="0003547E">
        <w:rPr>
          <w:bCs/>
        </w:rPr>
        <w:t xml:space="preserve"> is the mole fraction of methanol. This equation is accurate up to a mole fraction of 0.8 (about 88 </w:t>
      </w:r>
      <w:proofErr w:type="gramStart"/>
      <w:r w:rsidRPr="0003547E">
        <w:rPr>
          <w:bCs/>
        </w:rPr>
        <w:t>wt%</w:t>
      </w:r>
      <w:proofErr w:type="gramEnd"/>
      <w:r w:rsidRPr="0003547E">
        <w:rPr>
          <w:bCs/>
        </w:rPr>
        <w:t>). This equation can be rearranged to estimate the methanol concentration if given the temperature depression value;</w:t>
      </w:r>
    </w:p>
    <w:p w:rsidR="0003547E" w:rsidRPr="0003547E" w:rsidRDefault="000E0012" w:rsidP="0003547E">
      <w:pPr>
        <w:spacing w:after="0" w:line="240" w:lineRule="auto"/>
        <w:contextualSpacing/>
        <w:jc w:val="both"/>
        <w:rPr>
          <w:bCs/>
        </w:rPr>
      </w:pP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r>
          <m:rPr>
            <m:sty m:val="bi"/>
          </m:rPr>
          <w:rPr>
            <w:rFonts w:ascii="Cambria Math"/>
          </w:rPr>
          <m:t>=</m:t>
        </m:r>
        <m:r>
          <m:rPr>
            <m:sty m:val="bi"/>
          </m:rPr>
          <w:rPr>
            <w:rFonts w:ascii="Cambria Math" w:hAnsi="Cambria Math"/>
          </w:rPr>
          <m:t>1</m:t>
        </m:r>
        <m:r>
          <m:rPr>
            <m:sty m:val="bi"/>
          </m:rPr>
          <m:t>-</m:t>
        </m:r>
        <m:r>
          <m:rPr>
            <m:sty m:val="bi"/>
          </m:rPr>
          <w:rPr>
            <w:rFonts w:ascii="Cambria Math" w:hAnsi="Cambria Math"/>
          </w:rPr>
          <m:t>exp</m:t>
        </m:r>
        <m:d>
          <m:dPr>
            <m:begChr m:val="["/>
            <m:endChr m:val="]"/>
            <m:ctrlPr>
              <w:rPr>
                <w:rFonts w:ascii="Cambria Math" w:hAnsi="Cambria Math"/>
                <w:b/>
                <w:bCs/>
                <w:i/>
              </w:rPr>
            </m:ctrlPr>
          </m:dPr>
          <m:e>
            <m:f>
              <m:fPr>
                <m:ctrlPr>
                  <w:rPr>
                    <w:rFonts w:ascii="Cambria Math" w:hAnsi="Cambria Math"/>
                    <w:b/>
                    <w:bCs/>
                    <w:i/>
                  </w:rPr>
                </m:ctrlPr>
              </m:fPr>
              <m:num>
                <m:r>
                  <m:rPr>
                    <m:sty m:val="bi"/>
                  </m:rPr>
                  <m:t>-∆</m:t>
                </m:r>
                <m:r>
                  <m:rPr>
                    <m:sty m:val="bi"/>
                  </m:rPr>
                  <w:rPr>
                    <w:rFonts w:ascii="Cambria Math" w:hAnsi="Cambria Math"/>
                  </w:rPr>
                  <m:t>T</m:t>
                </m:r>
              </m:num>
              <m:den>
                <m:r>
                  <m:rPr>
                    <m:sty m:val="bi"/>
                  </m:rPr>
                  <w:rPr>
                    <w:rFonts w:ascii="Cambria Math" w:hAnsi="Cambria Math"/>
                  </w:rPr>
                  <m:t>72</m:t>
                </m:r>
              </m:den>
            </m:f>
          </m:e>
        </m:d>
      </m:oMath>
      <w:r w:rsidR="0074759A">
        <w:rPr>
          <w:rFonts w:eastAsiaTheme="minorEastAsia"/>
          <w:bCs/>
        </w:rPr>
        <w:t xml:space="preserve">  </w:t>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t>(</w:t>
      </w:r>
      <w:r w:rsidR="0003547E" w:rsidRPr="0003547E">
        <w:rPr>
          <w:rFonts w:eastAsiaTheme="minorEastAsia"/>
          <w:bCs/>
        </w:rPr>
        <w:t>3)</w:t>
      </w:r>
    </w:p>
    <w:p w:rsidR="0003547E" w:rsidRPr="0003547E" w:rsidRDefault="0003547E" w:rsidP="0003547E">
      <w:pPr>
        <w:spacing w:after="0" w:line="240" w:lineRule="auto"/>
        <w:contextualSpacing/>
        <w:jc w:val="both"/>
        <w:rPr>
          <w:bCs/>
        </w:rPr>
      </w:pPr>
      <w:r w:rsidRPr="0003547E">
        <w:rPr>
          <w:bCs/>
        </w:rPr>
        <w:t>To calculate the weight percent from this mole fraction, the following equation is used;</w:t>
      </w:r>
    </w:p>
    <w:p w:rsidR="0003547E" w:rsidRPr="0003547E" w:rsidRDefault="000E0012" w:rsidP="0003547E">
      <w:pPr>
        <w:spacing w:after="0" w:line="240" w:lineRule="auto"/>
        <w:contextualSpacing/>
        <w:jc w:val="both"/>
        <w:rPr>
          <w:bCs/>
        </w:rPr>
      </w:pPr>
      <m:oMath>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r>
          <m:rPr>
            <m:sty m:val="bi"/>
          </m:rPr>
          <w:rPr>
            <w:rFonts w:ascii="Cambria Math"/>
          </w:rPr>
          <m:t>=</m:t>
        </m:r>
        <m:f>
          <m:fPr>
            <m:ctrlPr>
              <w:rPr>
                <w:rFonts w:ascii="Cambria Math" w:hAnsi="Cambria Math"/>
                <w:b/>
                <w:bCs/>
                <w:i/>
              </w:rPr>
            </m:ctrlPr>
          </m:fPr>
          <m:num>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M</m:t>
                </m:r>
              </m:sub>
            </m:sSub>
          </m:num>
          <m:den>
            <m:r>
              <m:rPr>
                <m:sty m:val="bi"/>
              </m:rPr>
              <w:rPr>
                <w:rFonts w:ascii="Cambria Math" w:hAnsi="Cambria Math"/>
              </w:rPr>
              <m:t>18</m:t>
            </m:r>
            <m:r>
              <m:rPr>
                <m:sty m:val="bi"/>
              </m:rPr>
              <w:rPr>
                <w:rFonts w:ascii="Cambria Math"/>
              </w:rPr>
              <m:t>.</m:t>
            </m:r>
            <m:r>
              <m:rPr>
                <m:sty m:val="bi"/>
              </m:rPr>
              <w:rPr>
                <w:rFonts w:ascii="Cambria Math" w:hAnsi="Cambria Math"/>
              </w:rPr>
              <m:t>015</m:t>
            </m:r>
            <m:r>
              <m:rPr>
                <m:sty m:val="bi"/>
              </m:rPr>
              <w:rPr>
                <w:rFonts w:ascii="Cambria Math"/>
              </w:rPr>
              <m:t>+</m:t>
            </m:r>
            <m:sSub>
              <m:sSubPr>
                <m:ctrlPr>
                  <w:rPr>
                    <w:rFonts w:ascii="Cambria Math" w:hAnsi="Cambria Math"/>
                    <w:b/>
                    <w:bCs/>
                    <w:i/>
                  </w:rPr>
                </m:ctrlPr>
              </m:sSubPr>
              <m:e>
                <m:r>
                  <m:rPr>
                    <m:sty m:val="bi"/>
                  </m:rPr>
                  <w:rPr>
                    <w:rFonts w:ascii="Cambria Math" w:hAnsi="Cambria Math"/>
                  </w:rPr>
                  <m:t>x</m:t>
                </m:r>
              </m:e>
              <m:sub>
                <m:r>
                  <m:rPr>
                    <m:sty m:val="bi"/>
                  </m:rPr>
                  <w:rPr>
                    <w:rFonts w:ascii="Cambria Math" w:hAnsi="Cambria Math"/>
                  </w:rPr>
                  <m:t>m</m:t>
                </m:r>
              </m:sub>
            </m:sSub>
            <m:d>
              <m:dPr>
                <m:ctrlPr>
                  <w:rPr>
                    <w:rFonts w:ascii="Cambria Math" w:hAnsi="Cambria Math"/>
                    <w:b/>
                    <w:bCs/>
                    <w:i/>
                  </w:rPr>
                </m:ctrlPr>
              </m:dPr>
              <m:e>
                <m:sSub>
                  <m:sSubPr>
                    <m:ctrlPr>
                      <w:rPr>
                        <w:rFonts w:ascii="Cambria Math" w:hAnsi="Cambria Math"/>
                        <w:b/>
                        <w:bCs/>
                        <w:i/>
                      </w:rPr>
                    </m:ctrlPr>
                  </m:sSubPr>
                  <m:e>
                    <m:r>
                      <m:rPr>
                        <m:sty m:val="bi"/>
                      </m:rPr>
                      <w:rPr>
                        <w:rFonts w:ascii="Cambria Math" w:hAnsi="Cambria Math"/>
                      </w:rPr>
                      <m:t>M</m:t>
                    </m:r>
                  </m:e>
                  <m:sub>
                    <m:r>
                      <m:rPr>
                        <m:sty m:val="bi"/>
                      </m:rPr>
                      <w:rPr>
                        <w:rFonts w:ascii="Cambria Math" w:hAnsi="Cambria Math"/>
                      </w:rPr>
                      <m:t>M</m:t>
                    </m:r>
                  </m:sub>
                </m:sSub>
                <m:r>
                  <m:rPr>
                    <m:sty m:val="bi"/>
                  </m:rPr>
                  <m:t>-</m:t>
                </m:r>
                <m:r>
                  <m:rPr>
                    <m:sty m:val="bi"/>
                  </m:rPr>
                  <w:rPr>
                    <w:rFonts w:ascii="Cambria Math" w:hAnsi="Cambria Math"/>
                  </w:rPr>
                  <m:t>18</m:t>
                </m:r>
                <m:r>
                  <m:rPr>
                    <m:sty m:val="bi"/>
                  </m:rPr>
                  <w:rPr>
                    <w:rFonts w:ascii="Cambria Math"/>
                  </w:rPr>
                  <m:t>.</m:t>
                </m:r>
                <m:r>
                  <m:rPr>
                    <m:sty m:val="bi"/>
                  </m:rPr>
                  <w:rPr>
                    <w:rFonts w:ascii="Cambria Math" w:hAnsi="Cambria Math"/>
                  </w:rPr>
                  <m:t>015</m:t>
                </m:r>
              </m:e>
            </m:d>
          </m:den>
        </m:f>
      </m:oMath>
      <w:r w:rsidR="0003547E" w:rsidRPr="0003547E">
        <w:rPr>
          <w:rFonts w:eastAsiaTheme="minorEastAsia"/>
          <w:bCs/>
        </w:rPr>
        <w:t xml:space="preserve">  </w:t>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r>
      <w:r w:rsidR="0074759A">
        <w:rPr>
          <w:rFonts w:eastAsiaTheme="minorEastAsia"/>
          <w:bCs/>
        </w:rPr>
        <w:tab/>
        <w:t>(</w:t>
      </w:r>
      <w:r w:rsidR="0003547E" w:rsidRPr="0003547E">
        <w:rPr>
          <w:rFonts w:eastAsiaTheme="minorEastAsia"/>
          <w:bCs/>
        </w:rPr>
        <w:t>4)</w:t>
      </w:r>
    </w:p>
    <w:p w:rsidR="0003547E" w:rsidRPr="0003547E" w:rsidRDefault="0003547E" w:rsidP="0003547E">
      <w:pPr>
        <w:spacing w:after="0" w:line="240" w:lineRule="auto"/>
        <w:contextualSpacing/>
        <w:jc w:val="both"/>
        <w:rPr>
          <w:bCs/>
        </w:rPr>
      </w:pPr>
      <w:r w:rsidRPr="0003547E">
        <w:rPr>
          <w:bCs/>
        </w:rPr>
        <w:t xml:space="preserve">Where; </w:t>
      </w:r>
      <w:proofErr w:type="spellStart"/>
      <w:r w:rsidRPr="0003547E">
        <w:rPr>
          <w:bCs/>
        </w:rPr>
        <w:t>X</w:t>
      </w:r>
      <w:r w:rsidRPr="0003547E">
        <w:rPr>
          <w:bCs/>
          <w:vertAlign w:val="subscript"/>
        </w:rPr>
        <w:t>m</w:t>
      </w:r>
      <w:proofErr w:type="spellEnd"/>
      <w:r w:rsidRPr="0003547E">
        <w:rPr>
          <w:bCs/>
        </w:rPr>
        <w:t xml:space="preserve"> is the weight fraction of methanol and M</w:t>
      </w:r>
      <w:r w:rsidRPr="0003547E">
        <w:rPr>
          <w:bCs/>
          <w:vertAlign w:val="subscript"/>
        </w:rPr>
        <w:t>M</w:t>
      </w:r>
      <w:r w:rsidRPr="0003547E">
        <w:rPr>
          <w:bCs/>
        </w:rPr>
        <w:t xml:space="preserve"> is the molar mass of methanol. </w:t>
      </w:r>
    </w:p>
    <w:p w:rsidR="0003547E" w:rsidRPr="0003547E" w:rsidRDefault="0003547E" w:rsidP="0003547E">
      <w:pPr>
        <w:spacing w:after="0" w:line="240" w:lineRule="auto"/>
        <w:contextualSpacing/>
        <w:jc w:val="both"/>
        <w:rPr>
          <w:bCs/>
        </w:rPr>
      </w:pPr>
      <w:r w:rsidRPr="0003547E">
        <w:rPr>
          <w:bCs/>
        </w:rPr>
        <w:t>Meanwhile the Nielsen-Bucklin equation was developed for use with methanol; however the equation is actually independent of the choice of inhibitor. The equation involves only the properties of water and the concentration of the inhibitors. This theoretically means that it can be used for any inhibitor, where the molecular weight of the solvent is substituted for M</w:t>
      </w:r>
      <w:r w:rsidRPr="0003547E">
        <w:rPr>
          <w:bCs/>
          <w:vertAlign w:val="subscript"/>
        </w:rPr>
        <w:t>M</w:t>
      </w:r>
      <w:r w:rsidR="0074759A">
        <w:rPr>
          <w:bCs/>
        </w:rPr>
        <w:t xml:space="preserve"> in equation </w:t>
      </w:r>
      <w:r w:rsidRPr="0003547E">
        <w:rPr>
          <w:bCs/>
        </w:rPr>
        <w:t>4.</w:t>
      </w:r>
    </w:p>
    <w:p w:rsidR="0003547E" w:rsidRDefault="0003547E" w:rsidP="0003547E">
      <w:pPr>
        <w:spacing w:after="0" w:line="240" w:lineRule="auto"/>
        <w:contextualSpacing/>
        <w:jc w:val="both"/>
        <w:rPr>
          <w:bCs/>
        </w:rPr>
      </w:pPr>
    </w:p>
    <w:p w:rsidR="0003547E" w:rsidRPr="0003547E" w:rsidRDefault="0003547E" w:rsidP="0003547E">
      <w:pPr>
        <w:pStyle w:val="ListParagraph"/>
        <w:numPr>
          <w:ilvl w:val="1"/>
          <w:numId w:val="5"/>
        </w:numPr>
        <w:spacing w:after="0" w:line="240" w:lineRule="auto"/>
        <w:jc w:val="both"/>
        <w:rPr>
          <w:b/>
          <w:bCs/>
        </w:rPr>
      </w:pPr>
      <w:r w:rsidRPr="0003547E">
        <w:rPr>
          <w:b/>
          <w:bCs/>
        </w:rPr>
        <w:t>Prediction of models</w:t>
      </w:r>
    </w:p>
    <w:p w:rsidR="0003547E" w:rsidRPr="0003547E" w:rsidRDefault="0003547E" w:rsidP="0003547E">
      <w:pPr>
        <w:spacing w:after="0" w:line="240" w:lineRule="auto"/>
        <w:contextualSpacing/>
        <w:jc w:val="both"/>
        <w:rPr>
          <w:color w:val="auto"/>
        </w:rPr>
      </w:pPr>
      <w:r w:rsidRPr="0003547E">
        <w:rPr>
          <w:bCs/>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 xml:space="preserve">Nielsen-Bucklin </w:t>
      </w:r>
      <w:r w:rsidRPr="0003547E">
        <w:rPr>
          <w:color w:val="auto"/>
        </w:rPr>
        <w:t xml:space="preserve">equations have a wide range of characteristics that makes them industrially desirable, so the predicted equations in this study are functions of the </w:t>
      </w:r>
      <w:proofErr w:type="spellStart"/>
      <w:r w:rsidRPr="0003547E">
        <w:rPr>
          <w:color w:val="FF0000"/>
        </w:rPr>
        <w:t>Hammerschimdt</w:t>
      </w:r>
      <w:proofErr w:type="spellEnd"/>
      <w:r w:rsidRPr="0003547E">
        <w:rPr>
          <w:color w:val="333333"/>
        </w:rPr>
        <w:t xml:space="preserve"> and </w:t>
      </w:r>
      <w:r w:rsidRPr="0003547E">
        <w:rPr>
          <w:color w:val="FF0000"/>
        </w:rPr>
        <w:lastRenderedPageBreak/>
        <w:t xml:space="preserve">Nielsen-Bucklin </w:t>
      </w:r>
      <w:r w:rsidRPr="0003547E">
        <w:rPr>
          <w:color w:val="auto"/>
        </w:rPr>
        <w:t>equations.</w:t>
      </w:r>
      <w:r w:rsidR="0074759A">
        <w:rPr>
          <w:color w:val="auto"/>
        </w:rPr>
        <w:t xml:space="preserve"> </w:t>
      </w:r>
      <w:r w:rsidRPr="0003547E">
        <w:rPr>
          <w:color w:val="auto"/>
        </w:rPr>
        <w:t xml:space="preserve">Soft mathematical programs of depression temperatures in </w:t>
      </w:r>
      <w:proofErr w:type="spellStart"/>
      <w:r w:rsidRPr="0003547E">
        <w:rPr>
          <w:color w:val="auto"/>
          <w:vertAlign w:val="superscript"/>
        </w:rPr>
        <w:t>o</w:t>
      </w:r>
      <w:r w:rsidRPr="0003547E">
        <w:rPr>
          <w:color w:val="auto"/>
        </w:rPr>
        <w:t>F</w:t>
      </w:r>
      <w:proofErr w:type="spellEnd"/>
      <w:r w:rsidRPr="0003547E">
        <w:rPr>
          <w:color w:val="auto"/>
        </w:rPr>
        <w:t xml:space="preserve"> were developed for inhibitor concentrations of 5wt%, 10wt%, 15wt%, 20wt%, 40wt% and 50wt% for both equations for each inhibitor</w:t>
      </w:r>
      <w:r w:rsidR="0074759A">
        <w:rPr>
          <w:color w:val="auto"/>
        </w:rPr>
        <w:t xml:space="preserve">. </w:t>
      </w:r>
      <w:r w:rsidRPr="0003547E">
        <w:rPr>
          <w:color w:val="auto"/>
        </w:rPr>
        <w:t>Average depression temperatures were estimated and the comparative results produced in order to understand the behavior of the predicted and actual results.</w:t>
      </w:r>
      <w:r w:rsidR="0074759A">
        <w:rPr>
          <w:color w:val="auto"/>
        </w:rPr>
        <w:t xml:space="preserve"> </w:t>
      </w:r>
      <w:r w:rsidRPr="0003547E">
        <w:rPr>
          <w:color w:val="auto"/>
        </w:rPr>
        <w:t xml:space="preserve">However, all predicted depression temperatures for all inhibitors were combined and used for the development and prediction of a comprehensive equation applicable with all the </w:t>
      </w:r>
      <w:r w:rsidRPr="0003547E">
        <w:t>thermodynamic</w:t>
      </w:r>
      <w:r w:rsidRPr="0003547E">
        <w:rPr>
          <w:color w:val="auto"/>
        </w:rPr>
        <w:t xml:space="preserve"> hydrate inhibitors.</w:t>
      </w:r>
    </w:p>
    <w:p w:rsidR="0074759A" w:rsidRDefault="0074759A" w:rsidP="00CB7567">
      <w:pPr>
        <w:pStyle w:val="ListParagraph"/>
        <w:spacing w:after="0" w:line="240" w:lineRule="auto"/>
        <w:ind w:left="510"/>
        <w:jc w:val="both"/>
        <w:rPr>
          <w:b/>
          <w:bCs/>
        </w:rPr>
      </w:pPr>
    </w:p>
    <w:p w:rsidR="0003547E" w:rsidRPr="0003547E" w:rsidRDefault="0003547E" w:rsidP="0003547E">
      <w:pPr>
        <w:pStyle w:val="ListParagraph"/>
        <w:numPr>
          <w:ilvl w:val="1"/>
          <w:numId w:val="5"/>
        </w:numPr>
        <w:spacing w:after="0" w:line="240" w:lineRule="auto"/>
        <w:jc w:val="both"/>
        <w:rPr>
          <w:b/>
          <w:bCs/>
        </w:rPr>
      </w:pPr>
      <w:r w:rsidRPr="0003547E">
        <w:rPr>
          <w:b/>
          <w:bCs/>
        </w:rPr>
        <w:t xml:space="preserve">Prediction of hydrate ranking </w:t>
      </w:r>
    </w:p>
    <w:p w:rsidR="0003547E" w:rsidRPr="0003547E" w:rsidRDefault="0003547E" w:rsidP="0003547E">
      <w:pPr>
        <w:spacing w:after="0" w:line="240" w:lineRule="auto"/>
        <w:contextualSpacing/>
        <w:jc w:val="both"/>
        <w:rPr>
          <w:bCs/>
        </w:rPr>
      </w:pPr>
      <w:r w:rsidRPr="0003547E">
        <w:rPr>
          <w:bCs/>
        </w:rPr>
        <w:t>The prediction of hydrate ranking style was done with all the depression temperature ranges where those with maximum or highest values were selected first after all sensitivity modeling are completed.</w:t>
      </w:r>
    </w:p>
    <w:p w:rsidR="0003547E" w:rsidRPr="0003547E" w:rsidRDefault="0003547E" w:rsidP="0003547E">
      <w:pPr>
        <w:spacing w:after="0" w:line="240" w:lineRule="auto"/>
        <w:contextualSpacing/>
        <w:jc w:val="both"/>
        <w:rPr>
          <w:bCs/>
        </w:rPr>
      </w:pPr>
    </w:p>
    <w:p w:rsidR="0003547E" w:rsidRPr="0003547E" w:rsidRDefault="00B5316F" w:rsidP="0003547E">
      <w:pPr>
        <w:spacing w:after="0" w:line="240" w:lineRule="auto"/>
        <w:contextualSpacing/>
        <w:jc w:val="both"/>
        <w:rPr>
          <w:b/>
          <w:bCs/>
        </w:rPr>
      </w:pPr>
      <w:r>
        <w:rPr>
          <w:b/>
          <w:bCs/>
        </w:rPr>
        <w:t>4.0</w:t>
      </w:r>
      <w:r w:rsidR="0003547E" w:rsidRPr="0003547E">
        <w:rPr>
          <w:b/>
          <w:bCs/>
        </w:rPr>
        <w:t xml:space="preserve"> Results</w:t>
      </w:r>
    </w:p>
    <w:p w:rsidR="0003547E" w:rsidRDefault="0003547E" w:rsidP="0003547E">
      <w:pPr>
        <w:spacing w:after="0" w:line="240" w:lineRule="auto"/>
        <w:contextualSpacing/>
        <w:jc w:val="both"/>
        <w:rPr>
          <w:bCs/>
        </w:rPr>
      </w:pPr>
      <w:r w:rsidRPr="0003547E">
        <w:rPr>
          <w:bCs/>
        </w:rPr>
        <w:t xml:space="preserve">Results of gas hydrate depression temperatures were predicted with respect to the inhibitor concentrations of 5, 10, 20, 30 and 50 wt% for methanol, ethanol, </w:t>
      </w:r>
      <w:proofErr w:type="spellStart"/>
      <w:r w:rsidRPr="0003547E">
        <w:rPr>
          <w:bCs/>
        </w:rPr>
        <w:t>di</w:t>
      </w:r>
      <w:proofErr w:type="spellEnd"/>
      <w:r w:rsidRPr="0003547E">
        <w:rPr>
          <w:bCs/>
        </w:rPr>
        <w:t>-ethylene glycol (DEG), tri-ethylene glycol (TEG), sodium chloride, calcium chloride and potassium chloride. The results were used for ranking of inhibitors and prediction of simple equations of the depression temperatures as functions of the inhibitor concentrations. Comparative result analysis was done to improve the understanding of the behavior of gas hydrate predictions with kinetic inhibitors in fluid systems.</w:t>
      </w:r>
    </w:p>
    <w:p w:rsidR="00B5316F" w:rsidRPr="0003547E" w:rsidRDefault="00B5316F" w:rsidP="0003547E">
      <w:pPr>
        <w:spacing w:after="0" w:line="240" w:lineRule="auto"/>
        <w:contextualSpacing/>
        <w:jc w:val="both"/>
        <w:rPr>
          <w:bCs/>
        </w:rPr>
      </w:pPr>
    </w:p>
    <w:p w:rsidR="0003547E" w:rsidRPr="0003547E" w:rsidRDefault="00B5316F" w:rsidP="0003547E">
      <w:pPr>
        <w:spacing w:after="0" w:line="240" w:lineRule="auto"/>
        <w:ind w:left="630" w:hanging="630"/>
        <w:contextualSpacing/>
        <w:jc w:val="both"/>
        <w:rPr>
          <w:b/>
          <w:bCs/>
        </w:rPr>
      </w:pPr>
      <w:r>
        <w:rPr>
          <w:b/>
          <w:bCs/>
        </w:rPr>
        <w:t>4.1</w:t>
      </w:r>
      <w:r w:rsidR="0003547E" w:rsidRPr="0003547E">
        <w:rPr>
          <w:b/>
          <w:bCs/>
        </w:rPr>
        <w:t xml:space="preserve"> Results of depression temperature modeling with </w:t>
      </w:r>
      <w:r w:rsidR="0003547E" w:rsidRPr="0003547E">
        <w:rPr>
          <w:b/>
          <w:color w:val="333333"/>
        </w:rPr>
        <w:t xml:space="preserve">the </w:t>
      </w:r>
      <w:proofErr w:type="spellStart"/>
      <w:r w:rsidR="0003547E" w:rsidRPr="0003547E">
        <w:rPr>
          <w:b/>
          <w:color w:val="FF0000"/>
        </w:rPr>
        <w:t>Hammerschimdt</w:t>
      </w:r>
      <w:proofErr w:type="spellEnd"/>
      <w:r w:rsidR="0003547E" w:rsidRPr="0003547E">
        <w:rPr>
          <w:b/>
          <w:color w:val="333333"/>
        </w:rPr>
        <w:t xml:space="preserve"> and </w:t>
      </w:r>
      <w:r w:rsidR="0003547E" w:rsidRPr="0003547E">
        <w:rPr>
          <w:b/>
          <w:color w:val="FF0000"/>
        </w:rPr>
        <w:t>Nielsen-Bucklin</w:t>
      </w:r>
      <w:r w:rsidR="0003547E" w:rsidRPr="0003547E">
        <w:rPr>
          <w:b/>
          <w:color w:val="333333"/>
        </w:rPr>
        <w:t xml:space="preserve"> equations.</w:t>
      </w:r>
    </w:p>
    <w:p w:rsidR="0003547E" w:rsidRPr="0003547E" w:rsidRDefault="0003547E" w:rsidP="0074759A">
      <w:pPr>
        <w:spacing w:after="0" w:line="240" w:lineRule="auto"/>
        <w:contextualSpacing/>
        <w:jc w:val="both"/>
        <w:rPr>
          <w:color w:val="333333"/>
        </w:rPr>
      </w:pPr>
      <w:r w:rsidRPr="0003547E">
        <w:t xml:space="preserve">The results of predicted depression temperature with inhibitor concentrations for </w:t>
      </w:r>
      <w:r w:rsidRPr="0003547E">
        <w:rPr>
          <w:color w:val="333333"/>
        </w:rPr>
        <w:t xml:space="preserve">the </w:t>
      </w:r>
      <w:proofErr w:type="spellStart"/>
      <w:r w:rsidRPr="0003547E">
        <w:rPr>
          <w:color w:val="FF0000"/>
        </w:rPr>
        <w:t>Hammerschimdt</w:t>
      </w:r>
      <w:proofErr w:type="spellEnd"/>
      <w:r w:rsidRPr="0003547E">
        <w:rPr>
          <w:color w:val="333333"/>
        </w:rPr>
        <w:t xml:space="preserve"> equation gave a maximum temperature of approximately 72.96875</w:t>
      </w:r>
      <w:r w:rsidRPr="0003547E">
        <w:rPr>
          <w:color w:val="333333"/>
          <w:vertAlign w:val="superscript"/>
        </w:rPr>
        <w:t>o</w:t>
      </w:r>
      <w:r w:rsidRPr="0003547E">
        <w:rPr>
          <w:color w:val="333333"/>
        </w:rPr>
        <w:t>F for methanol at 50 wt% inhibitor concentration and a minimum of temperature of 0.819298</w:t>
      </w:r>
      <w:r w:rsidRPr="0003547E">
        <w:rPr>
          <w:color w:val="333333"/>
          <w:vertAlign w:val="superscript"/>
        </w:rPr>
        <w:t>o</w:t>
      </w:r>
      <w:r w:rsidRPr="0003547E">
        <w:rPr>
          <w:color w:val="333333"/>
        </w:rPr>
        <w:t xml:space="preserve">F for TEG as shown in </w:t>
      </w:r>
      <w:r w:rsidR="0074759A">
        <w:rPr>
          <w:color w:val="FF0000"/>
        </w:rPr>
        <w:t xml:space="preserve">Table </w:t>
      </w:r>
      <w:r w:rsidRPr="0003547E">
        <w:rPr>
          <w:color w:val="FF0000"/>
        </w:rPr>
        <w:t>1.</w:t>
      </w:r>
      <w:r w:rsidRPr="0003547E">
        <w:rPr>
          <w:color w:val="333333"/>
        </w:rPr>
        <w:t xml:space="preserve"> The graphical result curves are shown in </w:t>
      </w:r>
      <w:r w:rsidR="0074759A">
        <w:rPr>
          <w:color w:val="FF0000"/>
        </w:rPr>
        <w:t>Fig. 2</w:t>
      </w:r>
      <w:r w:rsidRPr="0003547E">
        <w:rPr>
          <w:color w:val="333333"/>
        </w:rPr>
        <w:t xml:space="preserve"> as methanol prediction ability from maximum range makes it a better inhibitor option. However, results of predicted depression temperature with inhibitor concentrations for the </w:t>
      </w:r>
      <w:r w:rsidRPr="0003547E">
        <w:rPr>
          <w:color w:val="FF0000"/>
        </w:rPr>
        <w:t>Nielsen-Bucklin</w:t>
      </w:r>
      <w:r w:rsidRPr="0003547E">
        <w:rPr>
          <w:color w:val="333333"/>
        </w:rPr>
        <w:t xml:space="preserve"> equation gave a maximum temperature of 146.6555</w:t>
      </w:r>
      <w:r w:rsidRPr="0003547E">
        <w:rPr>
          <w:color w:val="333333"/>
          <w:vertAlign w:val="superscript"/>
        </w:rPr>
        <w:t>o</w:t>
      </w:r>
      <w:r w:rsidRPr="0003547E">
        <w:rPr>
          <w:color w:val="333333"/>
        </w:rPr>
        <w:t>F for ethanol at 40 wt% inhibitor concentration, and a minimum predicted temperature of 2.440912</w:t>
      </w:r>
      <w:r w:rsidRPr="0003547E">
        <w:rPr>
          <w:color w:val="333333"/>
          <w:vertAlign w:val="superscript"/>
        </w:rPr>
        <w:t>o</w:t>
      </w:r>
      <w:r w:rsidRPr="0003547E">
        <w:rPr>
          <w:color w:val="333333"/>
        </w:rPr>
        <w:t xml:space="preserve">F for TEG at 5 wt% inhibitor concentration as shown in </w:t>
      </w:r>
      <w:proofErr w:type="gramStart"/>
      <w:r w:rsidR="0074759A">
        <w:rPr>
          <w:color w:val="FF0000"/>
        </w:rPr>
        <w:t xml:space="preserve">Table  </w:t>
      </w:r>
      <w:r w:rsidRPr="0003547E">
        <w:rPr>
          <w:color w:val="FF0000"/>
        </w:rPr>
        <w:t>2</w:t>
      </w:r>
      <w:proofErr w:type="gramEnd"/>
      <w:r w:rsidRPr="0003547E">
        <w:rPr>
          <w:color w:val="FF0000"/>
        </w:rPr>
        <w:t>.</w:t>
      </w:r>
      <w:r w:rsidRPr="0003547E">
        <w:rPr>
          <w:color w:val="333333"/>
        </w:rPr>
        <w:t xml:space="preserve"> The graphical result curves are shown in </w:t>
      </w:r>
      <w:r w:rsidR="0074759A">
        <w:rPr>
          <w:color w:val="FF0000"/>
        </w:rPr>
        <w:t>Fig. 3</w:t>
      </w:r>
      <w:r w:rsidRPr="0003547E">
        <w:rPr>
          <w:color w:val="333333"/>
        </w:rPr>
        <w:t xml:space="preserve"> indicating a divergence behavior of ethanol with respect to other inhibitors.</w:t>
      </w:r>
    </w:p>
    <w:p w:rsidR="0003547E" w:rsidRPr="0003547E" w:rsidRDefault="0003547E" w:rsidP="0003547E">
      <w:pPr>
        <w:spacing w:after="0" w:line="240" w:lineRule="auto"/>
        <w:contextualSpacing/>
        <w:jc w:val="both"/>
        <w:rPr>
          <w:color w:val="333333"/>
        </w:rPr>
      </w:pPr>
    </w:p>
    <w:p w:rsidR="0003547E" w:rsidRPr="0003547E" w:rsidRDefault="00B5316F" w:rsidP="0003547E">
      <w:pPr>
        <w:spacing w:after="0" w:line="240" w:lineRule="auto"/>
        <w:ind w:left="630" w:hanging="630"/>
        <w:contextualSpacing/>
        <w:jc w:val="both"/>
        <w:rPr>
          <w:b/>
          <w:bCs/>
        </w:rPr>
      </w:pPr>
      <w:r>
        <w:rPr>
          <w:b/>
          <w:bCs/>
        </w:rPr>
        <w:t>4.</w:t>
      </w:r>
      <w:r w:rsidR="0003547E" w:rsidRPr="0003547E">
        <w:rPr>
          <w:b/>
          <w:bCs/>
        </w:rPr>
        <w:t xml:space="preserve">2 Comparative sensitivity results of predicted depression temperature modeling  </w:t>
      </w:r>
    </w:p>
    <w:p w:rsidR="0003547E" w:rsidRPr="004B2B86" w:rsidRDefault="0003547E" w:rsidP="004B2B86">
      <w:pPr>
        <w:spacing w:after="0" w:line="240" w:lineRule="auto"/>
        <w:contextualSpacing/>
        <w:jc w:val="both"/>
        <w:rPr>
          <w:color w:val="333333"/>
        </w:rPr>
      </w:pPr>
      <w:r w:rsidRPr="0003547E">
        <w:tab/>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methanol curves as shown in </w:t>
      </w:r>
      <w:r w:rsidR="0074759A">
        <w:rPr>
          <w:color w:val="FF0000"/>
        </w:rPr>
        <w:t xml:space="preserve">Fig. </w:t>
      </w:r>
      <w:r w:rsidRPr="0003547E">
        <w:rPr>
          <w:color w:val="FF0000"/>
        </w:rPr>
        <w:t>4</w:t>
      </w:r>
      <w:r w:rsidRPr="0003547E">
        <w:t xml:space="preserve"> gave a minimum and maximum range from 7.357</w:t>
      </w:r>
      <w:r w:rsidRPr="0003547E">
        <w:rPr>
          <w:vertAlign w:val="superscript"/>
        </w:rPr>
        <w:t>o</w:t>
      </w:r>
      <w:r w:rsidRPr="0003547E">
        <w:t>F at 5 wt% to 40.508</w:t>
      </w:r>
      <w:r w:rsidRPr="0003547E">
        <w:rPr>
          <w:vertAlign w:val="superscript"/>
        </w:rPr>
        <w:t>o</w:t>
      </w:r>
      <w:r w:rsidRPr="0003547E">
        <w:t xml:space="preserve">F at 20 wt%. The predicted curve is located mid-way between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rPr>
          <w:color w:val="333333"/>
        </w:rPr>
        <w:t xml:space="preserve"> curves. This is means an average estimated result with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0514</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9164</m:t>
        </m:r>
        <m:r>
          <m:rPr>
            <m:sty m:val="bi"/>
          </m:rPr>
          <w:rPr>
            <w:rFonts w:ascii="Cambria Math" w:hAnsi="Cambria Math"/>
            <w:color w:val="333333"/>
          </w:rPr>
          <m:t>C</m:t>
        </m:r>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552</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999</m:t>
        </m:r>
        <m:r>
          <m:rPr>
            <m:sty m:val="bi"/>
          </m:rPr>
          <w:rPr>
            <w:rFonts w:ascii="Cambria Math"/>
            <w:color w:val="333333"/>
          </w:rPr>
          <m:t xml:space="preserve"> </m:t>
        </m:r>
      </m:oMath>
      <w:r w:rsidRPr="0003547E">
        <w:rPr>
          <w:color w:val="333333"/>
        </w:rPr>
        <w:t xml:space="preserve">as shown in </w:t>
      </w:r>
      <w:r w:rsidR="0074759A">
        <w:rPr>
          <w:color w:val="FF0000"/>
        </w:rPr>
        <w:t>Fig. 5</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w:t>
      </w:r>
      <w:r w:rsidR="004B2B86">
        <w:rPr>
          <w:color w:val="333333"/>
        </w:rPr>
        <w:t xml:space="preserve"> </w:t>
      </w: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ethanol curves as shown in </w:t>
      </w:r>
      <w:r w:rsidR="0074759A">
        <w:rPr>
          <w:color w:val="FF0000"/>
        </w:rPr>
        <w:t>Fig. 6</w:t>
      </w:r>
      <w:r w:rsidRPr="0003547E">
        <w:t xml:space="preserve"> gave a minimum and maximum range from 6.629</w:t>
      </w:r>
      <w:r w:rsidRPr="0003547E">
        <w:rPr>
          <w:vertAlign w:val="superscript"/>
        </w:rPr>
        <w:t>o</w:t>
      </w:r>
      <w:r w:rsidRPr="0003547E">
        <w:t>F at 5 wt% to 32.59</w:t>
      </w:r>
      <w:r w:rsidRPr="0003547E">
        <w:rPr>
          <w:vertAlign w:val="superscript"/>
        </w:rPr>
        <w:t>o</w:t>
      </w:r>
      <w:r w:rsidRPr="0003547E">
        <w:t xml:space="preserve">F at 20 wt%. The predicted curve is located very close to the </w:t>
      </w:r>
      <w:r w:rsidRPr="0003547E">
        <w:rPr>
          <w:color w:val="FF0000"/>
        </w:rPr>
        <w:t>Nielsen-Bucklin</w:t>
      </w:r>
      <w:r w:rsidRPr="0003547E">
        <w:rPr>
          <w:color w:val="333333"/>
        </w:rPr>
        <w:t xml:space="preserve"> ethanol curve. This means; it is an approximated result with an actual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0249</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1058</m:t>
        </m:r>
        <m:r>
          <m:rPr>
            <m:sty m:val="bi"/>
          </m:rPr>
          <w:rPr>
            <w:rFonts w:ascii="Cambria Math" w:hAnsi="Cambria Math"/>
            <w:color w:val="333333"/>
          </w:rPr>
          <m:t>C</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4949</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 xml:space="preserve"> </m:t>
        </m:r>
      </m:oMath>
      <w:r w:rsidRPr="0003547E">
        <w:rPr>
          <w:color w:val="333333"/>
        </w:rPr>
        <w:t xml:space="preserve">as shown in </w:t>
      </w:r>
      <w:r w:rsidR="0074759A">
        <w:rPr>
          <w:color w:val="FF0000"/>
        </w:rPr>
        <w:t>Fig. 7</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 xml:space="preserve">).  </w:t>
      </w:r>
    </w:p>
    <w:p w:rsidR="00603CD9" w:rsidRDefault="0003547E" w:rsidP="004B2B86">
      <w:pPr>
        <w:spacing w:after="0" w:line="240" w:lineRule="auto"/>
        <w:ind w:firstLine="720"/>
        <w:contextualSpacing/>
        <w:jc w:val="both"/>
        <w:rPr>
          <w:color w:val="333333"/>
        </w:rPr>
      </w:pP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w:t>
      </w:r>
      <w:proofErr w:type="spellStart"/>
      <w:r w:rsidRPr="0003547E">
        <w:t>di</w:t>
      </w:r>
      <w:proofErr w:type="spellEnd"/>
      <w:r w:rsidRPr="0003547E">
        <w:t xml:space="preserve">-ethylene glycol (DEG) curves as shown in </w:t>
      </w:r>
      <w:r w:rsidR="0074759A">
        <w:rPr>
          <w:color w:val="FF0000"/>
        </w:rPr>
        <w:t>Fig. 8</w:t>
      </w:r>
      <w:r w:rsidRPr="0003547E">
        <w:t xml:space="preserve"> gave a minimum and maximum range from 5.5085</w:t>
      </w:r>
      <w:r w:rsidRPr="0003547E">
        <w:rPr>
          <w:vertAlign w:val="superscript"/>
        </w:rPr>
        <w:t>o</w:t>
      </w:r>
      <w:r w:rsidRPr="0003547E">
        <w:t>F at 5 wt% to 69.208</w:t>
      </w:r>
      <w:r w:rsidRPr="0003547E">
        <w:rPr>
          <w:vertAlign w:val="superscript"/>
        </w:rPr>
        <w:t>o</w:t>
      </w:r>
      <w:r w:rsidRPr="0003547E">
        <w:t xml:space="preserve">F at 50 wt%. The predicted curve is located away from the </w:t>
      </w:r>
      <w:proofErr w:type="spellStart"/>
      <w:r w:rsidRPr="0003547E">
        <w:rPr>
          <w:color w:val="FF0000"/>
        </w:rPr>
        <w:t>Hammerschimdt</w:t>
      </w:r>
      <w:proofErr w:type="spellEnd"/>
      <w:r w:rsidRPr="0003547E">
        <w:rPr>
          <w:color w:val="FF0000"/>
        </w:rPr>
        <w:t xml:space="preserve"> and Nielsen-Bucklin</w:t>
      </w:r>
      <w:r w:rsidRPr="0003547E">
        <w:rPr>
          <w:color w:val="333333"/>
        </w:rPr>
        <w:t xml:space="preserve"> DEG curves. It has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6</m:t>
        </m:r>
        <m:r>
          <m:rPr>
            <m:sty m:val="bi"/>
          </m:rPr>
          <w:rPr>
            <w:rFonts w:ascii="Cambria Math" w:hAnsi="Cambria Math"/>
            <w:color w:val="333333"/>
          </w:rPr>
          <m:t>E</m:t>
        </m:r>
        <m:r>
          <m:rPr>
            <m:sty m:val="bi"/>
          </m:rPr>
          <w:rPr>
            <w:color w:val="333333"/>
          </w:rPr>
          <m:t>-</m:t>
        </m:r>
        <m:r>
          <m:rPr>
            <m:sty m:val="bi"/>
          </m:rPr>
          <w:rPr>
            <w:rFonts w:ascii="Cambria Math" w:hAnsi="Cambria Math"/>
            <w:color w:val="333333"/>
          </w:rPr>
          <m:t>05</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3</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0024</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1</m:t>
        </m:r>
        <m:r>
          <m:rPr>
            <m:sty m:val="bi"/>
          </m:rPr>
          <w:rPr>
            <w:rFonts w:ascii="Cambria Math" w:hAnsi="Cambria Math"/>
            <w:color w:val="333333"/>
          </w:rPr>
          <m:t>051</m:t>
        </m:r>
        <m:r>
          <m:rPr>
            <m:sty m:val="bi"/>
          </m:rPr>
          <w:rPr>
            <w:rFonts w:ascii="Cambria Math" w:hAnsi="Cambria Math"/>
            <w:color w:val="333333"/>
          </w:rPr>
          <m:t>C</m:t>
        </m:r>
        <m:r>
          <m:rPr>
            <m:sty m:val="bi"/>
          </m:rPr>
          <w:rPr>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0955</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 xml:space="preserve"> </m:t>
        </m:r>
      </m:oMath>
      <w:r w:rsidRPr="0003547E">
        <w:rPr>
          <w:color w:val="333333"/>
        </w:rPr>
        <w:t xml:space="preserve">as shown in </w:t>
      </w:r>
      <w:r w:rsidR="0074759A">
        <w:rPr>
          <w:color w:val="FF0000"/>
        </w:rPr>
        <w:t>Fig. 9</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 xml:space="preserve">). </w:t>
      </w:r>
      <w:r w:rsidR="004B2B86">
        <w:rPr>
          <w:color w:val="333333"/>
        </w:rPr>
        <w:t xml:space="preserve"> </w:t>
      </w:r>
    </w:p>
    <w:p w:rsidR="00603CD9" w:rsidRPr="0003547E" w:rsidRDefault="00603CD9" w:rsidP="00603CD9">
      <w:pPr>
        <w:spacing w:after="0" w:line="240" w:lineRule="auto"/>
        <w:ind w:left="1134" w:hanging="1134"/>
        <w:contextualSpacing/>
        <w:rPr>
          <w:b/>
        </w:rPr>
      </w:pPr>
      <w:r>
        <w:rPr>
          <w:b/>
        </w:rPr>
        <w:t xml:space="preserve">Table </w:t>
      </w:r>
      <w:r w:rsidRPr="0003547E">
        <w:rPr>
          <w:b/>
        </w:rPr>
        <w:t xml:space="preserve">1: Results of predicted depression temperature with inhibitor concentrations for the </w:t>
      </w:r>
      <w:proofErr w:type="spellStart"/>
      <w:r w:rsidRPr="0003547E">
        <w:rPr>
          <w:b/>
        </w:rPr>
        <w:t>Hammerschimdt</w:t>
      </w:r>
      <w:proofErr w:type="spellEnd"/>
      <w:r w:rsidRPr="0003547E">
        <w:rPr>
          <w:b/>
        </w:rPr>
        <w:t xml:space="preserve"> equation</w:t>
      </w:r>
    </w:p>
    <w:tbl>
      <w:tblPr>
        <w:tblW w:w="8309"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1041"/>
        <w:gridCol w:w="1041"/>
        <w:gridCol w:w="1041"/>
        <w:gridCol w:w="1041"/>
        <w:gridCol w:w="1041"/>
        <w:gridCol w:w="1041"/>
        <w:gridCol w:w="1371"/>
      </w:tblGrid>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b/>
                <w:bCs/>
                <w:color w:val="000000"/>
                <w:sz w:val="22"/>
                <w:szCs w:val="22"/>
              </w:rPr>
            </w:pPr>
            <w:proofErr w:type="spellStart"/>
            <w:r w:rsidRPr="0003547E">
              <w:rPr>
                <w:rFonts w:eastAsia="Times New Roman"/>
                <w:b/>
                <w:bCs/>
                <w:color w:val="000000"/>
                <w:sz w:val="22"/>
                <w:szCs w:val="22"/>
              </w:rPr>
              <w:t>Inh</w:t>
            </w:r>
            <w:proofErr w:type="spellEnd"/>
            <w:r w:rsidRPr="0003547E">
              <w:rPr>
                <w:rFonts w:eastAsia="Times New Roman"/>
                <w:b/>
                <w:bCs/>
                <w:color w:val="000000"/>
                <w:sz w:val="22"/>
                <w:szCs w:val="22"/>
              </w:rPr>
              <w:t xml:space="preserve"> </w:t>
            </w:r>
            <w:proofErr w:type="spellStart"/>
            <w:r w:rsidRPr="0003547E">
              <w:rPr>
                <w:rFonts w:eastAsia="Times New Roman"/>
                <w:b/>
                <w:bCs/>
                <w:color w:val="000000"/>
                <w:sz w:val="22"/>
                <w:szCs w:val="22"/>
              </w:rPr>
              <w:lastRenderedPageBreak/>
              <w:t>conc</w:t>
            </w:r>
            <w:proofErr w:type="spellEnd"/>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lastRenderedPageBreak/>
              <w:t>(</w:t>
            </w:r>
            <w:proofErr w:type="spellStart"/>
            <w:r w:rsidRPr="0003547E">
              <w:rPr>
                <w:rFonts w:eastAsia="Times New Roman"/>
                <w:b/>
                <w:bCs/>
                <w:color w:val="000000"/>
                <w:sz w:val="22"/>
                <w:szCs w:val="22"/>
              </w:rPr>
              <w:t>MeOH</w:t>
            </w:r>
            <w:proofErr w:type="spellEnd"/>
            <w:r w:rsidRPr="0003547E">
              <w:rPr>
                <w:rFonts w:eastAsia="Times New Roman"/>
                <w:b/>
                <w:bCs/>
                <w:color w:val="000000"/>
                <w:sz w:val="22"/>
                <w:szCs w:val="22"/>
              </w:rPr>
              <w:t xml:space="preserve">) </w:t>
            </w:r>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EtOH</w:t>
            </w:r>
            <w:proofErr w:type="spellEnd"/>
            <w:r w:rsidRPr="0003547E">
              <w:rPr>
                <w:rFonts w:eastAsia="Times New Roman"/>
                <w:b/>
                <w:bCs/>
                <w:color w:val="000000"/>
                <w:sz w:val="22"/>
                <w:szCs w:val="22"/>
              </w:rPr>
              <w:t xml:space="preserve">) </w:t>
            </w:r>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 xml:space="preserve">(DEG) </w:t>
            </w:r>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(TEG)</w:t>
            </w:r>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NaCl</w:t>
            </w:r>
            <w:proofErr w:type="spellEnd"/>
            <w:r w:rsidRPr="0003547E">
              <w:rPr>
                <w:rFonts w:eastAsia="Times New Roman"/>
                <w:b/>
                <w:bCs/>
                <w:color w:val="000000"/>
                <w:sz w:val="22"/>
                <w:szCs w:val="22"/>
              </w:rPr>
              <w:t xml:space="preserve">) </w:t>
            </w:r>
          </w:p>
        </w:tc>
        <w:tc>
          <w:tcPr>
            <w:tcW w:w="104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CaCl</w:t>
            </w:r>
            <w:proofErr w:type="spellEnd"/>
            <w:r w:rsidRPr="0003547E">
              <w:rPr>
                <w:rFonts w:eastAsia="Times New Roman"/>
                <w:b/>
                <w:bCs/>
                <w:color w:val="000000"/>
                <w:sz w:val="22"/>
                <w:szCs w:val="22"/>
              </w:rPr>
              <w:t xml:space="preserve">) </w:t>
            </w:r>
          </w:p>
        </w:tc>
        <w:tc>
          <w:tcPr>
            <w:tcW w:w="1371"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KCl</w:t>
            </w:r>
            <w:proofErr w:type="spellEnd"/>
            <w:r w:rsidRPr="0003547E">
              <w:rPr>
                <w:rFonts w:eastAsia="Times New Roman"/>
                <w:b/>
                <w:bCs/>
                <w:color w:val="000000"/>
                <w:sz w:val="22"/>
                <w:szCs w:val="22"/>
              </w:rPr>
              <w:t xml:space="preserve">) </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lastRenderedPageBreak/>
              <w:t>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3.840461</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2.671625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0.841745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0.819298</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2.100765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1.10716</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1.649593783</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8.107639</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5.640097</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1.777017</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1.72963</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4.434948</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2.337337</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3.482475764</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12.87684</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8.957801</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2.822321</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2.747059</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7.043741</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3.712242</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5.53099092</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20</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18.24219</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12.69022</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3.998288</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3.891667</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9.978632</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5.259009</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7.83557047</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40</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48.64583</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33.84058</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10.6621</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10.37778</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26.60969</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14.02402</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20.89485459</w:t>
            </w:r>
          </w:p>
        </w:tc>
      </w:tr>
      <w:tr w:rsidR="00603CD9" w:rsidRPr="0003547E" w:rsidTr="00A36683">
        <w:trPr>
          <w:trHeight w:val="300"/>
          <w:jc w:val="center"/>
        </w:trPr>
        <w:tc>
          <w:tcPr>
            <w:tcW w:w="692"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50</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72.96875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50.76087</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15.99315</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15.56667</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39.91453</w:t>
            </w:r>
          </w:p>
        </w:tc>
        <w:tc>
          <w:tcPr>
            <w:tcW w:w="104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21.03604</w:t>
            </w:r>
          </w:p>
        </w:tc>
        <w:tc>
          <w:tcPr>
            <w:tcW w:w="1371"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31.34228188</w:t>
            </w:r>
          </w:p>
        </w:tc>
      </w:tr>
    </w:tbl>
    <w:p w:rsidR="00603CD9" w:rsidRPr="0003547E" w:rsidRDefault="00603CD9" w:rsidP="00603CD9">
      <w:pPr>
        <w:spacing w:after="0" w:line="240" w:lineRule="auto"/>
        <w:contextualSpacing/>
        <w:rPr>
          <w:b/>
        </w:rPr>
      </w:pPr>
    </w:p>
    <w:p w:rsidR="00603CD9" w:rsidRPr="0003547E" w:rsidRDefault="00603CD9" w:rsidP="00603CD9">
      <w:pPr>
        <w:spacing w:after="0" w:line="240" w:lineRule="auto"/>
        <w:contextualSpacing/>
        <w:rPr>
          <w:b/>
        </w:rPr>
      </w:pPr>
    </w:p>
    <w:p w:rsidR="00603CD9" w:rsidRPr="0003547E" w:rsidRDefault="00603CD9" w:rsidP="00603CD9">
      <w:pPr>
        <w:spacing w:after="0" w:line="240" w:lineRule="auto"/>
        <w:contextualSpacing/>
        <w:jc w:val="center"/>
      </w:pPr>
      <w:r w:rsidRPr="00290CBA">
        <w:rPr>
          <w:noProof/>
        </w:rPr>
        <w:drawing>
          <wp:inline distT="0" distB="0" distL="0" distR="0">
            <wp:extent cx="5238750" cy="2038350"/>
            <wp:effectExtent l="1905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2692" t="31122" r="21294" b="21454"/>
                    <a:stretch>
                      <a:fillRect/>
                    </a:stretch>
                  </pic:blipFill>
                  <pic:spPr bwMode="auto">
                    <a:xfrm>
                      <a:off x="0" y="0"/>
                      <a:ext cx="5252625" cy="2043749"/>
                    </a:xfrm>
                    <a:prstGeom prst="rect">
                      <a:avLst/>
                    </a:prstGeom>
                    <a:noFill/>
                    <a:ln w="9525">
                      <a:noFill/>
                      <a:miter lim="800000"/>
                      <a:headEnd/>
                      <a:tailEnd/>
                    </a:ln>
                  </pic:spPr>
                </pic:pic>
              </a:graphicData>
            </a:graphic>
          </wp:inline>
        </w:drawing>
      </w:r>
    </w:p>
    <w:p w:rsidR="00603CD9" w:rsidRPr="0003547E" w:rsidRDefault="00603CD9" w:rsidP="00603CD9">
      <w:pPr>
        <w:spacing w:after="0" w:line="240" w:lineRule="auto"/>
        <w:ind w:left="1276" w:hanging="1276"/>
        <w:contextualSpacing/>
        <w:jc w:val="center"/>
      </w:pPr>
      <w:r>
        <w:rPr>
          <w:b/>
        </w:rPr>
        <w:t>Fig. 2</w:t>
      </w:r>
      <w:r w:rsidRPr="0003547E">
        <w:t xml:space="preserve">: Results of depression temperatures with inhibitors for the </w:t>
      </w:r>
      <w:proofErr w:type="spellStart"/>
      <w:r w:rsidRPr="0003547E">
        <w:t>Hammerschimdt</w:t>
      </w:r>
      <w:proofErr w:type="spellEnd"/>
      <w:r w:rsidRPr="0003547E">
        <w:t xml:space="preserve"> equation</w:t>
      </w:r>
    </w:p>
    <w:p w:rsidR="00603CD9" w:rsidRPr="0003547E" w:rsidRDefault="00603CD9" w:rsidP="00603CD9">
      <w:pPr>
        <w:spacing w:after="0" w:line="240" w:lineRule="auto"/>
        <w:ind w:left="1276" w:hanging="1276"/>
        <w:contextualSpacing/>
      </w:pPr>
    </w:p>
    <w:p w:rsidR="00603CD9" w:rsidRPr="0003547E" w:rsidRDefault="00603CD9" w:rsidP="00603CD9">
      <w:pPr>
        <w:spacing w:after="0" w:line="240" w:lineRule="auto"/>
        <w:ind w:left="1276" w:hanging="1276"/>
        <w:contextualSpacing/>
      </w:pPr>
    </w:p>
    <w:p w:rsidR="00603CD9" w:rsidRPr="0003547E" w:rsidRDefault="00603CD9" w:rsidP="00603CD9">
      <w:pPr>
        <w:spacing w:after="0" w:line="240" w:lineRule="auto"/>
        <w:ind w:left="1134" w:hanging="1134"/>
        <w:contextualSpacing/>
        <w:jc w:val="center"/>
        <w:rPr>
          <w:b/>
        </w:rPr>
      </w:pPr>
      <w:r>
        <w:rPr>
          <w:b/>
        </w:rPr>
        <w:t xml:space="preserve">Table </w:t>
      </w:r>
      <w:r w:rsidRPr="0003547E">
        <w:rPr>
          <w:b/>
        </w:rPr>
        <w:t>2: Results of predicted depression temperature with inhibitor concentrations for the Nielsen-Bucklin equation</w:t>
      </w:r>
    </w:p>
    <w:tbl>
      <w:tblPr>
        <w:tblW w:w="7680"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60"/>
        <w:gridCol w:w="1041"/>
        <w:gridCol w:w="1041"/>
        <w:gridCol w:w="1041"/>
        <w:gridCol w:w="1041"/>
        <w:gridCol w:w="1041"/>
        <w:gridCol w:w="1041"/>
        <w:gridCol w:w="1041"/>
      </w:tblGrid>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proofErr w:type="spellStart"/>
            <w:r w:rsidRPr="0003547E">
              <w:rPr>
                <w:rFonts w:eastAsia="Times New Roman"/>
                <w:b/>
                <w:bCs/>
                <w:color w:val="000000"/>
                <w:sz w:val="22"/>
                <w:szCs w:val="22"/>
              </w:rPr>
              <w:t>Inh</w:t>
            </w:r>
            <w:proofErr w:type="spellEnd"/>
            <w:r w:rsidRPr="0003547E">
              <w:rPr>
                <w:rFonts w:eastAsia="Times New Roman"/>
                <w:b/>
                <w:bCs/>
                <w:color w:val="000000"/>
                <w:sz w:val="22"/>
                <w:szCs w:val="22"/>
              </w:rPr>
              <w:t xml:space="preserve"> </w:t>
            </w:r>
            <w:proofErr w:type="spellStart"/>
            <w:r w:rsidRPr="0003547E">
              <w:rPr>
                <w:rFonts w:eastAsia="Times New Roman"/>
                <w:b/>
                <w:bCs/>
                <w:color w:val="000000"/>
                <w:sz w:val="22"/>
                <w:szCs w:val="22"/>
              </w:rPr>
              <w:t>conc</w:t>
            </w:r>
            <w:proofErr w:type="spellEnd"/>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MeOH</w:t>
            </w:r>
            <w:proofErr w:type="spellEnd"/>
            <w:r w:rsidRPr="0003547E">
              <w:rPr>
                <w:rFonts w:eastAsia="Times New Roman"/>
                <w:b/>
                <w:bCs/>
                <w:color w:val="000000"/>
                <w:sz w:val="22"/>
                <w:szCs w:val="22"/>
              </w:rPr>
              <w:t xml:space="preserve">) </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EtOH</w:t>
            </w:r>
            <w:proofErr w:type="spellEnd"/>
            <w:r w:rsidRPr="0003547E">
              <w:rPr>
                <w:rFonts w:eastAsia="Times New Roman"/>
                <w:b/>
                <w:bCs/>
                <w:color w:val="000000"/>
                <w:sz w:val="22"/>
                <w:szCs w:val="22"/>
              </w:rPr>
              <w:t xml:space="preserve">) </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 xml:space="preserve">(DEG) </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(TEG)</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NaCl</w:t>
            </w:r>
            <w:proofErr w:type="spellEnd"/>
            <w:r w:rsidRPr="0003547E">
              <w:rPr>
                <w:rFonts w:eastAsia="Times New Roman"/>
                <w:b/>
                <w:bCs/>
                <w:color w:val="000000"/>
                <w:sz w:val="22"/>
                <w:szCs w:val="22"/>
              </w:rPr>
              <w:t xml:space="preserve">) </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CaCl</w:t>
            </w:r>
            <w:proofErr w:type="spellEnd"/>
            <w:r w:rsidRPr="0003547E">
              <w:rPr>
                <w:rFonts w:eastAsia="Times New Roman"/>
                <w:b/>
                <w:bCs/>
                <w:color w:val="000000"/>
                <w:sz w:val="22"/>
                <w:szCs w:val="22"/>
              </w:rPr>
              <w:t xml:space="preserve">) </w:t>
            </w:r>
          </w:p>
        </w:tc>
        <w:tc>
          <w:tcPr>
            <w:tcW w:w="960" w:type="dxa"/>
            <w:shd w:val="clear" w:color="auto" w:fill="auto"/>
            <w:noWrap/>
            <w:vAlign w:val="bottom"/>
            <w:hideMark/>
          </w:tcPr>
          <w:p w:rsidR="00603CD9" w:rsidRPr="0003547E" w:rsidRDefault="00603CD9" w:rsidP="00A36683">
            <w:pPr>
              <w:spacing w:after="0" w:line="240" w:lineRule="auto"/>
              <w:contextualSpacing/>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KCl</w:t>
            </w:r>
            <w:proofErr w:type="spellEnd"/>
            <w:r w:rsidRPr="0003547E">
              <w:rPr>
                <w:rFonts w:eastAsia="Times New Roman"/>
                <w:b/>
                <w:bCs/>
                <w:color w:val="000000"/>
                <w:sz w:val="22"/>
                <w:szCs w:val="22"/>
              </w:rPr>
              <w:t xml:space="preserve">) </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12.23273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8.284992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2.508965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2.440912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6.432847</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3.31856</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5.002011</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26.97793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17.64882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5.108525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4.967487</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13.49733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6.797497</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10.37764</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45.54162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28.4151</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7.805469</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7.585957</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21.33114</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10.4531</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16.18724</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20</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70.61971</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41.07923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10.60738</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10.30326</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30.12253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14.30429</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22.50709</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40</w:t>
            </w:r>
          </w:p>
        </w:tc>
        <w:tc>
          <w:tcPr>
            <w:tcW w:w="960" w:type="dxa"/>
            <w:shd w:val="clear" w:color="auto" w:fill="auto"/>
            <w:noWrap/>
            <w:vAlign w:val="bottom"/>
            <w:hideMark/>
          </w:tcPr>
          <w:p w:rsidR="00603CD9" w:rsidRPr="0003547E" w:rsidRDefault="00603CD9"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146.6555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23.05206</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22.33115</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82.89043</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32.17322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55.42847</w:t>
            </w:r>
          </w:p>
        </w:tc>
      </w:tr>
      <w:tr w:rsidR="00603CD9" w:rsidRPr="0003547E" w:rsidTr="00A36683">
        <w:trPr>
          <w:trHeight w:val="300"/>
          <w:jc w:val="center"/>
        </w:trPr>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50</w:t>
            </w:r>
          </w:p>
        </w:tc>
        <w:tc>
          <w:tcPr>
            <w:tcW w:w="960" w:type="dxa"/>
            <w:shd w:val="clear" w:color="auto" w:fill="auto"/>
            <w:noWrap/>
            <w:vAlign w:val="bottom"/>
            <w:hideMark/>
          </w:tcPr>
          <w:p w:rsidR="00603CD9" w:rsidRPr="0003547E" w:rsidRDefault="00603CD9"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w:t>
            </w:r>
          </w:p>
        </w:tc>
        <w:tc>
          <w:tcPr>
            <w:tcW w:w="960" w:type="dxa"/>
            <w:shd w:val="clear" w:color="auto" w:fill="auto"/>
            <w:noWrap/>
            <w:vAlign w:val="bottom"/>
            <w:hideMark/>
          </w:tcPr>
          <w:p w:rsidR="00603CD9" w:rsidRPr="0003547E" w:rsidRDefault="00603CD9"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30.18661</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29.19349</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138.8852</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43.10326</w:t>
            </w:r>
          </w:p>
        </w:tc>
        <w:tc>
          <w:tcPr>
            <w:tcW w:w="960" w:type="dxa"/>
            <w:shd w:val="clear" w:color="auto" w:fill="auto"/>
            <w:noWrap/>
            <w:vAlign w:val="bottom"/>
            <w:hideMark/>
          </w:tcPr>
          <w:p w:rsidR="00603CD9" w:rsidRPr="0003547E" w:rsidRDefault="00603CD9" w:rsidP="00A36683">
            <w:pPr>
              <w:spacing w:after="0" w:line="240" w:lineRule="auto"/>
              <w:contextualSpacing/>
              <w:jc w:val="right"/>
              <w:rPr>
                <w:rFonts w:eastAsia="Times New Roman"/>
                <w:color w:val="000000"/>
                <w:sz w:val="22"/>
                <w:szCs w:val="22"/>
              </w:rPr>
            </w:pPr>
            <w:r w:rsidRPr="0003547E">
              <w:rPr>
                <w:rFonts w:eastAsia="Times New Roman"/>
                <w:color w:val="000000"/>
                <w:sz w:val="22"/>
                <w:szCs w:val="22"/>
              </w:rPr>
              <w:t>80.07307</w:t>
            </w:r>
          </w:p>
        </w:tc>
      </w:tr>
    </w:tbl>
    <w:p w:rsidR="00603CD9" w:rsidRPr="0003547E" w:rsidRDefault="00603CD9" w:rsidP="00603CD9">
      <w:pPr>
        <w:spacing w:after="0" w:line="240" w:lineRule="auto"/>
        <w:ind w:left="1134" w:hanging="1134"/>
        <w:contextualSpacing/>
        <w:rPr>
          <w:b/>
        </w:rPr>
      </w:pPr>
    </w:p>
    <w:p w:rsidR="00603CD9" w:rsidRPr="0003547E" w:rsidRDefault="00603CD9" w:rsidP="00603CD9">
      <w:pPr>
        <w:spacing w:after="0" w:line="240" w:lineRule="auto"/>
        <w:ind w:left="1134" w:hanging="1134"/>
        <w:contextualSpacing/>
        <w:rPr>
          <w:b/>
        </w:rPr>
      </w:pPr>
    </w:p>
    <w:p w:rsidR="00603CD9" w:rsidRPr="0003547E" w:rsidRDefault="00603CD9" w:rsidP="00603CD9">
      <w:pPr>
        <w:spacing w:after="0" w:line="240" w:lineRule="auto"/>
        <w:contextualSpacing/>
        <w:jc w:val="center"/>
      </w:pPr>
      <w:r w:rsidRPr="00290CBA">
        <w:rPr>
          <w:noProof/>
        </w:rPr>
        <w:drawing>
          <wp:inline distT="0" distB="0" distL="0" distR="0">
            <wp:extent cx="5219700" cy="2019300"/>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24489" t="29889" r="23096" b="19719"/>
                    <a:stretch>
                      <a:fillRect/>
                    </a:stretch>
                  </pic:blipFill>
                  <pic:spPr bwMode="auto">
                    <a:xfrm>
                      <a:off x="0" y="0"/>
                      <a:ext cx="5228777" cy="2022812"/>
                    </a:xfrm>
                    <a:prstGeom prst="rect">
                      <a:avLst/>
                    </a:prstGeom>
                    <a:noFill/>
                    <a:ln w="9525">
                      <a:noFill/>
                      <a:miter lim="800000"/>
                      <a:headEnd/>
                      <a:tailEnd/>
                    </a:ln>
                  </pic:spPr>
                </pic:pic>
              </a:graphicData>
            </a:graphic>
          </wp:inline>
        </w:drawing>
      </w:r>
    </w:p>
    <w:p w:rsidR="00603CD9" w:rsidRPr="0003547E" w:rsidRDefault="00603CD9" w:rsidP="00603CD9">
      <w:pPr>
        <w:spacing w:after="0" w:line="240" w:lineRule="auto"/>
        <w:ind w:left="1276" w:hanging="1276"/>
        <w:contextualSpacing/>
        <w:jc w:val="center"/>
      </w:pPr>
      <w:r>
        <w:rPr>
          <w:b/>
        </w:rPr>
        <w:t>Fig. 3</w:t>
      </w:r>
      <w:r w:rsidRPr="0003547E">
        <w:t>: Results of depression temperatures with inhibitors for the Nielsen-Bucklin equation</w:t>
      </w:r>
    </w:p>
    <w:p w:rsidR="00603CD9" w:rsidRDefault="00603CD9" w:rsidP="004B2B86">
      <w:pPr>
        <w:spacing w:after="0" w:line="240" w:lineRule="auto"/>
        <w:ind w:firstLine="720"/>
        <w:contextualSpacing/>
        <w:jc w:val="both"/>
        <w:rPr>
          <w:color w:val="333333"/>
        </w:rPr>
      </w:pPr>
    </w:p>
    <w:p w:rsidR="0003547E" w:rsidRPr="0003547E" w:rsidRDefault="00290CBA" w:rsidP="0074759A">
      <w:pPr>
        <w:spacing w:after="0" w:line="240" w:lineRule="auto"/>
        <w:ind w:left="1276" w:hanging="1276"/>
        <w:contextualSpacing/>
        <w:jc w:val="center"/>
      </w:pPr>
      <w:r w:rsidRPr="00290CBA">
        <w:rPr>
          <w:noProof/>
        </w:rPr>
        <w:lastRenderedPageBreak/>
        <w:drawing>
          <wp:inline distT="0" distB="0" distL="0" distR="0">
            <wp:extent cx="4722846" cy="1752600"/>
            <wp:effectExtent l="19050" t="0" r="1554"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l="22963" t="28408" r="23096" b="21200"/>
                    <a:stretch>
                      <a:fillRect/>
                    </a:stretch>
                  </pic:blipFill>
                  <pic:spPr bwMode="auto">
                    <a:xfrm>
                      <a:off x="0" y="0"/>
                      <a:ext cx="4731059" cy="1755648"/>
                    </a:xfrm>
                    <a:prstGeom prst="rect">
                      <a:avLst/>
                    </a:prstGeom>
                    <a:noFill/>
                    <a:ln w="9525">
                      <a:noFill/>
                      <a:miter lim="800000"/>
                      <a:headEnd/>
                      <a:tailEnd/>
                    </a:ln>
                  </pic:spPr>
                </pic:pic>
              </a:graphicData>
            </a:graphic>
          </wp:inline>
        </w:drawing>
      </w:r>
    </w:p>
    <w:p w:rsidR="0003547E" w:rsidRPr="0003547E" w:rsidRDefault="008331E7" w:rsidP="0074759A">
      <w:pPr>
        <w:spacing w:after="0" w:line="240" w:lineRule="auto"/>
        <w:ind w:left="1276" w:hanging="1276"/>
        <w:contextualSpacing/>
        <w:jc w:val="center"/>
      </w:pPr>
      <w:r>
        <w:rPr>
          <w:b/>
        </w:rPr>
        <w:t xml:space="preserve">Fig. </w:t>
      </w:r>
      <w:r w:rsidR="0003547E" w:rsidRPr="0003547E">
        <w:rPr>
          <w:b/>
        </w:rPr>
        <w:t>4</w:t>
      </w:r>
      <w:r w:rsidR="0003547E" w:rsidRPr="0003547E">
        <w:t>: Comparative results of predicted depression temperature with methanol curves.</w:t>
      </w:r>
    </w:p>
    <w:p w:rsidR="0003547E" w:rsidRPr="0003547E" w:rsidRDefault="0003547E" w:rsidP="0003547E">
      <w:pPr>
        <w:spacing w:after="0" w:line="240" w:lineRule="auto"/>
        <w:contextualSpacing/>
      </w:pPr>
    </w:p>
    <w:p w:rsidR="0003547E" w:rsidRPr="0003547E" w:rsidRDefault="00290CBA" w:rsidP="0074759A">
      <w:pPr>
        <w:spacing w:after="0" w:line="240" w:lineRule="auto"/>
        <w:ind w:left="1276" w:hanging="1276"/>
        <w:contextualSpacing/>
        <w:jc w:val="center"/>
      </w:pPr>
      <w:r w:rsidRPr="00290CBA">
        <w:rPr>
          <w:noProof/>
        </w:rPr>
        <w:drawing>
          <wp:inline distT="0" distB="0" distL="0" distR="0">
            <wp:extent cx="4779362" cy="2095500"/>
            <wp:effectExtent l="19050" t="0" r="218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l="23379" t="33345" r="22819" b="19232"/>
                    <a:stretch>
                      <a:fillRect/>
                    </a:stretch>
                  </pic:blipFill>
                  <pic:spPr bwMode="auto">
                    <a:xfrm>
                      <a:off x="0" y="0"/>
                      <a:ext cx="4787675" cy="2099145"/>
                    </a:xfrm>
                    <a:prstGeom prst="rect">
                      <a:avLst/>
                    </a:prstGeom>
                    <a:noFill/>
                    <a:ln w="9525">
                      <a:noFill/>
                      <a:miter lim="800000"/>
                      <a:headEnd/>
                      <a:tailEnd/>
                    </a:ln>
                  </pic:spPr>
                </pic:pic>
              </a:graphicData>
            </a:graphic>
          </wp:inline>
        </w:drawing>
      </w:r>
    </w:p>
    <w:p w:rsidR="0003547E" w:rsidRPr="0003547E" w:rsidRDefault="0074759A" w:rsidP="0074759A">
      <w:pPr>
        <w:spacing w:after="0" w:line="240" w:lineRule="auto"/>
        <w:ind w:left="1276" w:hanging="1276"/>
        <w:contextualSpacing/>
        <w:jc w:val="center"/>
      </w:pPr>
      <w:r>
        <w:rPr>
          <w:b/>
        </w:rPr>
        <w:t>Fig. 5</w:t>
      </w:r>
      <w:r w:rsidR="0003547E" w:rsidRPr="0003547E">
        <w:t>: Results of predicted depression temperatures with methanol inhibitor analysis</w:t>
      </w:r>
    </w:p>
    <w:p w:rsidR="0003547E" w:rsidRPr="0003547E" w:rsidRDefault="0003547E" w:rsidP="0074759A">
      <w:pPr>
        <w:spacing w:after="0" w:line="240" w:lineRule="auto"/>
        <w:ind w:left="1276" w:hanging="1276"/>
        <w:contextualSpacing/>
        <w:jc w:val="center"/>
      </w:pPr>
    </w:p>
    <w:p w:rsidR="0003547E" w:rsidRPr="0003547E" w:rsidRDefault="0003547E" w:rsidP="0074759A">
      <w:pPr>
        <w:spacing w:after="0" w:line="240" w:lineRule="auto"/>
        <w:ind w:left="1276" w:hanging="1276"/>
        <w:contextualSpacing/>
        <w:jc w:val="center"/>
      </w:pPr>
    </w:p>
    <w:p w:rsidR="0003547E" w:rsidRPr="0003547E" w:rsidRDefault="00290CBA" w:rsidP="0074759A">
      <w:pPr>
        <w:spacing w:after="0" w:line="240" w:lineRule="auto"/>
        <w:contextualSpacing/>
        <w:jc w:val="center"/>
      </w:pPr>
      <w:r w:rsidRPr="00290CBA">
        <w:rPr>
          <w:noProof/>
        </w:rPr>
        <w:drawing>
          <wp:inline distT="0" distB="0" distL="0" distR="0">
            <wp:extent cx="4722229" cy="1943100"/>
            <wp:effectExtent l="19050" t="0" r="2171" b="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l="23518" t="34086" r="22819" b="23676"/>
                    <a:stretch>
                      <a:fillRect/>
                    </a:stretch>
                  </pic:blipFill>
                  <pic:spPr bwMode="auto">
                    <a:xfrm>
                      <a:off x="0" y="0"/>
                      <a:ext cx="4747098" cy="1953333"/>
                    </a:xfrm>
                    <a:prstGeom prst="rect">
                      <a:avLst/>
                    </a:prstGeom>
                    <a:noFill/>
                    <a:ln w="9525">
                      <a:noFill/>
                      <a:miter lim="800000"/>
                      <a:headEnd/>
                      <a:tailEnd/>
                    </a:ln>
                  </pic:spPr>
                </pic:pic>
              </a:graphicData>
            </a:graphic>
          </wp:inline>
        </w:drawing>
      </w:r>
    </w:p>
    <w:p w:rsidR="0003547E" w:rsidRPr="0003547E" w:rsidRDefault="008331E7" w:rsidP="0074759A">
      <w:pPr>
        <w:spacing w:after="0" w:line="240" w:lineRule="auto"/>
        <w:ind w:left="1276" w:hanging="1276"/>
        <w:contextualSpacing/>
        <w:jc w:val="center"/>
      </w:pPr>
      <w:r>
        <w:rPr>
          <w:b/>
        </w:rPr>
        <w:t>Fig. 6</w:t>
      </w:r>
      <w:r w:rsidR="0003547E" w:rsidRPr="0003547E">
        <w:t>: Comparative results of predicted depression temperature with ethanol curves.</w:t>
      </w:r>
    </w:p>
    <w:p w:rsidR="0003547E" w:rsidRPr="0003547E" w:rsidRDefault="0003547E" w:rsidP="0074759A">
      <w:pPr>
        <w:spacing w:after="0" w:line="240" w:lineRule="auto"/>
        <w:ind w:left="1276" w:hanging="1276"/>
        <w:contextualSpacing/>
        <w:jc w:val="center"/>
      </w:pPr>
    </w:p>
    <w:p w:rsidR="0003547E" w:rsidRPr="0003547E" w:rsidRDefault="0003547E" w:rsidP="0074759A">
      <w:pPr>
        <w:spacing w:after="0" w:line="240" w:lineRule="auto"/>
        <w:ind w:left="1276" w:hanging="1276"/>
        <w:contextualSpacing/>
        <w:jc w:val="center"/>
      </w:pPr>
    </w:p>
    <w:p w:rsidR="0003547E" w:rsidRPr="0003547E" w:rsidRDefault="00290CBA" w:rsidP="0074759A">
      <w:pPr>
        <w:spacing w:after="0" w:line="240" w:lineRule="auto"/>
        <w:ind w:left="1276" w:hanging="1276"/>
        <w:contextualSpacing/>
        <w:jc w:val="center"/>
      </w:pPr>
      <w:r w:rsidRPr="00290CBA">
        <w:rPr>
          <w:noProof/>
        </w:rPr>
        <w:drawing>
          <wp:inline distT="0" distB="0" distL="0" distR="0">
            <wp:extent cx="4876800" cy="1924050"/>
            <wp:effectExtent l="19050" t="0" r="0" b="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23365" t="30864" r="23623" b="26914"/>
                    <a:stretch>
                      <a:fillRect/>
                    </a:stretch>
                  </pic:blipFill>
                  <pic:spPr bwMode="auto">
                    <a:xfrm>
                      <a:off x="0" y="0"/>
                      <a:ext cx="4902484" cy="1934183"/>
                    </a:xfrm>
                    <a:prstGeom prst="rect">
                      <a:avLst/>
                    </a:prstGeom>
                    <a:noFill/>
                    <a:ln w="9525">
                      <a:noFill/>
                      <a:miter lim="800000"/>
                      <a:headEnd/>
                      <a:tailEnd/>
                    </a:ln>
                  </pic:spPr>
                </pic:pic>
              </a:graphicData>
            </a:graphic>
          </wp:inline>
        </w:drawing>
      </w:r>
    </w:p>
    <w:p w:rsidR="0003547E" w:rsidRPr="0003547E" w:rsidRDefault="0003547E" w:rsidP="0074759A">
      <w:pPr>
        <w:spacing w:after="0" w:line="240" w:lineRule="auto"/>
        <w:contextualSpacing/>
        <w:jc w:val="center"/>
      </w:pPr>
      <w:r w:rsidRPr="0003547E">
        <w:rPr>
          <w:b/>
        </w:rPr>
        <w:t>Fi</w:t>
      </w:r>
      <w:r w:rsidR="008331E7">
        <w:rPr>
          <w:b/>
        </w:rPr>
        <w:t>g. 7</w:t>
      </w:r>
      <w:r w:rsidRPr="0003547E">
        <w:t>: Results of predicted depression temperatures with ethanol inhibitor analysis</w:t>
      </w:r>
    </w:p>
    <w:p w:rsidR="0003547E" w:rsidRPr="0003547E" w:rsidRDefault="0003547E" w:rsidP="0074759A">
      <w:pPr>
        <w:spacing w:after="0" w:line="240" w:lineRule="auto"/>
        <w:contextualSpacing/>
        <w:jc w:val="center"/>
      </w:pPr>
    </w:p>
    <w:p w:rsidR="0003547E" w:rsidRPr="0003547E" w:rsidRDefault="00290CBA" w:rsidP="0074759A">
      <w:pPr>
        <w:spacing w:after="0" w:line="240" w:lineRule="auto"/>
        <w:contextualSpacing/>
        <w:jc w:val="center"/>
      </w:pPr>
      <w:r w:rsidRPr="00290CBA">
        <w:rPr>
          <w:noProof/>
        </w:rPr>
        <w:drawing>
          <wp:inline distT="0" distB="0" distL="0" distR="0">
            <wp:extent cx="4648200" cy="1981200"/>
            <wp:effectExtent l="19050" t="0" r="0" b="0"/>
            <wp:docPr id="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l="24047" t="32592" r="23373" b="24198"/>
                    <a:stretch>
                      <a:fillRect/>
                    </a:stretch>
                  </pic:blipFill>
                  <pic:spPr bwMode="auto">
                    <a:xfrm>
                      <a:off x="0" y="0"/>
                      <a:ext cx="4661246" cy="1986761"/>
                    </a:xfrm>
                    <a:prstGeom prst="rect">
                      <a:avLst/>
                    </a:prstGeom>
                    <a:noFill/>
                    <a:ln w="9525">
                      <a:noFill/>
                      <a:miter lim="800000"/>
                      <a:headEnd/>
                      <a:tailEnd/>
                    </a:ln>
                  </pic:spPr>
                </pic:pic>
              </a:graphicData>
            </a:graphic>
          </wp:inline>
        </w:drawing>
      </w:r>
    </w:p>
    <w:p w:rsidR="0003547E" w:rsidRPr="0003547E" w:rsidRDefault="008331E7" w:rsidP="0074759A">
      <w:pPr>
        <w:spacing w:after="0" w:line="240" w:lineRule="auto"/>
        <w:ind w:left="1276" w:hanging="1276"/>
        <w:contextualSpacing/>
        <w:jc w:val="center"/>
      </w:pPr>
      <w:r>
        <w:rPr>
          <w:b/>
        </w:rPr>
        <w:t>Fig. 8</w:t>
      </w:r>
      <w:r w:rsidR="0003547E" w:rsidRPr="0003547E">
        <w:t xml:space="preserve">: Comparative results of predicted depression temperature with </w:t>
      </w:r>
      <w:proofErr w:type="spellStart"/>
      <w:r w:rsidR="0003547E" w:rsidRPr="0003547E">
        <w:t>diethylene</w:t>
      </w:r>
      <w:proofErr w:type="spellEnd"/>
      <w:r w:rsidR="0003547E" w:rsidRPr="0003547E">
        <w:t xml:space="preserve"> glycol curves.</w:t>
      </w:r>
    </w:p>
    <w:p w:rsidR="0003547E" w:rsidRPr="0003547E" w:rsidRDefault="0003547E" w:rsidP="0074759A">
      <w:pPr>
        <w:spacing w:after="0" w:line="240" w:lineRule="auto"/>
        <w:ind w:left="1276" w:hanging="1276"/>
        <w:contextualSpacing/>
        <w:jc w:val="center"/>
      </w:pPr>
    </w:p>
    <w:p w:rsidR="0003547E" w:rsidRPr="0003547E" w:rsidRDefault="0003547E" w:rsidP="0074759A">
      <w:pPr>
        <w:spacing w:after="0" w:line="240" w:lineRule="auto"/>
        <w:ind w:left="1276" w:hanging="1276"/>
        <w:contextualSpacing/>
        <w:jc w:val="center"/>
      </w:pPr>
    </w:p>
    <w:p w:rsidR="0003547E" w:rsidRPr="0003547E" w:rsidRDefault="00290CBA" w:rsidP="0074759A">
      <w:pPr>
        <w:spacing w:after="0" w:line="240" w:lineRule="auto"/>
        <w:ind w:left="1276" w:hanging="1276"/>
        <w:contextualSpacing/>
        <w:jc w:val="center"/>
      </w:pPr>
      <w:r w:rsidRPr="00290CBA">
        <w:rPr>
          <w:noProof/>
        </w:rPr>
        <w:drawing>
          <wp:inline distT="0" distB="0" distL="0" distR="0">
            <wp:extent cx="4888865" cy="1924050"/>
            <wp:effectExtent l="19050" t="0" r="698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l="23648" t="35556" r="22403" b="16790"/>
                    <a:stretch>
                      <a:fillRect/>
                    </a:stretch>
                  </pic:blipFill>
                  <pic:spPr bwMode="auto">
                    <a:xfrm>
                      <a:off x="0" y="0"/>
                      <a:ext cx="4888385" cy="1923861"/>
                    </a:xfrm>
                    <a:prstGeom prst="rect">
                      <a:avLst/>
                    </a:prstGeom>
                    <a:noFill/>
                    <a:ln w="9525">
                      <a:noFill/>
                      <a:miter lim="800000"/>
                      <a:headEnd/>
                      <a:tailEnd/>
                    </a:ln>
                  </pic:spPr>
                </pic:pic>
              </a:graphicData>
            </a:graphic>
          </wp:inline>
        </w:drawing>
      </w:r>
    </w:p>
    <w:p w:rsidR="0003547E" w:rsidRPr="0003547E" w:rsidRDefault="008331E7" w:rsidP="0074759A">
      <w:pPr>
        <w:spacing w:after="0" w:line="240" w:lineRule="auto"/>
        <w:ind w:left="1276" w:hanging="1276"/>
        <w:contextualSpacing/>
        <w:jc w:val="center"/>
      </w:pPr>
      <w:r>
        <w:rPr>
          <w:b/>
        </w:rPr>
        <w:t>Fig. 9</w:t>
      </w:r>
      <w:r w:rsidR="0003547E" w:rsidRPr="0003547E">
        <w:t xml:space="preserve">: Results of predicted depression temperatures with </w:t>
      </w:r>
      <w:proofErr w:type="spellStart"/>
      <w:r w:rsidR="0003547E" w:rsidRPr="0003547E">
        <w:t>diethylene</w:t>
      </w:r>
      <w:proofErr w:type="spellEnd"/>
      <w:r w:rsidR="0003547E" w:rsidRPr="0003547E">
        <w:t xml:space="preserve"> glycol inhibitor analysis</w:t>
      </w:r>
    </w:p>
    <w:p w:rsidR="0003547E" w:rsidRPr="0003547E" w:rsidRDefault="0003547E" w:rsidP="0074759A">
      <w:pPr>
        <w:spacing w:after="0" w:line="240" w:lineRule="auto"/>
        <w:contextualSpacing/>
        <w:jc w:val="center"/>
      </w:pPr>
    </w:p>
    <w:p w:rsidR="00603CD9" w:rsidRDefault="00603CD9" w:rsidP="00603CD9">
      <w:pPr>
        <w:spacing w:after="0" w:line="240" w:lineRule="auto"/>
        <w:ind w:firstLine="720"/>
        <w:contextualSpacing/>
        <w:jc w:val="both"/>
      </w:pPr>
    </w:p>
    <w:p w:rsidR="00603CD9" w:rsidRPr="004B2B86" w:rsidRDefault="00603CD9" w:rsidP="00603CD9">
      <w:pPr>
        <w:spacing w:after="0" w:line="240" w:lineRule="auto"/>
        <w:ind w:firstLine="720"/>
        <w:contextualSpacing/>
        <w:jc w:val="both"/>
        <w:rPr>
          <w:color w:val="333333"/>
        </w:rPr>
      </w:pP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tri-ethylene glycol (TEG) curves as shown in </w:t>
      </w:r>
      <w:r>
        <w:rPr>
          <w:color w:val="FF0000"/>
        </w:rPr>
        <w:t>Fig. 10</w:t>
      </w:r>
      <w:r w:rsidRPr="0003547E">
        <w:t xml:space="preserve"> gave a minimum and maximum range from 5.4949</w:t>
      </w:r>
      <w:r w:rsidRPr="0003547E">
        <w:rPr>
          <w:vertAlign w:val="superscript"/>
        </w:rPr>
        <w:t>o</w:t>
      </w:r>
      <w:r w:rsidRPr="0003547E">
        <w:t>F at 5 wt% to 68.603</w:t>
      </w:r>
      <w:r w:rsidRPr="0003547E">
        <w:rPr>
          <w:vertAlign w:val="superscript"/>
        </w:rPr>
        <w:t>o</w:t>
      </w:r>
      <w:r>
        <w:t xml:space="preserve">F at 50 wt%. </w:t>
      </w:r>
      <w:r w:rsidRPr="0003547E">
        <w:t xml:space="preserve">The predicted curve is also located away from the </w:t>
      </w:r>
      <w:proofErr w:type="spellStart"/>
      <w:r w:rsidRPr="0003547E">
        <w:rPr>
          <w:color w:val="FF0000"/>
        </w:rPr>
        <w:t>Hammerschimdt</w:t>
      </w:r>
      <w:proofErr w:type="spellEnd"/>
      <w:r w:rsidRPr="0003547E">
        <w:rPr>
          <w:color w:val="FF0000"/>
        </w:rPr>
        <w:t xml:space="preserve"> and Nielsen-Bucklin</w:t>
      </w:r>
      <w:r w:rsidRPr="0003547E">
        <w:rPr>
          <w:color w:val="333333"/>
        </w:rPr>
        <w:t xml:space="preserve"> TEG curves. It has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0072</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9987</m:t>
        </m:r>
        <m:r>
          <m:rPr>
            <m:sty m:val="bi"/>
          </m:rPr>
          <w:rPr>
            <w:rFonts w:ascii="Cambria Math" w:hAnsi="Cambria Math"/>
            <w:color w:val="333333"/>
          </w:rPr>
          <m:t>C</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4555</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 xml:space="preserve"> </m:t>
        </m:r>
      </m:oMath>
      <w:r w:rsidRPr="0003547E">
        <w:rPr>
          <w:color w:val="333333"/>
        </w:rPr>
        <w:t xml:space="preserve">as shown in </w:t>
      </w:r>
      <w:r>
        <w:rPr>
          <w:color w:val="FF0000"/>
        </w:rPr>
        <w:t xml:space="preserve">Fig. </w:t>
      </w:r>
      <w:r w:rsidRPr="0003547E">
        <w:rPr>
          <w:color w:val="FF0000"/>
        </w:rPr>
        <w:t>1</w:t>
      </w:r>
      <w:r>
        <w:rPr>
          <w:color w:val="FF0000"/>
        </w:rPr>
        <w:t>1</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 xml:space="preserve">).  </w:t>
      </w:r>
    </w:p>
    <w:p w:rsidR="00603CD9" w:rsidRDefault="00603CD9" w:rsidP="00603CD9">
      <w:pPr>
        <w:spacing w:after="0" w:line="240" w:lineRule="auto"/>
        <w:ind w:firstLine="720"/>
        <w:contextualSpacing/>
        <w:jc w:val="both"/>
        <w:rPr>
          <w:color w:val="333333"/>
        </w:rPr>
      </w:pP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sodium chloride (</w:t>
      </w:r>
      <w:proofErr w:type="spellStart"/>
      <w:r w:rsidRPr="0003547E">
        <w:t>NaCl</w:t>
      </w:r>
      <w:proofErr w:type="spellEnd"/>
      <w:r w:rsidRPr="0003547E">
        <w:t xml:space="preserve">) curves as shown in </w:t>
      </w:r>
      <w:r>
        <w:rPr>
          <w:color w:val="FF0000"/>
        </w:rPr>
        <w:t xml:space="preserve">Fig. </w:t>
      </w:r>
      <w:r w:rsidRPr="0003547E">
        <w:rPr>
          <w:color w:val="FF0000"/>
        </w:rPr>
        <w:t>1</w:t>
      </w:r>
      <w:r>
        <w:rPr>
          <w:color w:val="FF0000"/>
        </w:rPr>
        <w:t>2</w:t>
      </w:r>
      <w:r w:rsidRPr="0003547E">
        <w:t xml:space="preserve"> gave a minimum and maximum range from 6.2771</w:t>
      </w:r>
      <w:r w:rsidRPr="0003547E">
        <w:rPr>
          <w:vertAlign w:val="superscript"/>
        </w:rPr>
        <w:t>o</w:t>
      </w:r>
      <w:r w:rsidRPr="0003547E">
        <w:t>F at 5 wt% to 80.653</w:t>
      </w:r>
      <w:r w:rsidRPr="0003547E">
        <w:rPr>
          <w:vertAlign w:val="superscript"/>
        </w:rPr>
        <w:t>o</w:t>
      </w:r>
      <w:r w:rsidRPr="0003547E">
        <w:t xml:space="preserve">F at 40 wt%. The predicted curve is located on same plane/path with the </w:t>
      </w:r>
      <w:r w:rsidRPr="0003547E">
        <w:rPr>
          <w:color w:val="FF0000"/>
        </w:rPr>
        <w:t>Nielsen-Bucklin</w:t>
      </w:r>
      <w:r w:rsidRPr="0003547E">
        <w:rPr>
          <w:color w:val="333333"/>
        </w:rPr>
        <w:t xml:space="preserve"> </w:t>
      </w:r>
      <w:proofErr w:type="spellStart"/>
      <w:r w:rsidRPr="0003547E">
        <w:rPr>
          <w:color w:val="333333"/>
        </w:rPr>
        <w:t>NaCl</w:t>
      </w:r>
      <w:proofErr w:type="spellEnd"/>
      <w:r w:rsidRPr="0003547E">
        <w:rPr>
          <w:color w:val="333333"/>
        </w:rPr>
        <w:t xml:space="preserve"> curves. It has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0282</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8479</m:t>
        </m:r>
        <m:r>
          <m:rPr>
            <m:sty m:val="bi"/>
          </m:rPr>
          <w:rPr>
            <w:rFonts w:ascii="Cambria Math" w:hAnsi="Cambria Math"/>
            <w:color w:val="333333"/>
          </w:rPr>
          <m:t>C</m:t>
        </m:r>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5669</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999</m:t>
        </m:r>
        <m:r>
          <m:rPr>
            <m:sty m:val="bi"/>
          </m:rPr>
          <w:rPr>
            <w:rFonts w:ascii="Cambria Math"/>
            <w:color w:val="333333"/>
          </w:rPr>
          <m:t xml:space="preserve"> </m:t>
        </m:r>
      </m:oMath>
      <w:r w:rsidRPr="0003547E">
        <w:rPr>
          <w:color w:val="333333"/>
        </w:rPr>
        <w:t xml:space="preserve">as shown in </w:t>
      </w:r>
      <w:r>
        <w:rPr>
          <w:color w:val="FF0000"/>
        </w:rPr>
        <w:t xml:space="preserve">Fig. </w:t>
      </w:r>
      <w:r w:rsidRPr="0003547E">
        <w:rPr>
          <w:color w:val="FF0000"/>
        </w:rPr>
        <w:t>1</w:t>
      </w:r>
      <w:r>
        <w:rPr>
          <w:color w:val="FF0000"/>
        </w:rPr>
        <w:t>3</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w:t>
      </w:r>
      <w:r>
        <w:rPr>
          <w:color w:val="333333"/>
        </w:rPr>
        <w:t xml:space="preserve">. </w:t>
      </w: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calcium chloride (CaCl</w:t>
      </w:r>
      <w:r w:rsidRPr="0003547E">
        <w:rPr>
          <w:vertAlign w:val="subscript"/>
        </w:rPr>
        <w:t>2</w:t>
      </w:r>
      <w:r w:rsidRPr="0003547E">
        <w:t xml:space="preserve">) curves as shown in </w:t>
      </w:r>
      <w:r>
        <w:rPr>
          <w:color w:val="FF0000"/>
        </w:rPr>
        <w:t xml:space="preserve">Fig. </w:t>
      </w:r>
      <w:r w:rsidRPr="0003547E">
        <w:rPr>
          <w:color w:val="FF0000"/>
        </w:rPr>
        <w:t>1</w:t>
      </w:r>
      <w:r>
        <w:rPr>
          <w:color w:val="FF0000"/>
        </w:rPr>
        <w:t>4</w:t>
      </w:r>
      <w:r w:rsidRPr="0003547E">
        <w:t xml:space="preserve"> gave a minimum and maximum range from 5.6697</w:t>
      </w:r>
      <w:r w:rsidRPr="0003547E">
        <w:rPr>
          <w:vertAlign w:val="superscript"/>
        </w:rPr>
        <w:t>o</w:t>
      </w:r>
      <w:r w:rsidRPr="0003547E">
        <w:t>F at 5 wt% to 76.969</w:t>
      </w:r>
      <w:r w:rsidRPr="0003547E">
        <w:rPr>
          <w:vertAlign w:val="superscript"/>
        </w:rPr>
        <w:t>o</w:t>
      </w:r>
      <w:r w:rsidRPr="0003547E">
        <w:t xml:space="preserve">F at 50 wt%. The predicted curve is located away from the </w:t>
      </w:r>
      <w:proofErr w:type="spellStart"/>
      <w:r w:rsidRPr="0003547E">
        <w:rPr>
          <w:color w:val="FF0000"/>
        </w:rPr>
        <w:t>Hammerschimdt</w:t>
      </w:r>
      <w:proofErr w:type="spellEnd"/>
      <w:r w:rsidRPr="0003547E">
        <w:rPr>
          <w:color w:val="FF0000"/>
        </w:rPr>
        <w:t xml:space="preserve"> and Nielsen-Bucklin</w:t>
      </w:r>
      <w:r w:rsidRPr="0003547E">
        <w:rPr>
          <w:color w:val="333333"/>
        </w:rPr>
        <w:t xml:space="preserve"> CaCl</w:t>
      </w:r>
      <w:r w:rsidRPr="0003547E">
        <w:rPr>
          <w:color w:val="333333"/>
          <w:vertAlign w:val="subscript"/>
        </w:rPr>
        <w:t>2</w:t>
      </w:r>
      <w:r w:rsidRPr="0003547E">
        <w:rPr>
          <w:color w:val="333333"/>
        </w:rPr>
        <w:t xml:space="preserve"> curves. It has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0111</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962</m:t>
        </m:r>
        <m:r>
          <m:rPr>
            <m:sty m:val="bi"/>
          </m:rPr>
          <w:rPr>
            <w:rFonts w:ascii="Cambria Math" w:hAnsi="Cambria Math"/>
            <w:color w:val="333333"/>
          </w:rPr>
          <m:t>C</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8299</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999</m:t>
        </m:r>
        <m:r>
          <m:rPr>
            <m:sty m:val="bi"/>
          </m:rPr>
          <w:rPr>
            <w:rFonts w:ascii="Cambria Math"/>
            <w:color w:val="333333"/>
          </w:rPr>
          <m:t xml:space="preserve"> </m:t>
        </m:r>
      </m:oMath>
      <w:r w:rsidRPr="0003547E">
        <w:rPr>
          <w:color w:val="333333"/>
        </w:rPr>
        <w:t xml:space="preserve">as shown in </w:t>
      </w:r>
      <w:r>
        <w:rPr>
          <w:color w:val="FF0000"/>
        </w:rPr>
        <w:t xml:space="preserve">Fig. </w:t>
      </w:r>
      <w:r w:rsidRPr="0003547E">
        <w:rPr>
          <w:color w:val="FF0000"/>
        </w:rPr>
        <w:t>1</w:t>
      </w:r>
      <w:r>
        <w:rPr>
          <w:color w:val="FF0000"/>
        </w:rPr>
        <w:t>5</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w:t>
      </w:r>
      <w:r>
        <w:rPr>
          <w:color w:val="333333"/>
        </w:rPr>
        <w:t xml:space="preserve"> </w:t>
      </w:r>
      <w:r w:rsidRPr="0003547E">
        <w:t xml:space="preserve">Comparative results of predicted depression temperatures with </w:t>
      </w:r>
      <w:r w:rsidRPr="0003547E">
        <w:rPr>
          <w:color w:val="333333"/>
        </w:rPr>
        <w:t xml:space="preserve">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t xml:space="preserve"> potassium chloride (</w:t>
      </w:r>
      <w:proofErr w:type="spellStart"/>
      <w:r w:rsidRPr="0003547E">
        <w:t>KCl</w:t>
      </w:r>
      <w:proofErr w:type="spellEnd"/>
      <w:r w:rsidRPr="0003547E">
        <w:t xml:space="preserve">) curves as shown in </w:t>
      </w:r>
      <w:r>
        <w:rPr>
          <w:color w:val="FF0000"/>
        </w:rPr>
        <w:t xml:space="preserve">Fig. </w:t>
      </w:r>
      <w:r w:rsidRPr="0003547E">
        <w:rPr>
          <w:color w:val="FF0000"/>
        </w:rPr>
        <w:t>1</w:t>
      </w:r>
      <w:r>
        <w:rPr>
          <w:color w:val="FF0000"/>
        </w:rPr>
        <w:t>6</w:t>
      </w:r>
      <w:r w:rsidRPr="0003547E">
        <w:t xml:space="preserve"> gave a minimum and maximum range from 6.0005</w:t>
      </w:r>
      <w:r w:rsidRPr="0003547E">
        <w:rPr>
          <w:vertAlign w:val="superscript"/>
        </w:rPr>
        <w:t>o</w:t>
      </w:r>
      <w:r w:rsidRPr="0003547E">
        <w:t>F at 5 wt% to 38.525</w:t>
      </w:r>
      <w:r w:rsidRPr="0003547E">
        <w:rPr>
          <w:vertAlign w:val="superscript"/>
        </w:rPr>
        <w:t>o</w:t>
      </w:r>
      <w:r w:rsidRPr="0003547E">
        <w:t xml:space="preserve">F at 50 wt%. The predicted curve is located slightly away from the </w:t>
      </w:r>
      <w:proofErr w:type="spellStart"/>
      <w:r w:rsidRPr="0003547E">
        <w:rPr>
          <w:color w:val="FF0000"/>
        </w:rPr>
        <w:t>Hammerschimdt</w:t>
      </w:r>
      <w:proofErr w:type="spellEnd"/>
      <w:r w:rsidRPr="0003547E">
        <w:rPr>
          <w:color w:val="FF0000"/>
        </w:rPr>
        <w:t xml:space="preserve"> </w:t>
      </w:r>
      <w:proofErr w:type="spellStart"/>
      <w:r w:rsidRPr="0003547E">
        <w:rPr>
          <w:color w:val="333333"/>
        </w:rPr>
        <w:t>KCl</w:t>
      </w:r>
      <w:proofErr w:type="spellEnd"/>
      <w:r w:rsidRPr="0003547E">
        <w:rPr>
          <w:color w:val="333333"/>
        </w:rPr>
        <w:t xml:space="preserve"> curve.</w:t>
      </w:r>
      <w:r>
        <w:rPr>
          <w:color w:val="333333"/>
        </w:rPr>
        <w:t xml:space="preserve"> </w:t>
      </w:r>
      <w:r w:rsidRPr="0003547E">
        <w:rPr>
          <w:color w:val="333333"/>
        </w:rPr>
        <w:t xml:space="preserve">It has a predicted mathematical equation of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0004</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3</m:t>
            </m:r>
          </m:sup>
        </m:sSup>
        <m:r>
          <m:rPr>
            <m:sty m:val="bi"/>
          </m:rPr>
          <w:rPr>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0054</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3558</m:t>
        </m:r>
        <m:r>
          <m:rPr>
            <m:sty m:val="bi"/>
          </m:rPr>
          <w:rPr>
            <w:rFonts w:ascii="Cambria Math" w:hAnsi="Cambria Math"/>
            <w:color w:val="333333"/>
          </w:rPr>
          <m:t>C</m:t>
        </m:r>
        <m:r>
          <m:rPr>
            <m:sty m:val="bi"/>
          </m:rPr>
          <w:rPr>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7652</m:t>
        </m:r>
        <m:r>
          <m:rPr>
            <m:sty m:val="bi"/>
          </m:rPr>
          <w:rPr>
            <w:rFonts w:ascii="Cambria Math"/>
            <w:color w:val="333333"/>
          </w:rPr>
          <m:t xml:space="preserve">; </m:t>
        </m:r>
      </m:oMath>
      <w:r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 xml:space="preserve"> </m:t>
        </m:r>
      </m:oMath>
      <w:r w:rsidRPr="0003547E">
        <w:rPr>
          <w:color w:val="333333"/>
        </w:rPr>
        <w:t xml:space="preserve">as shown in </w:t>
      </w:r>
      <w:r>
        <w:rPr>
          <w:color w:val="FF0000"/>
        </w:rPr>
        <w:t xml:space="preserve">Fig. </w:t>
      </w:r>
      <w:r w:rsidRPr="0003547E">
        <w:rPr>
          <w:color w:val="FF0000"/>
        </w:rPr>
        <w:t>1</w:t>
      </w:r>
      <w:r>
        <w:rPr>
          <w:color w:val="FF0000"/>
        </w:rPr>
        <w:t>7</w:t>
      </w:r>
      <w:r w:rsidRPr="0003547E">
        <w:rPr>
          <w:color w:val="333333"/>
        </w:rPr>
        <w:t xml:space="preserve">. Where </w:t>
      </w:r>
      <w:proofErr w:type="spellStart"/>
      <w:r w:rsidRPr="0003547E">
        <w:rPr>
          <w:color w:val="333333"/>
        </w:rPr>
        <w:t>dT</w:t>
      </w:r>
      <w:proofErr w:type="spellEnd"/>
      <w:r w:rsidRPr="0003547E">
        <w:rPr>
          <w:color w:val="333333"/>
        </w:rPr>
        <w:t xml:space="preserve"> represents the depression temperature (</w:t>
      </w:r>
      <w:proofErr w:type="spellStart"/>
      <w:r w:rsidRPr="0003547E">
        <w:rPr>
          <w:color w:val="333333"/>
          <w:vertAlign w:val="superscript"/>
        </w:rPr>
        <w:t>o</w:t>
      </w:r>
      <w:r w:rsidRPr="0003547E">
        <w:rPr>
          <w:color w:val="333333"/>
        </w:rPr>
        <w:t>F</w:t>
      </w:r>
      <w:proofErr w:type="spellEnd"/>
      <w:r w:rsidRPr="0003547E">
        <w:rPr>
          <w:color w:val="333333"/>
        </w:rPr>
        <w:t>) and C represents the inhibitor concentration (</w:t>
      </w:r>
      <w:proofErr w:type="gramStart"/>
      <w:r w:rsidRPr="0003547E">
        <w:rPr>
          <w:color w:val="333333"/>
        </w:rPr>
        <w:t>wt%</w:t>
      </w:r>
      <w:proofErr w:type="gramEnd"/>
      <w:r w:rsidRPr="0003547E">
        <w:rPr>
          <w:color w:val="333333"/>
        </w:rPr>
        <w:t xml:space="preserve">).  </w:t>
      </w:r>
    </w:p>
    <w:p w:rsidR="00603CD9" w:rsidRPr="004B2B86" w:rsidRDefault="00603CD9" w:rsidP="00603CD9">
      <w:pPr>
        <w:spacing w:after="0" w:line="240" w:lineRule="auto"/>
        <w:ind w:firstLine="720"/>
        <w:contextualSpacing/>
        <w:jc w:val="both"/>
        <w:rPr>
          <w:color w:val="333333"/>
        </w:rPr>
      </w:pPr>
    </w:p>
    <w:p w:rsidR="0003547E" w:rsidRPr="0003547E" w:rsidRDefault="0003547E" w:rsidP="0074759A">
      <w:pPr>
        <w:spacing w:after="0" w:line="240" w:lineRule="auto"/>
        <w:contextualSpacing/>
        <w:jc w:val="center"/>
      </w:pPr>
    </w:p>
    <w:p w:rsidR="0003547E" w:rsidRPr="0003547E" w:rsidRDefault="008C742C" w:rsidP="0074759A">
      <w:pPr>
        <w:spacing w:after="0" w:line="240" w:lineRule="auto"/>
        <w:contextualSpacing/>
        <w:jc w:val="center"/>
      </w:pPr>
      <w:r w:rsidRPr="008C742C">
        <w:rPr>
          <w:noProof/>
        </w:rPr>
        <w:drawing>
          <wp:inline distT="0" distB="0" distL="0" distR="0">
            <wp:extent cx="5156200" cy="1771650"/>
            <wp:effectExtent l="19050" t="0" r="6350" b="0"/>
            <wp:docPr id="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l="23795" t="36803" r="22819" b="18244"/>
                    <a:stretch>
                      <a:fillRect/>
                    </a:stretch>
                  </pic:blipFill>
                  <pic:spPr bwMode="auto">
                    <a:xfrm>
                      <a:off x="0" y="0"/>
                      <a:ext cx="5155595" cy="1771442"/>
                    </a:xfrm>
                    <a:prstGeom prst="rect">
                      <a:avLst/>
                    </a:prstGeom>
                    <a:noFill/>
                    <a:ln w="9525">
                      <a:noFill/>
                      <a:miter lim="800000"/>
                      <a:headEnd/>
                      <a:tailEnd/>
                    </a:ln>
                  </pic:spPr>
                </pic:pic>
              </a:graphicData>
            </a:graphic>
          </wp:inline>
        </w:drawing>
      </w:r>
    </w:p>
    <w:p w:rsidR="0003547E" w:rsidRPr="0003547E" w:rsidRDefault="008331E7" w:rsidP="0074759A">
      <w:pPr>
        <w:spacing w:after="0" w:line="240" w:lineRule="auto"/>
        <w:ind w:left="1276" w:hanging="1276"/>
        <w:contextualSpacing/>
        <w:jc w:val="center"/>
      </w:pPr>
      <w:r>
        <w:rPr>
          <w:b/>
        </w:rPr>
        <w:t>Fig. 10</w:t>
      </w:r>
      <w:r w:rsidR="0003547E" w:rsidRPr="0003547E">
        <w:t xml:space="preserve">: Comparative results of predicted depression temperature with </w:t>
      </w:r>
      <w:proofErr w:type="spellStart"/>
      <w:r w:rsidR="0003547E" w:rsidRPr="0003547E">
        <w:t>triethylene</w:t>
      </w:r>
      <w:proofErr w:type="spellEnd"/>
      <w:r w:rsidR="0003547E" w:rsidRPr="0003547E">
        <w:t xml:space="preserve"> glycol curves.</w:t>
      </w:r>
    </w:p>
    <w:p w:rsidR="0003547E" w:rsidRPr="0003547E" w:rsidRDefault="0003547E" w:rsidP="0074759A">
      <w:pPr>
        <w:spacing w:after="0" w:line="240" w:lineRule="auto"/>
        <w:ind w:firstLine="720"/>
        <w:contextualSpacing/>
        <w:jc w:val="center"/>
      </w:pPr>
    </w:p>
    <w:p w:rsidR="0003547E" w:rsidRPr="0003547E" w:rsidRDefault="0003547E" w:rsidP="0003547E">
      <w:pPr>
        <w:spacing w:after="0" w:line="240" w:lineRule="auto"/>
        <w:contextualSpacing/>
      </w:pPr>
    </w:p>
    <w:p w:rsidR="0003547E" w:rsidRPr="0003547E" w:rsidRDefault="008C742C" w:rsidP="0003547E">
      <w:pPr>
        <w:spacing w:after="0" w:line="240" w:lineRule="auto"/>
        <w:ind w:left="1276" w:hanging="1276"/>
        <w:contextualSpacing/>
        <w:jc w:val="center"/>
      </w:pPr>
      <w:r w:rsidRPr="008C742C">
        <w:rPr>
          <w:noProof/>
        </w:rPr>
        <w:drawing>
          <wp:inline distT="0" distB="0" distL="0" distR="0">
            <wp:extent cx="4648200" cy="198120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l="23934" t="30629" r="22542" b="27133"/>
                    <a:stretch>
                      <a:fillRect/>
                    </a:stretch>
                  </pic:blipFill>
                  <pic:spPr bwMode="auto">
                    <a:xfrm>
                      <a:off x="0" y="0"/>
                      <a:ext cx="4674684" cy="1992488"/>
                    </a:xfrm>
                    <a:prstGeom prst="rect">
                      <a:avLst/>
                    </a:prstGeom>
                    <a:noFill/>
                    <a:ln w="9525">
                      <a:noFill/>
                      <a:miter lim="800000"/>
                      <a:headEnd/>
                      <a:tailEnd/>
                    </a:ln>
                  </pic:spPr>
                </pic:pic>
              </a:graphicData>
            </a:graphic>
          </wp:inline>
        </w:drawing>
      </w:r>
    </w:p>
    <w:p w:rsidR="0003547E" w:rsidRPr="0003547E" w:rsidRDefault="008331E7" w:rsidP="0003547E">
      <w:pPr>
        <w:spacing w:after="0" w:line="240" w:lineRule="auto"/>
        <w:contextualSpacing/>
        <w:jc w:val="center"/>
      </w:pPr>
      <w:r>
        <w:rPr>
          <w:b/>
        </w:rPr>
        <w:t xml:space="preserve">Fig. </w:t>
      </w:r>
      <w:r w:rsidR="0003547E" w:rsidRPr="0003547E">
        <w:rPr>
          <w:b/>
        </w:rPr>
        <w:t>1</w:t>
      </w:r>
      <w:r>
        <w:rPr>
          <w:b/>
        </w:rPr>
        <w:t>1</w:t>
      </w:r>
      <w:r w:rsidR="0003547E" w:rsidRPr="0003547E">
        <w:t xml:space="preserve">: Results of predicted depression temperatures with </w:t>
      </w:r>
      <w:proofErr w:type="spellStart"/>
      <w:r w:rsidR="0003547E" w:rsidRPr="0003547E">
        <w:t>triethylene</w:t>
      </w:r>
      <w:proofErr w:type="spellEnd"/>
      <w:r w:rsidR="0003547E" w:rsidRPr="0003547E">
        <w:t xml:space="preserve"> glycol inhibitor analysis</w:t>
      </w:r>
    </w:p>
    <w:p w:rsidR="0003547E" w:rsidRPr="0003547E" w:rsidRDefault="0003547E" w:rsidP="0003547E">
      <w:pPr>
        <w:spacing w:after="0" w:line="240" w:lineRule="auto"/>
        <w:contextualSpacing/>
      </w:pPr>
    </w:p>
    <w:p w:rsidR="00521A35" w:rsidRDefault="00521A35" w:rsidP="0003547E">
      <w:pPr>
        <w:spacing w:after="0" w:line="240" w:lineRule="auto"/>
        <w:contextualSpacing/>
        <w:jc w:val="center"/>
      </w:pPr>
    </w:p>
    <w:p w:rsidR="0003547E" w:rsidRPr="0003547E" w:rsidRDefault="009C1CB6" w:rsidP="0003547E">
      <w:pPr>
        <w:spacing w:after="0" w:line="240" w:lineRule="auto"/>
        <w:contextualSpacing/>
        <w:jc w:val="center"/>
      </w:pPr>
      <w:r w:rsidRPr="009C1CB6">
        <w:rPr>
          <w:noProof/>
        </w:rPr>
        <w:drawing>
          <wp:inline distT="0" distB="0" distL="0" distR="0">
            <wp:extent cx="4876800" cy="169545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srcRect l="23795" t="32604" r="23235" b="18985"/>
                    <a:stretch>
                      <a:fillRect/>
                    </a:stretch>
                  </pic:blipFill>
                  <pic:spPr bwMode="auto">
                    <a:xfrm>
                      <a:off x="0" y="0"/>
                      <a:ext cx="4885334" cy="1698417"/>
                    </a:xfrm>
                    <a:prstGeom prst="rect">
                      <a:avLst/>
                    </a:prstGeom>
                    <a:noFill/>
                    <a:ln w="9525">
                      <a:noFill/>
                      <a:miter lim="800000"/>
                      <a:headEnd/>
                      <a:tailEnd/>
                    </a:ln>
                  </pic:spPr>
                </pic:pic>
              </a:graphicData>
            </a:graphic>
          </wp:inline>
        </w:drawing>
      </w:r>
    </w:p>
    <w:p w:rsidR="0003547E" w:rsidRPr="0003547E" w:rsidRDefault="0003547E" w:rsidP="0003547E">
      <w:pPr>
        <w:spacing w:after="0" w:line="240" w:lineRule="auto"/>
        <w:contextualSpacing/>
      </w:pPr>
    </w:p>
    <w:p w:rsidR="0003547E" w:rsidRPr="0003547E" w:rsidRDefault="008331E7" w:rsidP="0003547E">
      <w:pPr>
        <w:spacing w:after="0" w:line="240" w:lineRule="auto"/>
        <w:ind w:left="1276" w:hanging="1276"/>
        <w:contextualSpacing/>
        <w:jc w:val="center"/>
      </w:pPr>
      <w:r>
        <w:rPr>
          <w:b/>
        </w:rPr>
        <w:t xml:space="preserve">Fig. </w:t>
      </w:r>
      <w:r w:rsidR="0003547E" w:rsidRPr="0003547E">
        <w:rPr>
          <w:b/>
        </w:rPr>
        <w:t>1</w:t>
      </w:r>
      <w:r>
        <w:rPr>
          <w:b/>
        </w:rPr>
        <w:t>2</w:t>
      </w:r>
      <w:r w:rsidR="0003547E" w:rsidRPr="0003547E">
        <w:t>: Comparative results of predicted depression temperature with sodium chloride curves.</w:t>
      </w:r>
    </w:p>
    <w:p w:rsidR="0003547E" w:rsidRPr="0003547E" w:rsidRDefault="0003547E" w:rsidP="0003547E">
      <w:pPr>
        <w:spacing w:after="0" w:line="240" w:lineRule="auto"/>
        <w:ind w:left="1276" w:hanging="1276"/>
        <w:contextualSpacing/>
      </w:pPr>
    </w:p>
    <w:p w:rsidR="0003547E" w:rsidRPr="0003547E" w:rsidRDefault="00270C0C" w:rsidP="0003547E">
      <w:pPr>
        <w:spacing w:after="0" w:line="240" w:lineRule="auto"/>
        <w:ind w:left="1276" w:hanging="1276"/>
        <w:contextualSpacing/>
        <w:jc w:val="center"/>
      </w:pPr>
      <w:r w:rsidRPr="00270C0C">
        <w:rPr>
          <w:noProof/>
        </w:rPr>
        <w:drawing>
          <wp:inline distT="0" distB="0" distL="0" distR="0">
            <wp:extent cx="4453233" cy="1809750"/>
            <wp:effectExtent l="19050" t="0" r="4467"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cstate="print"/>
                    <a:srcRect l="23375" t="34321" r="22971" b="19259"/>
                    <a:stretch>
                      <a:fillRect/>
                    </a:stretch>
                  </pic:blipFill>
                  <pic:spPr bwMode="auto">
                    <a:xfrm>
                      <a:off x="0" y="0"/>
                      <a:ext cx="4480041" cy="1820645"/>
                    </a:xfrm>
                    <a:prstGeom prst="rect">
                      <a:avLst/>
                    </a:prstGeom>
                    <a:noFill/>
                    <a:ln w="9525">
                      <a:noFill/>
                      <a:miter lim="800000"/>
                      <a:headEnd/>
                      <a:tailEnd/>
                    </a:ln>
                  </pic:spPr>
                </pic:pic>
              </a:graphicData>
            </a:graphic>
          </wp:inline>
        </w:drawing>
      </w:r>
    </w:p>
    <w:p w:rsidR="0003547E" w:rsidRPr="0003547E" w:rsidRDefault="008331E7" w:rsidP="009C1CB6">
      <w:pPr>
        <w:spacing w:after="0" w:line="240" w:lineRule="auto"/>
        <w:ind w:left="1418" w:hanging="1418"/>
        <w:contextualSpacing/>
        <w:jc w:val="center"/>
      </w:pPr>
      <w:r>
        <w:rPr>
          <w:b/>
        </w:rPr>
        <w:t xml:space="preserve">Fig. </w:t>
      </w:r>
      <w:r w:rsidR="0003547E" w:rsidRPr="0003547E">
        <w:rPr>
          <w:b/>
        </w:rPr>
        <w:t>1</w:t>
      </w:r>
      <w:r>
        <w:rPr>
          <w:b/>
        </w:rPr>
        <w:t>3</w:t>
      </w:r>
      <w:r w:rsidR="0003547E" w:rsidRPr="0003547E">
        <w:t>: Results of predicted depression temperatures with sodium chloride inhibitor analysis</w:t>
      </w:r>
    </w:p>
    <w:p w:rsidR="0003547E" w:rsidRDefault="0003547E" w:rsidP="0003547E">
      <w:pPr>
        <w:spacing w:after="0" w:line="240" w:lineRule="auto"/>
        <w:ind w:left="1418" w:hanging="1418"/>
        <w:contextualSpacing/>
      </w:pPr>
    </w:p>
    <w:p w:rsidR="0003547E" w:rsidRPr="0003547E" w:rsidRDefault="00270C0C" w:rsidP="0003547E">
      <w:pPr>
        <w:spacing w:after="0" w:line="240" w:lineRule="auto"/>
        <w:contextualSpacing/>
        <w:jc w:val="center"/>
      </w:pPr>
      <w:r w:rsidRPr="00270C0C">
        <w:rPr>
          <w:noProof/>
        </w:rPr>
        <w:lastRenderedPageBreak/>
        <w:drawing>
          <wp:inline distT="0" distB="0" distL="0" distR="0">
            <wp:extent cx="4876799" cy="1943100"/>
            <wp:effectExtent l="19050" t="0" r="1"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srcRect l="23525" t="34333" r="22957" b="20960"/>
                    <a:stretch>
                      <a:fillRect/>
                    </a:stretch>
                  </pic:blipFill>
                  <pic:spPr bwMode="auto">
                    <a:xfrm>
                      <a:off x="0" y="0"/>
                      <a:ext cx="4876229" cy="1942873"/>
                    </a:xfrm>
                    <a:prstGeom prst="rect">
                      <a:avLst/>
                    </a:prstGeom>
                    <a:noFill/>
                    <a:ln w="9525">
                      <a:noFill/>
                      <a:miter lim="800000"/>
                      <a:headEnd/>
                      <a:tailEnd/>
                    </a:ln>
                  </pic:spPr>
                </pic:pic>
              </a:graphicData>
            </a:graphic>
          </wp:inline>
        </w:drawing>
      </w:r>
    </w:p>
    <w:p w:rsidR="0003547E" w:rsidRPr="0003547E" w:rsidRDefault="008331E7" w:rsidP="0003547E">
      <w:pPr>
        <w:spacing w:after="0" w:line="240" w:lineRule="auto"/>
        <w:ind w:left="1276" w:hanging="1276"/>
        <w:contextualSpacing/>
        <w:jc w:val="center"/>
      </w:pPr>
      <w:r>
        <w:rPr>
          <w:b/>
        </w:rPr>
        <w:t xml:space="preserve">Fig. </w:t>
      </w:r>
      <w:r w:rsidR="0003547E" w:rsidRPr="0003547E">
        <w:rPr>
          <w:b/>
        </w:rPr>
        <w:t>1</w:t>
      </w:r>
      <w:r>
        <w:rPr>
          <w:b/>
        </w:rPr>
        <w:t>4</w:t>
      </w:r>
      <w:r w:rsidR="0003547E" w:rsidRPr="0003547E">
        <w:t>: Comparative results of predicted depression temperature with calcium chloride curves.</w:t>
      </w:r>
    </w:p>
    <w:p w:rsidR="0003547E" w:rsidRDefault="0003547E" w:rsidP="0003547E">
      <w:pPr>
        <w:spacing w:after="0" w:line="240" w:lineRule="auto"/>
        <w:ind w:left="1276" w:hanging="1276"/>
        <w:contextualSpacing/>
      </w:pPr>
    </w:p>
    <w:p w:rsidR="00521A35" w:rsidRPr="0003547E" w:rsidRDefault="00521A35" w:rsidP="0003547E">
      <w:pPr>
        <w:spacing w:after="0" w:line="240" w:lineRule="auto"/>
        <w:ind w:left="1276" w:hanging="1276"/>
        <w:contextualSpacing/>
      </w:pPr>
    </w:p>
    <w:p w:rsidR="0003547E" w:rsidRPr="0003547E" w:rsidRDefault="00270C0C" w:rsidP="0003547E">
      <w:pPr>
        <w:spacing w:after="0" w:line="240" w:lineRule="auto"/>
        <w:ind w:left="1276" w:hanging="1276"/>
        <w:contextualSpacing/>
        <w:jc w:val="center"/>
      </w:pPr>
      <w:r w:rsidRPr="00270C0C">
        <w:rPr>
          <w:noProof/>
        </w:rPr>
        <w:drawing>
          <wp:inline distT="0" distB="0" distL="0" distR="0">
            <wp:extent cx="4571365" cy="1981200"/>
            <wp:effectExtent l="1905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srcRect l="23823" t="33117" r="23651" b="23138"/>
                    <a:stretch>
                      <a:fillRect/>
                    </a:stretch>
                  </pic:blipFill>
                  <pic:spPr bwMode="auto">
                    <a:xfrm>
                      <a:off x="0" y="0"/>
                      <a:ext cx="4571155" cy="1981109"/>
                    </a:xfrm>
                    <a:prstGeom prst="rect">
                      <a:avLst/>
                    </a:prstGeom>
                    <a:noFill/>
                    <a:ln w="9525">
                      <a:noFill/>
                      <a:miter lim="800000"/>
                      <a:headEnd/>
                      <a:tailEnd/>
                    </a:ln>
                  </pic:spPr>
                </pic:pic>
              </a:graphicData>
            </a:graphic>
          </wp:inline>
        </w:drawing>
      </w:r>
    </w:p>
    <w:p w:rsidR="0003547E" w:rsidRPr="0003547E" w:rsidRDefault="008331E7" w:rsidP="0003547E">
      <w:pPr>
        <w:spacing w:after="0" w:line="240" w:lineRule="auto"/>
        <w:ind w:left="1418" w:hanging="1418"/>
        <w:contextualSpacing/>
        <w:jc w:val="center"/>
      </w:pPr>
      <w:r>
        <w:rPr>
          <w:b/>
        </w:rPr>
        <w:t xml:space="preserve">Fig. </w:t>
      </w:r>
      <w:r w:rsidR="0003547E" w:rsidRPr="0003547E">
        <w:rPr>
          <w:b/>
        </w:rPr>
        <w:t>1</w:t>
      </w:r>
      <w:r>
        <w:rPr>
          <w:b/>
        </w:rPr>
        <w:t>5</w:t>
      </w:r>
      <w:r w:rsidR="0003547E" w:rsidRPr="0003547E">
        <w:t>: Results of predicted depression temperatures with calcium chloride inhibitor analysis</w:t>
      </w:r>
    </w:p>
    <w:p w:rsidR="0003547E" w:rsidRPr="0003547E" w:rsidRDefault="0003547E" w:rsidP="0003547E">
      <w:pPr>
        <w:spacing w:after="0" w:line="240" w:lineRule="auto"/>
        <w:contextualSpacing/>
      </w:pPr>
    </w:p>
    <w:p w:rsidR="0003547E" w:rsidRPr="0003547E" w:rsidRDefault="000E18B5" w:rsidP="0003547E">
      <w:pPr>
        <w:spacing w:after="0" w:line="240" w:lineRule="auto"/>
        <w:contextualSpacing/>
        <w:jc w:val="center"/>
      </w:pPr>
      <w:r w:rsidRPr="000E18B5">
        <w:rPr>
          <w:noProof/>
        </w:rPr>
        <w:drawing>
          <wp:inline distT="0" distB="0" distL="0" distR="0">
            <wp:extent cx="4648200" cy="18669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srcRect l="23781" t="30370" r="22601" b="27161"/>
                    <a:stretch>
                      <a:fillRect/>
                    </a:stretch>
                  </pic:blipFill>
                  <pic:spPr bwMode="auto">
                    <a:xfrm>
                      <a:off x="0" y="0"/>
                      <a:ext cx="4658744" cy="1871135"/>
                    </a:xfrm>
                    <a:prstGeom prst="rect">
                      <a:avLst/>
                    </a:prstGeom>
                    <a:noFill/>
                    <a:ln w="9525">
                      <a:noFill/>
                      <a:miter lim="800000"/>
                      <a:headEnd/>
                      <a:tailEnd/>
                    </a:ln>
                  </pic:spPr>
                </pic:pic>
              </a:graphicData>
            </a:graphic>
          </wp:inline>
        </w:drawing>
      </w:r>
    </w:p>
    <w:p w:rsidR="0003547E" w:rsidRPr="0003547E" w:rsidRDefault="008331E7" w:rsidP="0003547E">
      <w:pPr>
        <w:spacing w:after="0" w:line="240" w:lineRule="auto"/>
        <w:ind w:left="1276" w:hanging="1276"/>
        <w:contextualSpacing/>
        <w:jc w:val="center"/>
      </w:pPr>
      <w:r>
        <w:rPr>
          <w:b/>
        </w:rPr>
        <w:t xml:space="preserve">Fig. </w:t>
      </w:r>
      <w:r w:rsidR="0003547E" w:rsidRPr="0003547E">
        <w:rPr>
          <w:b/>
        </w:rPr>
        <w:t>1</w:t>
      </w:r>
      <w:r>
        <w:rPr>
          <w:b/>
        </w:rPr>
        <w:t>6</w:t>
      </w:r>
      <w:r w:rsidR="0003547E" w:rsidRPr="0003547E">
        <w:t>: Comparative results of predicted depression temperature with potassium chloride curves.</w:t>
      </w:r>
    </w:p>
    <w:p w:rsidR="0003547E" w:rsidRPr="0003547E" w:rsidRDefault="0003547E" w:rsidP="008331E7">
      <w:pPr>
        <w:spacing w:after="0" w:line="240" w:lineRule="auto"/>
        <w:contextualSpacing/>
        <w:jc w:val="both"/>
        <w:rPr>
          <w:color w:val="333333"/>
        </w:rPr>
      </w:pPr>
    </w:p>
    <w:p w:rsidR="0003547E" w:rsidRPr="0003547E" w:rsidRDefault="0003547E" w:rsidP="0003547E">
      <w:pPr>
        <w:spacing w:after="0" w:line="240" w:lineRule="auto"/>
        <w:contextualSpacing/>
        <w:jc w:val="both"/>
      </w:pPr>
    </w:p>
    <w:p w:rsidR="0003547E" w:rsidRPr="0003547E" w:rsidRDefault="000E18B5" w:rsidP="0003547E">
      <w:pPr>
        <w:spacing w:after="0" w:line="240" w:lineRule="auto"/>
        <w:ind w:left="1276" w:hanging="1276"/>
        <w:contextualSpacing/>
        <w:jc w:val="center"/>
      </w:pPr>
      <w:r w:rsidRPr="000E18B5">
        <w:rPr>
          <w:noProof/>
        </w:rPr>
        <w:drawing>
          <wp:inline distT="0" distB="0" distL="0" distR="0">
            <wp:extent cx="4568958" cy="1962150"/>
            <wp:effectExtent l="19050" t="0" r="3042"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cstate="print"/>
                    <a:srcRect l="24080" t="36308" r="22957" b="15034"/>
                    <a:stretch>
                      <a:fillRect/>
                    </a:stretch>
                  </pic:blipFill>
                  <pic:spPr bwMode="auto">
                    <a:xfrm>
                      <a:off x="0" y="0"/>
                      <a:ext cx="4581555" cy="1967560"/>
                    </a:xfrm>
                    <a:prstGeom prst="rect">
                      <a:avLst/>
                    </a:prstGeom>
                    <a:noFill/>
                    <a:ln w="9525">
                      <a:noFill/>
                      <a:miter lim="800000"/>
                      <a:headEnd/>
                      <a:tailEnd/>
                    </a:ln>
                  </pic:spPr>
                </pic:pic>
              </a:graphicData>
            </a:graphic>
          </wp:inline>
        </w:drawing>
      </w:r>
    </w:p>
    <w:p w:rsidR="0003547E" w:rsidRPr="0003547E" w:rsidRDefault="008331E7" w:rsidP="000E18B5">
      <w:pPr>
        <w:spacing w:after="0" w:line="240" w:lineRule="auto"/>
        <w:ind w:left="1418" w:hanging="1418"/>
        <w:contextualSpacing/>
        <w:jc w:val="center"/>
      </w:pPr>
      <w:r>
        <w:rPr>
          <w:b/>
        </w:rPr>
        <w:t xml:space="preserve">Fig. </w:t>
      </w:r>
      <w:r w:rsidR="0003547E" w:rsidRPr="0003547E">
        <w:rPr>
          <w:b/>
        </w:rPr>
        <w:t>1</w:t>
      </w:r>
      <w:r>
        <w:rPr>
          <w:b/>
        </w:rPr>
        <w:t>7</w:t>
      </w:r>
      <w:r w:rsidR="0003547E" w:rsidRPr="0003547E">
        <w:t>: Results of predicted depression temperatures with potassium chloride inhibitor analysis</w:t>
      </w:r>
    </w:p>
    <w:p w:rsidR="00603CD9" w:rsidRPr="0003547E" w:rsidRDefault="00603CD9" w:rsidP="00603CD9">
      <w:pPr>
        <w:spacing w:after="0" w:line="240" w:lineRule="auto"/>
        <w:ind w:left="630" w:hanging="630"/>
        <w:contextualSpacing/>
        <w:jc w:val="both"/>
        <w:rPr>
          <w:b/>
          <w:bCs/>
        </w:rPr>
      </w:pPr>
      <w:r w:rsidRPr="0003547E">
        <w:rPr>
          <w:b/>
          <w:bCs/>
        </w:rPr>
        <w:lastRenderedPageBreak/>
        <w:t>4.2 Comparative sensitivity analysis results of all predicted equations</w:t>
      </w:r>
    </w:p>
    <w:p w:rsidR="004B2B86" w:rsidRDefault="00603CD9" w:rsidP="004B2B86">
      <w:pPr>
        <w:spacing w:after="0" w:line="240" w:lineRule="auto"/>
        <w:contextualSpacing/>
        <w:jc w:val="both"/>
        <w:rPr>
          <w:color w:val="333333"/>
        </w:rPr>
      </w:pPr>
      <w:r w:rsidRPr="0003547E">
        <w:tab/>
        <w:t xml:space="preserve">The comparative sensitivity results of predicted depression temperature with inhibitor concentrations from the earlier predicted equations as shown in </w:t>
      </w:r>
      <w:r>
        <w:rPr>
          <w:color w:val="FF0000"/>
        </w:rPr>
        <w:t xml:space="preserve">Table </w:t>
      </w:r>
      <w:r w:rsidRPr="0003547E">
        <w:rPr>
          <w:color w:val="FF0000"/>
        </w:rPr>
        <w:t>3</w:t>
      </w:r>
      <w:r w:rsidRPr="0003547E">
        <w:t xml:space="preserve"> gave a minimum and maximum range from 5.49488</w:t>
      </w:r>
      <w:r w:rsidRPr="0003547E">
        <w:rPr>
          <w:vertAlign w:val="superscript"/>
        </w:rPr>
        <w:t>o</w:t>
      </w:r>
      <w:r w:rsidRPr="0003547E">
        <w:t>F at 5 wt% for TEG-new to 98.52453</w:t>
      </w:r>
      <w:r w:rsidRPr="0003547E">
        <w:rPr>
          <w:vertAlign w:val="superscript"/>
        </w:rPr>
        <w:t>o</w:t>
      </w:r>
      <w:r w:rsidRPr="0003547E">
        <w:t>F at 50 wt% for KCL-new. The predicted comparative model range is from 6.133804</w:t>
      </w:r>
      <w:r w:rsidRPr="0003547E">
        <w:rPr>
          <w:vertAlign w:val="superscript"/>
        </w:rPr>
        <w:t>o</w:t>
      </w:r>
      <w:r w:rsidRPr="0003547E">
        <w:t>F at 5 wt% to 78.3262</w:t>
      </w:r>
      <w:r w:rsidRPr="0003547E">
        <w:rPr>
          <w:vertAlign w:val="superscript"/>
        </w:rPr>
        <w:t>o</w:t>
      </w:r>
      <w:r w:rsidRPr="0003547E">
        <w:t>F at 50 wt%.</w:t>
      </w:r>
      <w:r>
        <w:t xml:space="preserve"> </w:t>
      </w:r>
      <w:r w:rsidRPr="0003547E">
        <w:t xml:space="preserve">Comparative results of all predicted depression temperature with inhibitor concentrations as shown in </w:t>
      </w:r>
      <w:r>
        <w:rPr>
          <w:color w:val="FF0000"/>
        </w:rPr>
        <w:t xml:space="preserve">Fig. </w:t>
      </w:r>
      <w:r w:rsidRPr="0003547E">
        <w:rPr>
          <w:color w:val="FF0000"/>
        </w:rPr>
        <w:t>1</w:t>
      </w:r>
      <w:r>
        <w:rPr>
          <w:color w:val="FF0000"/>
        </w:rPr>
        <w:t>8</w:t>
      </w:r>
      <w:r w:rsidRPr="0003547E">
        <w:t xml:space="preserve"> shows that methanol performed better from 5 wt% to 40 wt%. </w:t>
      </w:r>
      <w:r w:rsidR="00521A35">
        <w:t xml:space="preserve"> </w:t>
      </w:r>
      <w:r w:rsidR="004B2B86" w:rsidRPr="0003547E">
        <w:t xml:space="preserve">Results of comprehensive predicted depression temperature for all inhibitor concentration analysis gave an equation given as </w:t>
      </w:r>
      <m:oMath>
        <m:r>
          <m:rPr>
            <m:sty m:val="bi"/>
          </m:rPr>
          <w:rPr>
            <w:rFonts w:ascii="Cambria Math" w:hAnsi="Cambria Math"/>
            <w:color w:val="333333"/>
          </w:rPr>
          <m:t>dT</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m:t>
        </m:r>
        <m:r>
          <m:rPr>
            <m:sty m:val="bi"/>
          </m:rPr>
          <w:rPr>
            <w:rFonts w:ascii="Cambria Math" w:hAnsi="Cambria Math"/>
            <w:color w:val="333333"/>
          </w:rPr>
          <m:t>0031</m:t>
        </m:r>
        <m:sSup>
          <m:sSupPr>
            <m:ctrlPr>
              <w:rPr>
                <w:rFonts w:ascii="Cambria Math" w:hAnsi="Cambria Math"/>
                <w:b/>
                <w:i/>
                <w:color w:val="333333"/>
              </w:rPr>
            </m:ctrlPr>
          </m:sSupPr>
          <m:e>
            <m:r>
              <m:rPr>
                <m:sty m:val="bi"/>
              </m:rPr>
              <w:rPr>
                <w:rFonts w:ascii="Cambria Math" w:hAnsi="Cambria Math"/>
                <w:color w:val="333333"/>
              </w:rPr>
              <m:t>C</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4503</m:t>
        </m:r>
        <m:r>
          <m:rPr>
            <m:sty m:val="bi"/>
          </m:rPr>
          <w:rPr>
            <w:rFonts w:ascii="Cambria Math" w:hAnsi="Cambria Math"/>
            <w:color w:val="333333"/>
          </w:rPr>
          <m:t>C</m:t>
        </m:r>
        <m:r>
          <m:rPr>
            <m:sty m:val="bi"/>
          </m:rPr>
          <w:rPr>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6504</m:t>
        </m:r>
        <m:r>
          <m:rPr>
            <m:sty m:val="bi"/>
          </m:rPr>
          <w:rPr>
            <w:rFonts w:ascii="Cambria Math"/>
            <w:color w:val="333333"/>
          </w:rPr>
          <m:t xml:space="preserve">;  </m:t>
        </m:r>
      </m:oMath>
      <w:r w:rsidR="004B2B86" w:rsidRPr="0003547E">
        <w:rPr>
          <w:color w:val="333333"/>
        </w:rPr>
        <w:t xml:space="preserve">with square regression of </w:t>
      </w:r>
      <m:oMath>
        <m:sSup>
          <m:sSupPr>
            <m:ctrlPr>
              <w:rPr>
                <w:rFonts w:ascii="Cambria Math" w:hAnsi="Cambria Math"/>
                <w:b/>
                <w:i/>
                <w:color w:val="333333"/>
              </w:rPr>
            </m:ctrlPr>
          </m:sSupPr>
          <m:e>
            <m:r>
              <m:rPr>
                <m:sty m:val="bi"/>
              </m:rPr>
              <w:rPr>
                <w:rFonts w:ascii="Cambria Math" w:hAnsi="Cambria Math"/>
                <w:color w:val="333333"/>
              </w:rPr>
              <m:t>R</m:t>
            </m:r>
          </m:e>
          <m:sup>
            <m:r>
              <m:rPr>
                <m:sty m:val="bi"/>
              </m:rPr>
              <w:rPr>
                <w:rFonts w:ascii="Cambria Math" w:hAnsi="Cambria Math"/>
                <w:color w:val="333333"/>
              </w:rPr>
              <m:t>2</m:t>
            </m:r>
          </m:sup>
        </m:sSup>
        <m:r>
          <m:rPr>
            <m:sty m:val="bi"/>
          </m:rPr>
          <w:rPr>
            <w:rFonts w:ascii="Cambria Math"/>
            <w:color w:val="333333"/>
          </w:rPr>
          <m:t>=</m:t>
        </m:r>
        <m:r>
          <m:rPr>
            <m:sty m:val="bi"/>
          </m:rPr>
          <w:rPr>
            <w:rFonts w:ascii="Cambria Math" w:hAnsi="Cambria Math"/>
            <w:color w:val="333333"/>
          </w:rPr>
          <m:t>1</m:t>
        </m:r>
        <m:r>
          <m:rPr>
            <m:sty m:val="bi"/>
          </m:rPr>
          <w:rPr>
            <w:rFonts w:ascii="Cambria Math"/>
            <w:color w:val="333333"/>
          </w:rPr>
          <m:t>.</m:t>
        </m:r>
        <m:r>
          <m:rPr>
            <m:sty m:val="bi"/>
          </m:rPr>
          <w:rPr>
            <w:rFonts w:ascii="Cambria Math" w:hAnsi="Cambria Math"/>
            <w:color w:val="333333"/>
          </w:rPr>
          <m:t>0</m:t>
        </m:r>
        <m:r>
          <m:rPr>
            <m:sty m:val="bi"/>
          </m:rPr>
          <w:rPr>
            <w:rFonts w:ascii="Cambria Math"/>
            <w:color w:val="333333"/>
          </w:rPr>
          <m:t xml:space="preserve"> </m:t>
        </m:r>
      </m:oMath>
      <w:r w:rsidR="004B2B86" w:rsidRPr="0003547E">
        <w:rPr>
          <w:color w:val="333333"/>
        </w:rPr>
        <w:t xml:space="preserve">as shown in </w:t>
      </w:r>
      <w:r w:rsidR="004B2B86">
        <w:rPr>
          <w:color w:val="FF0000"/>
        </w:rPr>
        <w:t xml:space="preserve">Fig. </w:t>
      </w:r>
      <w:r w:rsidR="004B2B86" w:rsidRPr="0003547E">
        <w:rPr>
          <w:color w:val="FF0000"/>
        </w:rPr>
        <w:t>1</w:t>
      </w:r>
      <w:r w:rsidR="004B2B86">
        <w:rPr>
          <w:color w:val="FF0000"/>
        </w:rPr>
        <w:t>9</w:t>
      </w:r>
      <w:r w:rsidR="004B2B86" w:rsidRPr="0003547E">
        <w:rPr>
          <w:color w:val="333333"/>
        </w:rPr>
        <w:t xml:space="preserve">. Where </w:t>
      </w:r>
      <w:proofErr w:type="spellStart"/>
      <w:r w:rsidR="004B2B86" w:rsidRPr="0003547E">
        <w:rPr>
          <w:color w:val="333333"/>
        </w:rPr>
        <w:t>dT</w:t>
      </w:r>
      <w:proofErr w:type="spellEnd"/>
      <w:r w:rsidR="004B2B86" w:rsidRPr="0003547E">
        <w:rPr>
          <w:color w:val="333333"/>
        </w:rPr>
        <w:t xml:space="preserve"> represents the depression temperature (</w:t>
      </w:r>
      <w:proofErr w:type="spellStart"/>
      <w:r w:rsidR="004B2B86" w:rsidRPr="0003547E">
        <w:rPr>
          <w:color w:val="333333"/>
          <w:vertAlign w:val="superscript"/>
        </w:rPr>
        <w:t>o</w:t>
      </w:r>
      <w:r w:rsidR="004B2B86" w:rsidRPr="0003547E">
        <w:rPr>
          <w:color w:val="333333"/>
        </w:rPr>
        <w:t>F</w:t>
      </w:r>
      <w:proofErr w:type="spellEnd"/>
      <w:r w:rsidR="004B2B86" w:rsidRPr="0003547E">
        <w:rPr>
          <w:color w:val="333333"/>
        </w:rPr>
        <w:t>) and C represents the inhibitor concentration (</w:t>
      </w:r>
      <w:proofErr w:type="gramStart"/>
      <w:r w:rsidR="004B2B86" w:rsidRPr="0003547E">
        <w:rPr>
          <w:color w:val="333333"/>
        </w:rPr>
        <w:t>wt%</w:t>
      </w:r>
      <w:proofErr w:type="gramEnd"/>
      <w:r w:rsidR="004B2B86" w:rsidRPr="0003547E">
        <w:rPr>
          <w:color w:val="333333"/>
        </w:rPr>
        <w:t xml:space="preserve">).  </w:t>
      </w:r>
    </w:p>
    <w:p w:rsidR="00521A35" w:rsidRPr="0003547E" w:rsidRDefault="00521A35" w:rsidP="004B2B86">
      <w:pPr>
        <w:spacing w:after="0" w:line="240" w:lineRule="auto"/>
        <w:contextualSpacing/>
        <w:jc w:val="both"/>
      </w:pPr>
    </w:p>
    <w:p w:rsidR="004B2B86" w:rsidRPr="0003547E" w:rsidRDefault="004B2B86" w:rsidP="004B2B86">
      <w:pPr>
        <w:spacing w:after="0" w:line="240" w:lineRule="auto"/>
        <w:ind w:left="630" w:hanging="630"/>
        <w:contextualSpacing/>
        <w:jc w:val="both"/>
        <w:rPr>
          <w:b/>
          <w:bCs/>
        </w:rPr>
      </w:pPr>
      <w:r w:rsidRPr="0003547E">
        <w:rPr>
          <w:b/>
          <w:bCs/>
        </w:rPr>
        <w:t>4.3 Comparative sensitivity ranking results due to depression temperature range</w:t>
      </w:r>
    </w:p>
    <w:p w:rsidR="004B2B86" w:rsidRDefault="004B2B86" w:rsidP="004B2B86">
      <w:pPr>
        <w:spacing w:after="0" w:line="240" w:lineRule="auto"/>
        <w:contextualSpacing/>
        <w:jc w:val="both"/>
      </w:pPr>
      <w:r w:rsidRPr="0003547E">
        <w:tab/>
        <w:t xml:space="preserve">The predicted hydrate depression temperature equations were equated or compared with the new comprehensive equation for the purpose of ranking of the inhibitors in terms of their concentration range from 5 wt% to 50 wt%. It was observed that in terms of the maximum predicted depression temperature limit values as shown in </w:t>
      </w:r>
      <w:r>
        <w:rPr>
          <w:color w:val="FF0000"/>
        </w:rPr>
        <w:t xml:space="preserve">Table </w:t>
      </w:r>
      <w:r w:rsidRPr="0003547E">
        <w:rPr>
          <w:color w:val="FF0000"/>
        </w:rPr>
        <w:t>4</w:t>
      </w:r>
      <w:r w:rsidRPr="0003547E">
        <w:t xml:space="preserve">, the </w:t>
      </w:r>
      <w:r w:rsidRPr="0003547E">
        <w:rPr>
          <w:color w:val="FF0000"/>
        </w:rPr>
        <w:t>ranking</w:t>
      </w:r>
      <w:r w:rsidRPr="0003547E">
        <w:t xml:space="preserve"> from first inhibitor is </w:t>
      </w:r>
      <w:r w:rsidRPr="0003547E">
        <w:rPr>
          <w:color w:val="FF0000"/>
        </w:rPr>
        <w:t>methanol</w:t>
      </w:r>
      <w:r w:rsidRPr="0003547E">
        <w:t xml:space="preserve"> (</w:t>
      </w:r>
      <w:proofErr w:type="spellStart"/>
      <w:r w:rsidRPr="0003547E">
        <w:t>MeOH</w:t>
      </w:r>
      <w:proofErr w:type="spellEnd"/>
      <w:r w:rsidRPr="0003547E">
        <w:t>) at 175.872</w:t>
      </w:r>
      <w:r w:rsidRPr="0003547E">
        <w:rPr>
          <w:vertAlign w:val="superscript"/>
        </w:rPr>
        <w:t>o</w:t>
      </w:r>
      <w:r w:rsidRPr="0003547E">
        <w:t>F; ethanol (</w:t>
      </w:r>
      <w:proofErr w:type="spellStart"/>
      <w:r w:rsidRPr="0003547E">
        <w:t>EtOH</w:t>
      </w:r>
      <w:proofErr w:type="spellEnd"/>
      <w:r w:rsidRPr="0003547E">
        <w:t>) at 118.0349</w:t>
      </w:r>
      <w:r w:rsidRPr="0003547E">
        <w:rPr>
          <w:vertAlign w:val="superscript"/>
        </w:rPr>
        <w:t>o</w:t>
      </w:r>
      <w:r w:rsidRPr="0003547E">
        <w:t>F; sodium chloride (</w:t>
      </w:r>
      <w:proofErr w:type="spellStart"/>
      <w:r w:rsidRPr="0003547E">
        <w:t>NaCl</w:t>
      </w:r>
      <w:proofErr w:type="spellEnd"/>
      <w:r w:rsidRPr="0003547E">
        <w:t>) at 114.4619</w:t>
      </w:r>
      <w:r w:rsidRPr="0003547E">
        <w:rPr>
          <w:vertAlign w:val="superscript"/>
        </w:rPr>
        <w:t>o</w:t>
      </w:r>
      <w:r w:rsidRPr="0003547E">
        <w:t>F; potassium chloride (</w:t>
      </w:r>
      <w:proofErr w:type="spellStart"/>
      <w:r w:rsidRPr="0003547E">
        <w:t>KCl</w:t>
      </w:r>
      <w:proofErr w:type="spellEnd"/>
      <w:r w:rsidRPr="0003547E">
        <w:t>) at 103.5248</w:t>
      </w:r>
      <w:r w:rsidRPr="0003547E">
        <w:rPr>
          <w:vertAlign w:val="superscript"/>
        </w:rPr>
        <w:t>o</w:t>
      </w:r>
      <w:r w:rsidRPr="0003547E">
        <w:t>F; predicted comprehensive equation at 78.6146</w:t>
      </w:r>
      <w:r w:rsidRPr="0003547E">
        <w:rPr>
          <w:vertAlign w:val="superscript"/>
        </w:rPr>
        <w:t>o</w:t>
      </w:r>
      <w:r w:rsidRPr="0003547E">
        <w:t>F; calcium chloride (CaCl</w:t>
      </w:r>
      <w:r w:rsidRPr="0003547E">
        <w:rPr>
          <w:vertAlign w:val="subscript"/>
        </w:rPr>
        <w:t>2</w:t>
      </w:r>
      <w:r w:rsidRPr="0003547E">
        <w:t>) at 76.6799</w:t>
      </w:r>
      <w:r w:rsidRPr="0003547E">
        <w:rPr>
          <w:vertAlign w:val="superscript"/>
        </w:rPr>
        <w:t>o</w:t>
      </w:r>
      <w:r w:rsidRPr="0003547E">
        <w:t xml:space="preserve">F; </w:t>
      </w:r>
      <w:proofErr w:type="spellStart"/>
      <w:r w:rsidRPr="0003547E">
        <w:t>di</w:t>
      </w:r>
      <w:proofErr w:type="spellEnd"/>
      <w:r w:rsidRPr="0003547E">
        <w:t>-ethylene glycol (DEG) at 68.6595</w:t>
      </w:r>
      <w:r w:rsidRPr="0003547E">
        <w:rPr>
          <w:vertAlign w:val="superscript"/>
        </w:rPr>
        <w:t>o</w:t>
      </w:r>
      <w:r w:rsidRPr="0003547E">
        <w:t>F; and tri-ethylene glycol (</w:t>
      </w:r>
      <w:r w:rsidRPr="0003547E">
        <w:rPr>
          <w:color w:val="FF0000"/>
        </w:rPr>
        <w:t>TEG</w:t>
      </w:r>
      <w:r w:rsidRPr="0003547E">
        <w:t>) at 68.3905</w:t>
      </w:r>
      <w:r w:rsidRPr="0003547E">
        <w:rPr>
          <w:vertAlign w:val="superscript"/>
        </w:rPr>
        <w:t>o</w:t>
      </w:r>
      <w:r w:rsidRPr="0003547E">
        <w:t xml:space="preserve">F.  </w:t>
      </w:r>
    </w:p>
    <w:p w:rsidR="004B2B86" w:rsidRDefault="004B2B86" w:rsidP="008331E7">
      <w:pPr>
        <w:spacing w:after="0" w:line="240" w:lineRule="auto"/>
        <w:ind w:left="1418" w:hanging="1418"/>
        <w:contextualSpacing/>
        <w:jc w:val="center"/>
      </w:pPr>
    </w:p>
    <w:p w:rsidR="00521A35" w:rsidRPr="0003547E" w:rsidRDefault="00521A35" w:rsidP="00521A35">
      <w:pPr>
        <w:spacing w:after="0" w:line="240" w:lineRule="auto"/>
        <w:ind w:left="1134" w:hanging="1134"/>
        <w:contextualSpacing/>
        <w:jc w:val="center"/>
        <w:rPr>
          <w:b/>
        </w:rPr>
      </w:pPr>
      <w:r>
        <w:rPr>
          <w:b/>
        </w:rPr>
        <w:t xml:space="preserve">Table </w:t>
      </w:r>
      <w:r w:rsidRPr="0003547E">
        <w:rPr>
          <w:b/>
        </w:rPr>
        <w:t>3: Comparative sensitivity results of predicted depression temperature with inhibitor concentrations from earlier predicted equations</w:t>
      </w:r>
    </w:p>
    <w:tbl>
      <w:tblPr>
        <w:tblW w:w="8808"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2"/>
        <w:gridCol w:w="976"/>
        <w:gridCol w:w="976"/>
        <w:gridCol w:w="976"/>
        <w:gridCol w:w="976"/>
        <w:gridCol w:w="1053"/>
        <w:gridCol w:w="1053"/>
        <w:gridCol w:w="1053"/>
        <w:gridCol w:w="1053"/>
      </w:tblGrid>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Inh</w:t>
            </w:r>
            <w:proofErr w:type="spellEnd"/>
            <w:r w:rsidRPr="0003547E">
              <w:rPr>
                <w:rFonts w:eastAsia="Times New Roman"/>
                <w:b/>
                <w:bCs/>
                <w:color w:val="000000"/>
                <w:sz w:val="22"/>
                <w:szCs w:val="22"/>
              </w:rPr>
              <w:t xml:space="preserve"> </w:t>
            </w:r>
            <w:proofErr w:type="spellStart"/>
            <w:r w:rsidRPr="0003547E">
              <w:rPr>
                <w:rFonts w:eastAsia="Times New Roman"/>
                <w:b/>
                <w:bCs/>
                <w:color w:val="000000"/>
                <w:sz w:val="22"/>
                <w:szCs w:val="22"/>
              </w:rPr>
              <w:t>conc</w:t>
            </w:r>
            <w:proofErr w:type="spellEnd"/>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MeOH</w:t>
            </w:r>
            <w:proofErr w:type="spellEnd"/>
            <w:r w:rsidRPr="0003547E">
              <w:rPr>
                <w:rFonts w:eastAsia="Times New Roman"/>
                <w:b/>
                <w:bCs/>
                <w:color w:val="000000"/>
                <w:sz w:val="22"/>
                <w:szCs w:val="22"/>
              </w:rPr>
              <w:t>-New</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EtOH</w:t>
            </w:r>
            <w:proofErr w:type="spellEnd"/>
            <w:r w:rsidRPr="0003547E">
              <w:rPr>
                <w:rFonts w:eastAsia="Times New Roman"/>
                <w:b/>
                <w:bCs/>
                <w:color w:val="000000"/>
                <w:sz w:val="22"/>
                <w:szCs w:val="22"/>
              </w:rPr>
              <w:t>-New</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DEG-New</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TEG-New</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NaCl</w:t>
            </w:r>
            <w:proofErr w:type="spellEnd"/>
            <w:r w:rsidRPr="0003547E">
              <w:rPr>
                <w:rFonts w:eastAsia="Times New Roman"/>
                <w:b/>
                <w:bCs/>
                <w:color w:val="000000"/>
                <w:sz w:val="22"/>
                <w:szCs w:val="22"/>
              </w:rPr>
              <w:t>-New</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CaCl</w:t>
            </w:r>
            <w:proofErr w:type="spellEnd"/>
            <w:r w:rsidRPr="0003547E">
              <w:rPr>
                <w:rFonts w:eastAsia="Times New Roman"/>
                <w:b/>
                <w:bCs/>
                <w:color w:val="000000"/>
                <w:sz w:val="22"/>
                <w:szCs w:val="22"/>
              </w:rPr>
              <w:t>-New</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000000"/>
                <w:sz w:val="22"/>
                <w:szCs w:val="22"/>
              </w:rPr>
            </w:pPr>
            <w:proofErr w:type="spellStart"/>
            <w:r w:rsidRPr="0003547E">
              <w:rPr>
                <w:rFonts w:eastAsia="Times New Roman"/>
                <w:b/>
                <w:bCs/>
                <w:color w:val="000000"/>
                <w:sz w:val="22"/>
                <w:szCs w:val="22"/>
              </w:rPr>
              <w:t>KCl</w:t>
            </w:r>
            <w:proofErr w:type="spellEnd"/>
            <w:r w:rsidRPr="0003547E">
              <w:rPr>
                <w:rFonts w:eastAsia="Times New Roman"/>
                <w:b/>
                <w:bCs/>
                <w:color w:val="000000"/>
                <w:sz w:val="22"/>
                <w:szCs w:val="22"/>
              </w:rPr>
              <w:t>-New</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b/>
                <w:bCs/>
                <w:color w:val="FF0000"/>
                <w:sz w:val="22"/>
                <w:szCs w:val="22"/>
              </w:rPr>
            </w:pPr>
            <w:r w:rsidRPr="0003547E">
              <w:rPr>
                <w:rFonts w:eastAsia="Times New Roman"/>
                <w:b/>
                <w:bCs/>
                <w:color w:val="FF0000"/>
                <w:sz w:val="22"/>
                <w:szCs w:val="22"/>
              </w:rPr>
              <w:t>New Comp Model</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7.35699</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6.62900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5.50849</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5.49488</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6.277071</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5.669693</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6.000489</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6.133804</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16.0440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14.0956</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11.2474</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11.2137</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13.18406</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11.64814</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12.47921</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12.84462</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15</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26.6791</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22.6329</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17.2389</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17.1776</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20.85342</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17.97132</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19.5148</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20.29546</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40.5076</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32.5901</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23.5085</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23.4109</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29.46387</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24.68195</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27.20637</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28.76707</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40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54.0956</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37.9768</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52.0755</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51.7121</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80.65332</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56.6124</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67.80049</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61.77077</w:t>
            </w:r>
          </w:p>
        </w:tc>
      </w:tr>
      <w:tr w:rsidR="00521A35" w:rsidRPr="0003547E" w:rsidTr="00A36683">
        <w:trPr>
          <w:trHeight w:val="300"/>
          <w:jc w:val="center"/>
        </w:trPr>
        <w:tc>
          <w:tcPr>
            <w:tcW w:w="692"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50</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60.0546</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44.8213</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69.2083</w:t>
            </w:r>
          </w:p>
        </w:tc>
        <w:tc>
          <w:tcPr>
            <w:tcW w:w="976"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68.6031</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81.09322</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76.96887</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000000"/>
                <w:sz w:val="22"/>
                <w:szCs w:val="22"/>
              </w:rPr>
            </w:pPr>
            <w:r w:rsidRPr="0003547E">
              <w:rPr>
                <w:rFonts w:eastAsia="Times New Roman"/>
                <w:color w:val="000000"/>
                <w:sz w:val="22"/>
                <w:szCs w:val="22"/>
              </w:rPr>
              <w:t>98.52453</w:t>
            </w:r>
          </w:p>
        </w:tc>
        <w:tc>
          <w:tcPr>
            <w:tcW w:w="1053" w:type="dxa"/>
            <w:shd w:val="clear" w:color="auto" w:fill="auto"/>
            <w:noWrap/>
            <w:vAlign w:val="bottom"/>
            <w:hideMark/>
          </w:tcPr>
          <w:p w:rsidR="00521A35" w:rsidRPr="0003547E" w:rsidRDefault="00521A35" w:rsidP="00A36683">
            <w:pPr>
              <w:spacing w:after="0" w:line="240" w:lineRule="auto"/>
              <w:contextualSpacing/>
              <w:jc w:val="center"/>
              <w:rPr>
                <w:rFonts w:eastAsia="Times New Roman"/>
                <w:color w:val="FF0000"/>
                <w:sz w:val="22"/>
                <w:szCs w:val="22"/>
              </w:rPr>
            </w:pPr>
            <w:r w:rsidRPr="0003547E">
              <w:rPr>
                <w:rFonts w:eastAsia="Times New Roman"/>
                <w:color w:val="FF0000"/>
                <w:sz w:val="22"/>
                <w:szCs w:val="22"/>
              </w:rPr>
              <w:t>78.3262</w:t>
            </w:r>
          </w:p>
        </w:tc>
      </w:tr>
    </w:tbl>
    <w:p w:rsidR="00521A35" w:rsidRPr="0003547E" w:rsidRDefault="00521A35" w:rsidP="00521A35">
      <w:pPr>
        <w:spacing w:after="0" w:line="240" w:lineRule="auto"/>
        <w:contextualSpacing/>
        <w:jc w:val="center"/>
        <w:rPr>
          <w:b/>
        </w:rPr>
      </w:pPr>
    </w:p>
    <w:p w:rsidR="00521A35" w:rsidRPr="0003547E" w:rsidRDefault="00521A35" w:rsidP="00521A35">
      <w:pPr>
        <w:spacing w:after="0" w:line="240" w:lineRule="auto"/>
        <w:ind w:left="1418" w:hanging="1418"/>
        <w:contextualSpacing/>
        <w:jc w:val="center"/>
        <w:rPr>
          <w:b/>
        </w:rPr>
      </w:pPr>
    </w:p>
    <w:p w:rsidR="00521A35" w:rsidRPr="0003547E" w:rsidRDefault="00521A35" w:rsidP="00521A35">
      <w:pPr>
        <w:spacing w:after="0" w:line="240" w:lineRule="auto"/>
        <w:ind w:left="1418" w:hanging="1418"/>
        <w:contextualSpacing/>
        <w:jc w:val="center"/>
      </w:pPr>
      <w:r w:rsidRPr="000E18B5">
        <w:rPr>
          <w:noProof/>
        </w:rPr>
        <w:drawing>
          <wp:inline distT="0" distB="0" distL="0" distR="0">
            <wp:extent cx="5391150" cy="2533650"/>
            <wp:effectExtent l="19050" t="0" r="0" b="0"/>
            <wp:docPr id="3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l="21979" t="31358" r="21039" b="15309"/>
                    <a:stretch>
                      <a:fillRect/>
                    </a:stretch>
                  </pic:blipFill>
                  <pic:spPr bwMode="auto">
                    <a:xfrm>
                      <a:off x="0" y="0"/>
                      <a:ext cx="5403213" cy="2539319"/>
                    </a:xfrm>
                    <a:prstGeom prst="rect">
                      <a:avLst/>
                    </a:prstGeom>
                    <a:noFill/>
                    <a:ln w="9525">
                      <a:noFill/>
                      <a:miter lim="800000"/>
                      <a:headEnd/>
                      <a:tailEnd/>
                    </a:ln>
                  </pic:spPr>
                </pic:pic>
              </a:graphicData>
            </a:graphic>
          </wp:inline>
        </w:drawing>
      </w:r>
    </w:p>
    <w:p w:rsidR="00521A35" w:rsidRPr="0003547E" w:rsidRDefault="00521A35" w:rsidP="00521A35">
      <w:pPr>
        <w:spacing w:after="0" w:line="240" w:lineRule="auto"/>
        <w:ind w:left="1276" w:hanging="1276"/>
        <w:contextualSpacing/>
        <w:jc w:val="center"/>
      </w:pPr>
      <w:r>
        <w:rPr>
          <w:b/>
        </w:rPr>
        <w:t xml:space="preserve">Fig. </w:t>
      </w:r>
      <w:r w:rsidRPr="0003547E">
        <w:rPr>
          <w:b/>
        </w:rPr>
        <w:t>1</w:t>
      </w:r>
      <w:r>
        <w:rPr>
          <w:b/>
        </w:rPr>
        <w:t>8</w:t>
      </w:r>
      <w:r w:rsidRPr="0003547E">
        <w:t>: Comparative results of all predicted depression temperatures with inhibitor concentrations</w:t>
      </w:r>
    </w:p>
    <w:p w:rsidR="00521A35" w:rsidRPr="0003547E" w:rsidRDefault="00521A35" w:rsidP="00521A35">
      <w:pPr>
        <w:spacing w:after="0" w:line="240" w:lineRule="auto"/>
        <w:ind w:left="1418" w:hanging="1418"/>
        <w:contextualSpacing/>
        <w:jc w:val="center"/>
      </w:pPr>
    </w:p>
    <w:p w:rsidR="00521A35" w:rsidRDefault="00521A35" w:rsidP="008331E7">
      <w:pPr>
        <w:spacing w:after="0" w:line="240" w:lineRule="auto"/>
        <w:ind w:left="1418" w:hanging="1418"/>
        <w:contextualSpacing/>
        <w:jc w:val="center"/>
      </w:pPr>
    </w:p>
    <w:p w:rsidR="004B2B86" w:rsidRDefault="004B2B86" w:rsidP="008331E7">
      <w:pPr>
        <w:spacing w:after="0" w:line="240" w:lineRule="auto"/>
        <w:ind w:left="1418" w:hanging="1418"/>
        <w:contextualSpacing/>
        <w:jc w:val="center"/>
      </w:pPr>
    </w:p>
    <w:p w:rsidR="004B2B86" w:rsidRPr="0003547E" w:rsidRDefault="004B2B86" w:rsidP="008331E7">
      <w:pPr>
        <w:spacing w:after="0" w:line="240" w:lineRule="auto"/>
        <w:ind w:left="1418" w:hanging="1418"/>
        <w:contextualSpacing/>
        <w:jc w:val="center"/>
      </w:pPr>
    </w:p>
    <w:p w:rsidR="0003547E" w:rsidRPr="0003547E" w:rsidRDefault="000E18B5" w:rsidP="008331E7">
      <w:pPr>
        <w:spacing w:after="0" w:line="240" w:lineRule="auto"/>
        <w:ind w:left="1418" w:hanging="1418"/>
        <w:contextualSpacing/>
        <w:jc w:val="center"/>
      </w:pPr>
      <w:r w:rsidRPr="000E18B5">
        <w:rPr>
          <w:noProof/>
        </w:rPr>
        <w:lastRenderedPageBreak/>
        <w:drawing>
          <wp:inline distT="0" distB="0" distL="0" distR="0">
            <wp:extent cx="5673090" cy="2038350"/>
            <wp:effectExtent l="1905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6" cstate="print"/>
                    <a:srcRect l="22395" t="38518" r="21896" b="19013"/>
                    <a:stretch>
                      <a:fillRect/>
                    </a:stretch>
                  </pic:blipFill>
                  <pic:spPr bwMode="auto">
                    <a:xfrm>
                      <a:off x="0" y="0"/>
                      <a:ext cx="5672795" cy="2038244"/>
                    </a:xfrm>
                    <a:prstGeom prst="rect">
                      <a:avLst/>
                    </a:prstGeom>
                    <a:noFill/>
                    <a:ln w="9525">
                      <a:noFill/>
                      <a:miter lim="800000"/>
                      <a:headEnd/>
                      <a:tailEnd/>
                    </a:ln>
                  </pic:spPr>
                </pic:pic>
              </a:graphicData>
            </a:graphic>
          </wp:inline>
        </w:drawing>
      </w:r>
    </w:p>
    <w:p w:rsidR="0003547E" w:rsidRPr="0003547E" w:rsidRDefault="008331E7" w:rsidP="008331E7">
      <w:pPr>
        <w:spacing w:after="0" w:line="240" w:lineRule="auto"/>
        <w:ind w:left="1418" w:hanging="1418"/>
        <w:contextualSpacing/>
        <w:jc w:val="center"/>
      </w:pPr>
      <w:r>
        <w:rPr>
          <w:b/>
        </w:rPr>
        <w:t xml:space="preserve">Fig. </w:t>
      </w:r>
      <w:r w:rsidR="0003547E" w:rsidRPr="0003547E">
        <w:rPr>
          <w:b/>
        </w:rPr>
        <w:t>1</w:t>
      </w:r>
      <w:r>
        <w:rPr>
          <w:b/>
        </w:rPr>
        <w:t>9</w:t>
      </w:r>
      <w:r w:rsidR="0003547E" w:rsidRPr="0003547E">
        <w:t>: Results of comprehensive predicted depression temperature for all inhibitor concentration analysis</w:t>
      </w:r>
    </w:p>
    <w:p w:rsidR="0003547E" w:rsidRPr="0003547E" w:rsidRDefault="0003547E" w:rsidP="008331E7">
      <w:pPr>
        <w:spacing w:after="0" w:line="240" w:lineRule="auto"/>
        <w:ind w:left="1418" w:hanging="1418"/>
        <w:contextualSpacing/>
        <w:jc w:val="center"/>
      </w:pPr>
    </w:p>
    <w:p w:rsidR="0003547E" w:rsidRPr="0003547E" w:rsidRDefault="0003547E" w:rsidP="008331E7">
      <w:pPr>
        <w:spacing w:after="0" w:line="240" w:lineRule="auto"/>
        <w:ind w:left="1418" w:hanging="1418"/>
        <w:contextualSpacing/>
        <w:jc w:val="center"/>
      </w:pPr>
    </w:p>
    <w:p w:rsidR="0003547E" w:rsidRPr="0003547E" w:rsidRDefault="008331E7" w:rsidP="008331E7">
      <w:pPr>
        <w:spacing w:after="0" w:line="240" w:lineRule="auto"/>
        <w:ind w:left="1418" w:hanging="1418"/>
        <w:contextualSpacing/>
        <w:jc w:val="center"/>
      </w:pPr>
      <w:r>
        <w:rPr>
          <w:b/>
        </w:rPr>
        <w:t xml:space="preserve">Table </w:t>
      </w:r>
      <w:r w:rsidR="0003547E" w:rsidRPr="0003547E">
        <w:rPr>
          <w:b/>
        </w:rPr>
        <w:t>4: Comparative sensitivity ranking results due to depression temperature range</w:t>
      </w:r>
    </w:p>
    <w:tbl>
      <w:tblPr>
        <w:tblW w:w="8640"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11"/>
        <w:gridCol w:w="1041"/>
        <w:gridCol w:w="960"/>
        <w:gridCol w:w="960"/>
        <w:gridCol w:w="1041"/>
        <w:gridCol w:w="960"/>
        <w:gridCol w:w="1041"/>
        <w:gridCol w:w="960"/>
      </w:tblGrid>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Inhibitor conc.</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MeOH</w:t>
            </w:r>
            <w:proofErr w:type="spellEnd"/>
            <w:r w:rsidRPr="0003547E">
              <w:rPr>
                <w:rFonts w:eastAsia="Times New Roman"/>
                <w:b/>
                <w:bCs/>
                <w:color w:val="000000"/>
                <w:sz w:val="22"/>
                <w:szCs w:val="22"/>
              </w:rPr>
              <w: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EtOH</w:t>
            </w:r>
            <w:proofErr w:type="spellEnd"/>
            <w:r w:rsidRPr="0003547E">
              <w:rPr>
                <w:rFonts w:eastAsia="Times New Roman"/>
                <w:b/>
                <w:bCs/>
                <w:color w:val="000000"/>
                <w:sz w:val="22"/>
                <w:szCs w:val="22"/>
              </w:rPr>
              <w: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(DEG)</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(TEG)</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NaCl</w:t>
            </w:r>
            <w:proofErr w:type="spellEnd"/>
            <w:r w:rsidRPr="0003547E">
              <w:rPr>
                <w:rFonts w:eastAsia="Times New Roman"/>
                <w:b/>
                <w:bCs/>
                <w:color w:val="000000"/>
                <w:sz w:val="22"/>
                <w:szCs w:val="22"/>
              </w:rPr>
              <w: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CaCl</w:t>
            </w:r>
            <w:proofErr w:type="spellEnd"/>
            <w:r w:rsidRPr="0003547E">
              <w:rPr>
                <w:rFonts w:eastAsia="Times New Roman"/>
                <w:b/>
                <w:bCs/>
                <w:color w:val="000000"/>
                <w:sz w:val="22"/>
                <w:szCs w:val="22"/>
              </w:rPr>
              <w: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w:t>
            </w:r>
            <w:proofErr w:type="spellStart"/>
            <w:r w:rsidRPr="0003547E">
              <w:rPr>
                <w:rFonts w:eastAsia="Times New Roman"/>
                <w:b/>
                <w:bCs/>
                <w:color w:val="000000"/>
                <w:sz w:val="22"/>
                <w:szCs w:val="22"/>
              </w:rPr>
              <w:t>KCl</w:t>
            </w:r>
            <w:proofErr w:type="spellEnd"/>
            <w:r w:rsidRPr="0003547E">
              <w:rPr>
                <w:rFonts w:eastAsia="Times New Roman"/>
                <w:b/>
                <w:bCs/>
                <w:color w:val="000000"/>
                <w:sz w:val="22"/>
                <w:szCs w:val="22"/>
              </w:rPr>
              <w: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auto"/>
                <w:sz w:val="22"/>
                <w:szCs w:val="22"/>
              </w:rPr>
            </w:pPr>
            <w:r w:rsidRPr="0003547E">
              <w:rPr>
                <w:rFonts w:eastAsia="Times New Roman"/>
                <w:b/>
                <w:bCs/>
                <w:color w:val="auto"/>
                <w:sz w:val="22"/>
                <w:szCs w:val="22"/>
              </w:rPr>
              <w:t>New Comp</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7.419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6.6464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5.4975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5.629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6.5114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5.9174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5.9288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5.6786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10</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15.856</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14.0429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11.2555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11.1625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12.8659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11.5599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12.6528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13.1626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26.863</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22.6844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17.2235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17.056</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20.6304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17.7574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19.7068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20.8016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20</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40.44</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32.5709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23.4465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23.3095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29.8049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24.5099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27.3908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28.5956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40</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120.448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84.5669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51.7885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51.9235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80.6029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57.0699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auto"/>
                <w:sz w:val="22"/>
                <w:szCs w:val="22"/>
              </w:rPr>
            </w:pPr>
            <w:r w:rsidRPr="0003547E">
              <w:rPr>
                <w:rFonts w:eastAsia="Times New Roman"/>
                <w:color w:val="auto"/>
                <w:sz w:val="22"/>
                <w:szCs w:val="22"/>
              </w:rPr>
              <w:t>70.4268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000000"/>
                <w:sz w:val="22"/>
                <w:szCs w:val="22"/>
              </w:rPr>
            </w:pPr>
            <w:r w:rsidRPr="0003547E">
              <w:rPr>
                <w:rFonts w:eastAsia="Times New Roman"/>
                <w:color w:val="000000"/>
                <w:sz w:val="22"/>
                <w:szCs w:val="22"/>
              </w:rPr>
              <w:t>61.3216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50</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175.872</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118.0349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68.6595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68.3905</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114.4619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76.6799</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103.5248</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color w:val="FF0000"/>
                <w:sz w:val="22"/>
                <w:szCs w:val="22"/>
              </w:rPr>
            </w:pPr>
            <w:r w:rsidRPr="0003547E">
              <w:rPr>
                <w:rFonts w:eastAsia="Times New Roman"/>
                <w:color w:val="FF0000"/>
                <w:sz w:val="22"/>
                <w:szCs w:val="22"/>
              </w:rPr>
              <w:t>78.6146</w:t>
            </w:r>
          </w:p>
        </w:tc>
      </w:tr>
      <w:tr w:rsidR="0003547E" w:rsidRPr="0003547E" w:rsidTr="00B5316F">
        <w:trPr>
          <w:trHeight w:val="300"/>
          <w:jc w:val="center"/>
        </w:trPr>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Ranking</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1</w:t>
            </w:r>
            <w:r w:rsidRPr="0003547E">
              <w:rPr>
                <w:rFonts w:eastAsia="Times New Roman"/>
                <w:b/>
                <w:bCs/>
                <w:color w:val="000000"/>
                <w:sz w:val="22"/>
                <w:szCs w:val="22"/>
                <w:vertAlign w:val="superscript"/>
              </w:rPr>
              <w:t>st</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2</w:t>
            </w:r>
            <w:r w:rsidRPr="0003547E">
              <w:rPr>
                <w:rFonts w:eastAsia="Times New Roman"/>
                <w:b/>
                <w:bCs/>
                <w:color w:val="000000"/>
                <w:sz w:val="22"/>
                <w:szCs w:val="22"/>
                <w:vertAlign w:val="superscript"/>
              </w:rPr>
              <w:t>nd</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7</w:t>
            </w:r>
            <w:r w:rsidRPr="0003547E">
              <w:rPr>
                <w:rFonts w:eastAsia="Times New Roman"/>
                <w:b/>
                <w:bCs/>
                <w:color w:val="000000"/>
                <w:sz w:val="22"/>
                <w:szCs w:val="22"/>
                <w:vertAlign w:val="superscript"/>
              </w:rPr>
              <w:t>th</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8</w:t>
            </w:r>
            <w:r w:rsidRPr="0003547E">
              <w:rPr>
                <w:rFonts w:eastAsia="Times New Roman"/>
                <w:b/>
                <w:bCs/>
                <w:color w:val="000000"/>
                <w:sz w:val="22"/>
                <w:szCs w:val="22"/>
                <w:vertAlign w:val="superscript"/>
              </w:rPr>
              <w:t>th</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3</w:t>
            </w:r>
            <w:r w:rsidRPr="0003547E">
              <w:rPr>
                <w:rFonts w:eastAsia="Times New Roman"/>
                <w:b/>
                <w:bCs/>
                <w:color w:val="000000"/>
                <w:sz w:val="22"/>
                <w:szCs w:val="22"/>
                <w:vertAlign w:val="superscript"/>
              </w:rPr>
              <w:t>rd</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6</w:t>
            </w:r>
            <w:r w:rsidRPr="0003547E">
              <w:rPr>
                <w:rFonts w:eastAsia="Times New Roman"/>
                <w:b/>
                <w:bCs/>
                <w:color w:val="000000"/>
                <w:sz w:val="22"/>
                <w:szCs w:val="22"/>
                <w:vertAlign w:val="superscript"/>
              </w:rPr>
              <w:t>th</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000000"/>
                <w:sz w:val="22"/>
                <w:szCs w:val="22"/>
              </w:rPr>
            </w:pPr>
            <w:r w:rsidRPr="0003547E">
              <w:rPr>
                <w:rFonts w:eastAsia="Times New Roman"/>
                <w:b/>
                <w:bCs/>
                <w:color w:val="000000"/>
                <w:sz w:val="22"/>
                <w:szCs w:val="22"/>
              </w:rPr>
              <w:t>4</w:t>
            </w:r>
            <w:r w:rsidRPr="0003547E">
              <w:rPr>
                <w:rFonts w:eastAsia="Times New Roman"/>
                <w:b/>
                <w:bCs/>
                <w:color w:val="000000"/>
                <w:sz w:val="22"/>
                <w:szCs w:val="22"/>
                <w:vertAlign w:val="superscript"/>
              </w:rPr>
              <w:t>th</w:t>
            </w:r>
          </w:p>
        </w:tc>
        <w:tc>
          <w:tcPr>
            <w:tcW w:w="960" w:type="dxa"/>
            <w:shd w:val="clear" w:color="auto" w:fill="auto"/>
            <w:noWrap/>
            <w:vAlign w:val="bottom"/>
            <w:hideMark/>
          </w:tcPr>
          <w:p w:rsidR="0003547E" w:rsidRPr="0003547E" w:rsidRDefault="0003547E" w:rsidP="008331E7">
            <w:pPr>
              <w:spacing w:after="0" w:line="240" w:lineRule="auto"/>
              <w:contextualSpacing/>
              <w:jc w:val="center"/>
              <w:rPr>
                <w:rFonts w:eastAsia="Times New Roman"/>
                <w:b/>
                <w:bCs/>
                <w:color w:val="FF0000"/>
                <w:sz w:val="22"/>
                <w:szCs w:val="22"/>
              </w:rPr>
            </w:pPr>
            <w:r w:rsidRPr="0003547E">
              <w:rPr>
                <w:rFonts w:eastAsia="Times New Roman"/>
                <w:b/>
                <w:bCs/>
                <w:color w:val="FF0000"/>
                <w:sz w:val="22"/>
                <w:szCs w:val="22"/>
              </w:rPr>
              <w:t>5</w:t>
            </w:r>
            <w:r w:rsidRPr="0003547E">
              <w:rPr>
                <w:rFonts w:eastAsia="Times New Roman"/>
                <w:b/>
                <w:bCs/>
                <w:color w:val="FF0000"/>
                <w:sz w:val="22"/>
                <w:szCs w:val="22"/>
                <w:vertAlign w:val="superscript"/>
              </w:rPr>
              <w:t>th</w:t>
            </w:r>
          </w:p>
        </w:tc>
      </w:tr>
    </w:tbl>
    <w:p w:rsidR="0003547E" w:rsidRPr="0003547E" w:rsidRDefault="0003547E" w:rsidP="008331E7">
      <w:pPr>
        <w:spacing w:after="0" w:line="240" w:lineRule="auto"/>
        <w:ind w:left="1418" w:hanging="1418"/>
        <w:contextualSpacing/>
        <w:jc w:val="center"/>
      </w:pPr>
    </w:p>
    <w:p w:rsidR="0003547E" w:rsidRPr="0003547E" w:rsidRDefault="0003547E" w:rsidP="0003547E">
      <w:pPr>
        <w:spacing w:after="0" w:line="240" w:lineRule="auto"/>
        <w:contextualSpacing/>
        <w:jc w:val="both"/>
      </w:pPr>
    </w:p>
    <w:p w:rsidR="0003547E" w:rsidRPr="0003547E" w:rsidRDefault="00B5316F" w:rsidP="0003547E">
      <w:pPr>
        <w:spacing w:after="0" w:line="240" w:lineRule="auto"/>
        <w:contextualSpacing/>
        <w:jc w:val="both"/>
        <w:rPr>
          <w:b/>
          <w:bCs/>
        </w:rPr>
      </w:pPr>
      <w:r>
        <w:rPr>
          <w:b/>
          <w:bCs/>
        </w:rPr>
        <w:t>5.0</w:t>
      </w:r>
      <w:r w:rsidR="0003547E" w:rsidRPr="0003547E">
        <w:rPr>
          <w:b/>
          <w:bCs/>
        </w:rPr>
        <w:t xml:space="preserve"> Conclusion</w:t>
      </w:r>
    </w:p>
    <w:p w:rsidR="0003547E" w:rsidRPr="008331E7" w:rsidRDefault="0003547E" w:rsidP="008331E7">
      <w:pPr>
        <w:pStyle w:val="NormalWeb"/>
        <w:shd w:val="clear" w:color="auto" w:fill="FFFFFF"/>
        <w:spacing w:after="0" w:line="240" w:lineRule="auto"/>
        <w:contextualSpacing/>
        <w:jc w:val="both"/>
        <w:textAlignment w:val="baseline"/>
        <w:rPr>
          <w:color w:val="333333"/>
        </w:rPr>
      </w:pPr>
      <w:r w:rsidRPr="0003547E">
        <w:rPr>
          <w:bCs/>
        </w:rPr>
        <w:t xml:space="preserve">This </w:t>
      </w:r>
      <w:r w:rsidR="008331E7">
        <w:rPr>
          <w:bCs/>
        </w:rPr>
        <w:t xml:space="preserve">aim of this erudition </w:t>
      </w:r>
      <w:r w:rsidRPr="0003547E">
        <w:rPr>
          <w:bCs/>
        </w:rPr>
        <w:t xml:space="preserve">has been achieved in this study by developing and predicting </w:t>
      </w:r>
      <w:r w:rsidRPr="0003547E">
        <w:rPr>
          <w:color w:val="333333"/>
        </w:rPr>
        <w:t xml:space="preserve">simple depression temperature equations as functions of the inhibitor concentrations from the </w:t>
      </w:r>
      <w:proofErr w:type="spellStart"/>
      <w:r w:rsidRPr="0003547E">
        <w:rPr>
          <w:color w:val="FF0000"/>
        </w:rPr>
        <w:t>Hammerschimdt</w:t>
      </w:r>
      <w:proofErr w:type="spellEnd"/>
      <w:r w:rsidRPr="0003547E">
        <w:rPr>
          <w:color w:val="333333"/>
        </w:rPr>
        <w:t xml:space="preserve"> and </w:t>
      </w:r>
      <w:r w:rsidRPr="0003547E">
        <w:rPr>
          <w:color w:val="FF0000"/>
        </w:rPr>
        <w:t>Nielsen-Bucklin</w:t>
      </w:r>
      <w:r w:rsidRPr="0003547E">
        <w:rPr>
          <w:color w:val="333333"/>
        </w:rPr>
        <w:t xml:space="preserve"> equations. This will aid quicker interpretation and save cost.</w:t>
      </w:r>
      <w:r w:rsidR="008331E7">
        <w:rPr>
          <w:color w:val="333333"/>
        </w:rPr>
        <w:t xml:space="preserve"> </w:t>
      </w:r>
      <w:r w:rsidRPr="0003547E">
        <w:rPr>
          <w:color w:val="333333"/>
        </w:rPr>
        <w:t xml:space="preserve">Comparative analysis of predicted results for the seven inhibitors was done in order to understand the behavior of the curve patterns with respect to inhibitor type and concentration as a function </w:t>
      </w:r>
      <w:r w:rsidR="008331E7">
        <w:rPr>
          <w:color w:val="333333"/>
        </w:rPr>
        <w:t xml:space="preserve">of the depression temperatures. </w:t>
      </w:r>
      <w:r w:rsidRPr="0003547E">
        <w:rPr>
          <w:color w:val="333333"/>
        </w:rPr>
        <w:t xml:space="preserve">Hydrate inhibitor </w:t>
      </w:r>
      <w:r w:rsidRPr="0003547E">
        <w:rPr>
          <w:color w:val="FF0000"/>
        </w:rPr>
        <w:t>ranking</w:t>
      </w:r>
      <w:r w:rsidRPr="0003547E">
        <w:rPr>
          <w:color w:val="333333"/>
        </w:rPr>
        <w:t xml:space="preserve"> and </w:t>
      </w:r>
      <w:r w:rsidRPr="0003547E">
        <w:rPr>
          <w:color w:val="FF0000"/>
        </w:rPr>
        <w:t>selection</w:t>
      </w:r>
      <w:r w:rsidRPr="0003547E">
        <w:rPr>
          <w:color w:val="333333"/>
        </w:rPr>
        <w:t xml:space="preserve"> from the predicted results was also done in order to improve the choice of selection for effective performance. This will enhance performance evaluation of inhibitors rank selected based on depression temperature which will assist to control or prevent hydrate formation problems.</w:t>
      </w:r>
      <w:r w:rsidR="008331E7">
        <w:rPr>
          <w:color w:val="333333"/>
        </w:rPr>
        <w:t xml:space="preserve"> </w:t>
      </w:r>
      <w:r w:rsidRPr="0003547E">
        <w:rPr>
          <w:bCs/>
        </w:rPr>
        <w:t xml:space="preserve">However, in </w:t>
      </w:r>
      <w:r w:rsidRPr="0003547E">
        <w:rPr>
          <w:bCs/>
          <w:color w:val="FF0000"/>
        </w:rPr>
        <w:t>contribution to knowledge</w:t>
      </w:r>
      <w:r w:rsidRPr="0003547E">
        <w:rPr>
          <w:bCs/>
        </w:rPr>
        <w:t xml:space="preserve"> of petroleum engineering is that gas hydrate modeling was simplified with improved understanding of the relationship between depression temperatures, inhibitor concentrations, ranking and choice of selections as critical tools for h</w:t>
      </w:r>
      <w:r w:rsidR="008331E7">
        <w:rPr>
          <w:bCs/>
        </w:rPr>
        <w:t xml:space="preserve">ydrate control and prevention. </w:t>
      </w:r>
      <w:r w:rsidRPr="0003547E">
        <w:rPr>
          <w:bCs/>
        </w:rPr>
        <w:t xml:space="preserve">The </w:t>
      </w:r>
      <w:r w:rsidRPr="0003547E">
        <w:rPr>
          <w:bCs/>
          <w:color w:val="FF0000"/>
        </w:rPr>
        <w:t xml:space="preserve">major finding </w:t>
      </w:r>
      <w:r w:rsidRPr="0003547E">
        <w:rPr>
          <w:bCs/>
        </w:rPr>
        <w:t>of this project is that with carefully planned mathematical procedure using Microsoft Excel spreadsheet, simple prediction equations can be developed for effective management of hydrates with two variables. It is recommended that further studies be done with cheaper biodegradable hydrate inhibitors for much better performance evaluation.</w:t>
      </w:r>
    </w:p>
    <w:p w:rsidR="00B5316F" w:rsidRDefault="00B5316F" w:rsidP="0003547E">
      <w:pPr>
        <w:spacing w:after="0" w:line="240" w:lineRule="auto"/>
        <w:contextualSpacing/>
        <w:jc w:val="both"/>
        <w:rPr>
          <w:bCs/>
        </w:rPr>
      </w:pPr>
    </w:p>
    <w:p w:rsidR="0003547E" w:rsidRPr="0003547E" w:rsidRDefault="0003547E" w:rsidP="00707CEA">
      <w:pPr>
        <w:spacing w:after="0" w:line="240" w:lineRule="auto"/>
        <w:contextualSpacing/>
        <w:rPr>
          <w:rFonts w:eastAsia="Times New Roman"/>
          <w:b/>
          <w:bCs/>
        </w:rPr>
      </w:pPr>
      <w:r w:rsidRPr="0003547E">
        <w:rPr>
          <w:rFonts w:eastAsia="Times New Roman"/>
          <w:b/>
          <w:bCs/>
        </w:rPr>
        <w:t>Reference</w:t>
      </w:r>
    </w:p>
    <w:p w:rsidR="0003547E" w:rsidRPr="0003547E" w:rsidRDefault="0003547E" w:rsidP="0003547E">
      <w:pPr>
        <w:shd w:val="clear" w:color="auto" w:fill="FFFFFF"/>
        <w:spacing w:after="0" w:line="240" w:lineRule="auto"/>
        <w:ind w:left="720" w:hanging="720"/>
        <w:contextualSpacing/>
        <w:jc w:val="both"/>
        <w:textAlignment w:val="baseline"/>
      </w:pPr>
      <w:proofErr w:type="spellStart"/>
      <w:proofErr w:type="gramStart"/>
      <w:r w:rsidRPr="0003547E">
        <w:t>Baojiang</w:t>
      </w:r>
      <w:proofErr w:type="spellEnd"/>
      <w:r w:rsidRPr="0003547E">
        <w:t xml:space="preserve">, S., </w:t>
      </w:r>
      <w:proofErr w:type="spellStart"/>
      <w:r w:rsidRPr="0003547E">
        <w:t>Weigi</w:t>
      </w:r>
      <w:proofErr w:type="spellEnd"/>
      <w:r w:rsidRPr="0003547E">
        <w:t xml:space="preserve">, F., </w:t>
      </w:r>
      <w:proofErr w:type="spellStart"/>
      <w:r w:rsidRPr="0003547E">
        <w:t>Zhiyuan</w:t>
      </w:r>
      <w:proofErr w:type="spellEnd"/>
      <w:r w:rsidRPr="0003547E">
        <w:t xml:space="preserve">, W., </w:t>
      </w:r>
      <w:proofErr w:type="spellStart"/>
      <w:r w:rsidRPr="0003547E">
        <w:t>Jianchun</w:t>
      </w:r>
      <w:proofErr w:type="spellEnd"/>
      <w:r w:rsidRPr="0003547E">
        <w:t xml:space="preserve">, X., </w:t>
      </w:r>
      <w:proofErr w:type="spellStart"/>
      <w:r w:rsidRPr="0003547E">
        <w:t>Litao</w:t>
      </w:r>
      <w:proofErr w:type="spellEnd"/>
      <w:r w:rsidRPr="0003547E">
        <w:t xml:space="preserve">, C., </w:t>
      </w:r>
      <w:proofErr w:type="spellStart"/>
      <w:r w:rsidRPr="0003547E">
        <w:t>Jintang</w:t>
      </w:r>
      <w:proofErr w:type="spellEnd"/>
      <w:r w:rsidRPr="0003547E">
        <w:t xml:space="preserve">, W. and </w:t>
      </w:r>
      <w:proofErr w:type="spellStart"/>
      <w:r w:rsidRPr="0003547E">
        <w:t>Jianbo</w:t>
      </w:r>
      <w:proofErr w:type="spellEnd"/>
      <w:r w:rsidRPr="0003547E">
        <w:t>, Z. (2020).</w:t>
      </w:r>
      <w:proofErr w:type="gramEnd"/>
      <w:r w:rsidRPr="0003547E">
        <w:t xml:space="preserve"> </w:t>
      </w:r>
      <w:proofErr w:type="gramStart"/>
      <w:r w:rsidRPr="0003547E">
        <w:t xml:space="preserve">Characterizing the </w:t>
      </w:r>
      <w:proofErr w:type="spellStart"/>
      <w:r w:rsidRPr="0003547E">
        <w:t>Rheology</w:t>
      </w:r>
      <w:proofErr w:type="spellEnd"/>
      <w:r w:rsidRPr="0003547E">
        <w:t xml:space="preserve"> of Methane Hydrate Slurry in a Horizontal Water-Continuous System.</w:t>
      </w:r>
      <w:proofErr w:type="gramEnd"/>
      <w:r w:rsidRPr="0003547E">
        <w:t xml:space="preserve"> SPE Journal Series, 25(03); 1026-1041. </w:t>
      </w:r>
      <w:hyperlink r:id="rId27" w:history="1">
        <w:r w:rsidRPr="0003547E">
          <w:rPr>
            <w:rStyle w:val="Hyperlink"/>
          </w:rPr>
          <w:t>https://doi.org/10.2118/195586-PA</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Davide</w:t>
      </w:r>
      <w:proofErr w:type="spellEnd"/>
      <w:r w:rsidRPr="0003547E">
        <w:t>, P., Raul, A.T. and Hannah, D. (2023).</w:t>
      </w:r>
      <w:proofErr w:type="gramEnd"/>
      <w:r w:rsidRPr="0003547E">
        <w:t xml:space="preserve"> From Chicory Roots to Salmon Fish Waste: All the Challenges of a Trip to Sustainability for Scale Inhibitors and Low Dosage Hydrate Inhibitors. SPE-213870-MS Paper Presented at the SPE International Conference on Oil Field Chemistry, Woodlands, Texas, U.S.A., June. </w:t>
      </w:r>
      <w:hyperlink r:id="rId28" w:history="1">
        <w:r w:rsidRPr="0003547E">
          <w:rPr>
            <w:rStyle w:val="Hyperlink"/>
          </w:rPr>
          <w:t>https://doi.org/10.2118/213870-MS</w:t>
        </w:r>
      </w:hyperlink>
    </w:p>
    <w:p w:rsidR="00E62393" w:rsidRDefault="0003547E" w:rsidP="00E62393">
      <w:pPr>
        <w:shd w:val="clear" w:color="auto" w:fill="FFFFFF"/>
        <w:spacing w:after="0" w:line="240" w:lineRule="auto"/>
        <w:ind w:left="720" w:hanging="720"/>
        <w:contextualSpacing/>
        <w:jc w:val="both"/>
        <w:textAlignment w:val="baseline"/>
      </w:pPr>
      <w:proofErr w:type="spellStart"/>
      <w:r w:rsidRPr="0003547E">
        <w:lastRenderedPageBreak/>
        <w:t>Dhifaf</w:t>
      </w:r>
      <w:proofErr w:type="spellEnd"/>
      <w:r w:rsidRPr="0003547E">
        <w:t xml:space="preserve">, S., Omar, A., Stefan, I., Maxim, L., </w:t>
      </w:r>
      <w:proofErr w:type="spellStart"/>
      <w:r w:rsidRPr="0003547E">
        <w:t>Callum</w:t>
      </w:r>
      <w:proofErr w:type="spellEnd"/>
      <w:r w:rsidRPr="0003547E">
        <w:t xml:space="preserve">, S. and Ahmed, B. (2020). Hydrate Equilibrium Modeling for Gas Mixtures Containing Methane, Nitrogen and Carbon dioxide. OTC-30586-MS Paper Presented at the Offshore Technology Conference (OTC), Houston, Texas, U.S.A., May. </w:t>
      </w:r>
      <w:hyperlink r:id="rId29" w:history="1">
        <w:r w:rsidRPr="0003547E">
          <w:rPr>
            <w:rStyle w:val="Hyperlink"/>
          </w:rPr>
          <w:t>https://doi.org/10.4043/30586-MS</w:t>
        </w:r>
      </w:hyperlink>
    </w:p>
    <w:p w:rsidR="00E62393" w:rsidRPr="00E62393" w:rsidRDefault="00E62393" w:rsidP="00E62393">
      <w:pPr>
        <w:shd w:val="clear" w:color="auto" w:fill="FFFFFF"/>
        <w:spacing w:after="0" w:line="240" w:lineRule="auto"/>
        <w:ind w:left="720" w:hanging="720"/>
        <w:contextualSpacing/>
        <w:jc w:val="both"/>
        <w:textAlignment w:val="baseline"/>
      </w:pPr>
      <w:proofErr w:type="gramStart"/>
      <w:r w:rsidRPr="00E62393">
        <w:rPr>
          <w:bCs/>
          <w:shd w:val="clear" w:color="auto" w:fill="FFFFFF"/>
        </w:rPr>
        <w:t xml:space="preserve">Egu D.I., </w:t>
      </w:r>
      <w:proofErr w:type="spellStart"/>
      <w:r w:rsidRPr="00E62393">
        <w:rPr>
          <w:bCs/>
          <w:shd w:val="clear" w:color="auto" w:fill="FFFFFF"/>
        </w:rPr>
        <w:t>Ilozobhie</w:t>
      </w:r>
      <w:proofErr w:type="spellEnd"/>
      <w:r w:rsidRPr="00E62393">
        <w:rPr>
          <w:bCs/>
          <w:shd w:val="clear" w:color="auto" w:fill="FFFFFF"/>
        </w:rPr>
        <w:t xml:space="preserve">, A.J. and </w:t>
      </w:r>
      <w:proofErr w:type="spellStart"/>
      <w:r w:rsidRPr="00E62393">
        <w:rPr>
          <w:bCs/>
          <w:shd w:val="clear" w:color="auto" w:fill="FFFFFF"/>
        </w:rPr>
        <w:t>Osuala</w:t>
      </w:r>
      <w:proofErr w:type="spellEnd"/>
      <w:r w:rsidRPr="00E62393">
        <w:rPr>
          <w:bCs/>
          <w:shd w:val="clear" w:color="auto" w:fill="FFFFFF"/>
        </w:rPr>
        <w:t xml:space="preserve"> J.C. (2022).</w:t>
      </w:r>
      <w:proofErr w:type="gramEnd"/>
      <w:r w:rsidRPr="00E62393">
        <w:rPr>
          <w:bCs/>
          <w:shd w:val="clear" w:color="auto" w:fill="FFFFFF"/>
        </w:rPr>
        <w:t xml:space="preserve"> </w:t>
      </w:r>
      <w:proofErr w:type="gramStart"/>
      <w:r w:rsidRPr="00E62393">
        <w:t>Cogent prognostics of mello</w:t>
      </w:r>
      <w:r w:rsidR="00AB0962">
        <w:t xml:space="preserve">wed wax </w:t>
      </w:r>
      <w:proofErr w:type="spellStart"/>
      <w:r w:rsidR="00AB0962">
        <w:t>ubiety</w:t>
      </w:r>
      <w:proofErr w:type="spellEnd"/>
      <w:r w:rsidR="00AB0962">
        <w:t xml:space="preserve"> temperature mode</w:t>
      </w:r>
      <w:r w:rsidRPr="00E62393">
        <w:t>ling of Nigerian crude oil.</w:t>
      </w:r>
      <w:proofErr w:type="gramEnd"/>
      <w:r w:rsidRPr="00E62393">
        <w:t xml:space="preserve"> </w:t>
      </w:r>
      <w:r w:rsidRPr="00E62393">
        <w:rPr>
          <w:rFonts w:eastAsia="Times New Roman"/>
          <w:bCs/>
        </w:rPr>
        <w:t>SPE-212026-MS paper presented at the SPE Nigeria Annual International Conference and Exhibition, 1-3 August, Nigeria.</w:t>
      </w:r>
    </w:p>
    <w:p w:rsidR="00E62393" w:rsidRPr="00E62393" w:rsidRDefault="000E0012" w:rsidP="00E62393">
      <w:pPr>
        <w:pStyle w:val="ListParagraph"/>
        <w:spacing w:after="0"/>
        <w:ind w:left="750"/>
      </w:pPr>
      <w:hyperlink r:id="rId30" w:history="1">
        <w:r w:rsidR="00E62393" w:rsidRPr="00E62393">
          <w:rPr>
            <w:rStyle w:val="Hyperlink"/>
          </w:rPr>
          <w:t>https://doi.org/10.2118/212026-MS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r w:rsidRPr="0003547E">
        <w:t>Englezos</w:t>
      </w:r>
      <w:proofErr w:type="spellEnd"/>
      <w:r w:rsidRPr="0003547E">
        <w:t xml:space="preserve">, P., Mani, M. and Jacky, C. (2018). Gas Recovery </w:t>
      </w:r>
      <w:proofErr w:type="gramStart"/>
      <w:r w:rsidRPr="0003547E">
        <w:t>Through</w:t>
      </w:r>
      <w:proofErr w:type="gramEnd"/>
      <w:r w:rsidRPr="0003547E">
        <w:t xml:space="preserve"> the Injection of Carbon dioxide or Concentrated Flue Gas in a Natural Gas Hydrate Reservoir. OTC-28374-MS Paper Presented at the Offshore Technology Conference Asia, Kuala Lumpur, Malaysia, </w:t>
      </w:r>
      <w:proofErr w:type="gramStart"/>
      <w:r w:rsidRPr="0003547E">
        <w:t>March</w:t>
      </w:r>
      <w:proofErr w:type="gramEnd"/>
      <w:r w:rsidRPr="0003547E">
        <w:t xml:space="preserve">. </w:t>
      </w:r>
      <w:hyperlink r:id="rId31" w:history="1">
        <w:r w:rsidRPr="0003547E">
          <w:rPr>
            <w:rStyle w:val="Hyperlink"/>
          </w:rPr>
          <w:t>https://doi.org/10.4043/28374-MS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Fabien, P., </w:t>
      </w:r>
      <w:proofErr w:type="spellStart"/>
      <w:r w:rsidRPr="0003547E">
        <w:t>Celma</w:t>
      </w:r>
      <w:proofErr w:type="spellEnd"/>
      <w:r w:rsidRPr="0003547E">
        <w:t xml:space="preserve">, A., Mohammed, A., </w:t>
      </w:r>
      <w:proofErr w:type="spellStart"/>
      <w:r w:rsidRPr="0003547E">
        <w:t>Ambrosio</w:t>
      </w:r>
      <w:proofErr w:type="spellEnd"/>
      <w:r w:rsidRPr="0003547E">
        <w:t>, C., Alberto, P., Antonio, C. and Philippe, G. (2019).</w:t>
      </w:r>
      <w:proofErr w:type="gramEnd"/>
      <w:r w:rsidRPr="0003547E">
        <w:t xml:space="preserve"> Remediation of Hydrate Plug in Gas Export Line – A West Africa Deep Water Case. OTC-29946-MS Paper Presented at the Offshore Technology Conference Brazil, Rio De </w:t>
      </w:r>
      <w:proofErr w:type="spellStart"/>
      <w:r w:rsidRPr="0003547E">
        <w:t>Janerio</w:t>
      </w:r>
      <w:proofErr w:type="spellEnd"/>
      <w:r w:rsidRPr="0003547E">
        <w:t xml:space="preserve">, Brazil, </w:t>
      </w:r>
      <w:proofErr w:type="gramStart"/>
      <w:r w:rsidRPr="0003547E">
        <w:t>October</w:t>
      </w:r>
      <w:proofErr w:type="gramEnd"/>
      <w:r w:rsidRPr="0003547E">
        <w:t xml:space="preserve"> 28. </w:t>
      </w:r>
      <w:hyperlink r:id="rId32" w:history="1">
        <w:r w:rsidRPr="0003547E">
          <w:rPr>
            <w:rStyle w:val="Hyperlink"/>
          </w:rPr>
          <w:t>https://doi.org/10.4043/29946-MS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George, J.M., </w:t>
      </w:r>
      <w:proofErr w:type="spellStart"/>
      <w:r w:rsidRPr="0003547E">
        <w:t>Alenjandro</w:t>
      </w:r>
      <w:proofErr w:type="spellEnd"/>
      <w:r w:rsidRPr="0003547E">
        <w:t>, F.Q. and Mathew, T.R. (2018).</w:t>
      </w:r>
      <w:proofErr w:type="gramEnd"/>
      <w:r w:rsidRPr="0003547E">
        <w:t xml:space="preserve"> </w:t>
      </w:r>
      <w:proofErr w:type="spellStart"/>
      <w:proofErr w:type="gramStart"/>
      <w:r w:rsidRPr="0003547E">
        <w:t>Geomechanical</w:t>
      </w:r>
      <w:proofErr w:type="spellEnd"/>
      <w:r w:rsidRPr="0003547E">
        <w:t xml:space="preserve"> Stability and Overall System </w:t>
      </w:r>
      <w:proofErr w:type="spellStart"/>
      <w:r w:rsidRPr="0003547E">
        <w:t>Behaviour</w:t>
      </w:r>
      <w:proofErr w:type="spellEnd"/>
      <w:r w:rsidRPr="0003547E">
        <w:t xml:space="preserve"> of Sloping Oceanic Accumulations of Hydrates Responding to Dissociation Stimuli.</w:t>
      </w:r>
      <w:proofErr w:type="gramEnd"/>
      <w:r w:rsidRPr="0003547E">
        <w:t xml:space="preserve"> OTC-28496-MS Paper Presented at the Offshore Technology Conference Asia, Kuala Lumpur, Malaysia, </w:t>
      </w:r>
      <w:proofErr w:type="gramStart"/>
      <w:r w:rsidRPr="0003547E">
        <w:t>March</w:t>
      </w:r>
      <w:proofErr w:type="gramEnd"/>
      <w:r w:rsidRPr="0003547E">
        <w:t xml:space="preserve"> 20. </w:t>
      </w:r>
      <w:hyperlink r:id="rId33" w:history="1">
        <w:r w:rsidRPr="0003547E">
          <w:rPr>
            <w:rStyle w:val="Hyperlink"/>
          </w:rPr>
          <w:t>https://doi.org/10.4043/28496-MS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Hao</w:t>
      </w:r>
      <w:proofErr w:type="spellEnd"/>
      <w:r w:rsidRPr="0003547E">
        <w:t xml:space="preserve">, Q., </w:t>
      </w:r>
      <w:proofErr w:type="spellStart"/>
      <w:r w:rsidRPr="0003547E">
        <w:t>Angi</w:t>
      </w:r>
      <w:proofErr w:type="spellEnd"/>
      <w:r w:rsidRPr="0003547E">
        <w:t xml:space="preserve">, Q., Yan, W., Luis, Z., Carolyn, K., Scot, B., Sean, D., </w:t>
      </w:r>
      <w:proofErr w:type="spellStart"/>
      <w:r w:rsidRPr="0003547E">
        <w:t>Thiery</w:t>
      </w:r>
      <w:proofErr w:type="spellEnd"/>
      <w:r w:rsidRPr="0003547E">
        <w:t>, P. and Khalid, M. (2020).</w:t>
      </w:r>
      <w:proofErr w:type="gramEnd"/>
      <w:r w:rsidRPr="0003547E">
        <w:t xml:space="preserve"> Predicting Hydrate Plugging Risk in Oil Dominated Systems Using a Transient Hydrate Film Growth Prediction Tool. OTC-30545-MS Paper Presented at the Offshore Technology Conference, Houston, Texas, U.S.A., </w:t>
      </w:r>
      <w:proofErr w:type="gramStart"/>
      <w:r w:rsidRPr="0003547E">
        <w:t>May</w:t>
      </w:r>
      <w:proofErr w:type="gramEnd"/>
      <w:r w:rsidRPr="0003547E">
        <w:t xml:space="preserve">. </w:t>
      </w:r>
      <w:hyperlink r:id="rId34" w:history="1">
        <w:r w:rsidRPr="0003547E">
          <w:rPr>
            <w:rStyle w:val="Hyperlink"/>
          </w:rPr>
          <w:t>https://doi.org/10.4043/30545-MS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Hao</w:t>
      </w:r>
      <w:proofErr w:type="spellEnd"/>
      <w:r w:rsidRPr="0003547E">
        <w:t xml:space="preserve">, X., </w:t>
      </w:r>
      <w:proofErr w:type="spellStart"/>
      <w:r w:rsidRPr="0003547E">
        <w:t>Hao</w:t>
      </w:r>
      <w:proofErr w:type="spellEnd"/>
      <w:r w:rsidRPr="0003547E">
        <w:t>, L. and Jing, F. (2023).</w:t>
      </w:r>
      <w:proofErr w:type="gramEnd"/>
      <w:r w:rsidRPr="0003547E">
        <w:t xml:space="preserve"> </w:t>
      </w:r>
      <w:proofErr w:type="gramStart"/>
      <w:r w:rsidRPr="0003547E">
        <w:t>Gas Hydrate Structure Evolution Revealed by Coarsening Molecular Dynamics Simulation.</w:t>
      </w:r>
      <w:proofErr w:type="gramEnd"/>
      <w:r w:rsidRPr="0003547E">
        <w:t xml:space="preserve"> URTEC-3817836-MS Paper Presented at the SPE/AAPG/SEG Unconventional Resources Technology Conference, Denver, Colorado, U.S.A., June. </w:t>
      </w:r>
      <w:hyperlink r:id="rId35" w:history="1">
        <w:r w:rsidRPr="0003547E">
          <w:rPr>
            <w:rStyle w:val="Hyperlink"/>
          </w:rPr>
          <w:t>https://doi.org/10.15530/urtec-2023-3817836</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Harris, S.R., Muhammad, S.K., </w:t>
      </w:r>
      <w:proofErr w:type="spellStart"/>
      <w:r w:rsidRPr="0003547E">
        <w:t>Qureshi</w:t>
      </w:r>
      <w:proofErr w:type="spellEnd"/>
      <w:r w:rsidRPr="0003547E">
        <w:t xml:space="preserve">, M.A., Mohammad, A.R., Thomas, S. and </w:t>
      </w:r>
      <w:proofErr w:type="spellStart"/>
      <w:r w:rsidRPr="0003547E">
        <w:t>Bhajan</w:t>
      </w:r>
      <w:proofErr w:type="spellEnd"/>
      <w:r w:rsidRPr="0003547E">
        <w:t>, L. (2022).</w:t>
      </w:r>
      <w:proofErr w:type="gramEnd"/>
      <w:r w:rsidRPr="0003547E">
        <w:t xml:space="preserve"> </w:t>
      </w:r>
      <w:proofErr w:type="gramStart"/>
      <w:r w:rsidRPr="0003547E">
        <w:t>Analytical Modeling of Gas Hydrates in Porous Media.</w:t>
      </w:r>
      <w:proofErr w:type="gramEnd"/>
      <w:r w:rsidRPr="0003547E">
        <w:t xml:space="preserve"> OTC-31645-MS Paper Presented at the Offshore Technology Conference Asia, Virtual and Kuala Lumpur, Malaysia, March 18. </w:t>
      </w:r>
      <w:hyperlink r:id="rId36" w:history="1">
        <w:r w:rsidRPr="0003547E">
          <w:rPr>
            <w:rStyle w:val="Hyperlink"/>
          </w:rPr>
          <w:t>https://doi.org/10.4043/31645-MS</w:t>
        </w:r>
      </w:hyperlink>
    </w:p>
    <w:p w:rsidR="00E62393" w:rsidRDefault="0003547E" w:rsidP="00E62393">
      <w:pPr>
        <w:shd w:val="clear" w:color="auto" w:fill="FFFFFF"/>
        <w:spacing w:after="0" w:line="240" w:lineRule="auto"/>
        <w:ind w:left="720" w:hanging="720"/>
        <w:contextualSpacing/>
        <w:jc w:val="both"/>
        <w:textAlignment w:val="baseline"/>
      </w:pPr>
      <w:proofErr w:type="spellStart"/>
      <w:r w:rsidRPr="0003547E">
        <w:t>Ibim</w:t>
      </w:r>
      <w:proofErr w:type="spellEnd"/>
      <w:r w:rsidRPr="0003547E">
        <w:t xml:space="preserve">, A.G., </w:t>
      </w:r>
      <w:proofErr w:type="spellStart"/>
      <w:r w:rsidRPr="0003547E">
        <w:t>Kelechi</w:t>
      </w:r>
      <w:proofErr w:type="spellEnd"/>
      <w:r w:rsidRPr="0003547E">
        <w:t xml:space="preserve">, U.U., </w:t>
      </w:r>
      <w:proofErr w:type="spellStart"/>
      <w:r w:rsidRPr="0003547E">
        <w:t>Okafor</w:t>
      </w:r>
      <w:proofErr w:type="spellEnd"/>
      <w:r w:rsidRPr="0003547E">
        <w:t xml:space="preserve">, G.O. (2020). </w:t>
      </w:r>
      <w:proofErr w:type="gramStart"/>
      <w:r w:rsidRPr="0003547E">
        <w:t>Critical Analysis of Gas Hydrate Formation and Prevention in Gas Well Facilities in Nigeria Oil Rich Region.</w:t>
      </w:r>
      <w:proofErr w:type="gramEnd"/>
      <w:r w:rsidRPr="0003547E">
        <w:t xml:space="preserve"> International Journal of Scientific Innovations, 8(01); 236-245.</w:t>
      </w:r>
    </w:p>
    <w:p w:rsidR="00E62393" w:rsidRPr="00E62393" w:rsidRDefault="00E62393" w:rsidP="00E62393">
      <w:pPr>
        <w:shd w:val="clear" w:color="auto" w:fill="FFFFFF"/>
        <w:spacing w:after="0" w:line="240" w:lineRule="auto"/>
        <w:ind w:left="720" w:hanging="720"/>
        <w:contextualSpacing/>
        <w:jc w:val="both"/>
        <w:textAlignment w:val="baseline"/>
      </w:pPr>
      <w:proofErr w:type="spellStart"/>
      <w:r w:rsidRPr="00E62393">
        <w:t>Ilozobhie</w:t>
      </w:r>
      <w:proofErr w:type="spellEnd"/>
      <w:r w:rsidRPr="00E62393">
        <w:t xml:space="preserve">, A.J., </w:t>
      </w:r>
      <w:proofErr w:type="spellStart"/>
      <w:r w:rsidRPr="00E62393">
        <w:t>Obalola</w:t>
      </w:r>
      <w:proofErr w:type="spellEnd"/>
      <w:r w:rsidRPr="00E62393">
        <w:t xml:space="preserve">, H.A., Egu, D.I. and </w:t>
      </w:r>
      <w:proofErr w:type="spellStart"/>
      <w:r w:rsidRPr="00E62393">
        <w:t>Okpata</w:t>
      </w:r>
      <w:proofErr w:type="spellEnd"/>
      <w:r w:rsidRPr="00E62393">
        <w:t xml:space="preserve">, J.B. (2023): A Review of Multiphase Flow Modeling in Horizontal and Vertical Wells. International Journal of Novel Research and Development (IJNRD), vol.8, issue 10, 1-12. </w:t>
      </w:r>
      <w:hyperlink r:id="rId37" w:history="1">
        <w:r w:rsidRPr="00E62393">
          <w:rPr>
            <w:rStyle w:val="Hyperlink"/>
          </w:rPr>
          <w:t>https://www.ijnrd.org/papers/IJNRD2310379</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Jakyung</w:t>
      </w:r>
      <w:proofErr w:type="spellEnd"/>
      <w:r w:rsidRPr="0003547E">
        <w:t xml:space="preserve">, K., </w:t>
      </w:r>
      <w:proofErr w:type="spellStart"/>
      <w:r w:rsidRPr="0003547E">
        <w:t>Daejun</w:t>
      </w:r>
      <w:proofErr w:type="spellEnd"/>
      <w:r w:rsidRPr="0003547E">
        <w:t xml:space="preserve">, C., Park, K. and </w:t>
      </w:r>
      <w:proofErr w:type="spellStart"/>
      <w:r w:rsidRPr="0003547E">
        <w:t>Seo</w:t>
      </w:r>
      <w:proofErr w:type="spellEnd"/>
      <w:r w:rsidRPr="0003547E">
        <w:t>, Y. (2018).</w:t>
      </w:r>
      <w:proofErr w:type="gramEnd"/>
      <w:r w:rsidRPr="0003547E">
        <w:t xml:space="preserve"> Risk Management of Hydrate Reformation Using Synergistic Inhibition </w:t>
      </w:r>
      <w:proofErr w:type="gramStart"/>
      <w:r w:rsidRPr="0003547E">
        <w:t>During</w:t>
      </w:r>
      <w:proofErr w:type="gramEnd"/>
      <w:r w:rsidRPr="0003547E">
        <w:t xml:space="preserve"> Methane Hydrate Production. ISOPE-I-18-653 Paper Presented at the 28</w:t>
      </w:r>
      <w:r w:rsidRPr="0003547E">
        <w:rPr>
          <w:vertAlign w:val="superscript"/>
        </w:rPr>
        <w:t>th</w:t>
      </w:r>
      <w:r w:rsidRPr="0003547E">
        <w:t xml:space="preserve"> International Ocean and Polar Engineering Conference, Sapporo, Japan, June 10.</w:t>
      </w:r>
    </w:p>
    <w:p w:rsidR="0003547E" w:rsidRPr="0003547E" w:rsidRDefault="0003547E" w:rsidP="00B5316F">
      <w:pPr>
        <w:shd w:val="clear" w:color="auto" w:fill="FFFFFF"/>
        <w:spacing w:after="0" w:line="240" w:lineRule="auto"/>
        <w:ind w:left="720" w:hanging="720"/>
        <w:contextualSpacing/>
        <w:jc w:val="both"/>
        <w:textAlignment w:val="baseline"/>
      </w:pPr>
      <w:proofErr w:type="spellStart"/>
      <w:r w:rsidRPr="0003547E">
        <w:t>Jianbo</w:t>
      </w:r>
      <w:proofErr w:type="spellEnd"/>
      <w:r w:rsidRPr="0003547E">
        <w:t xml:space="preserve">, Z., </w:t>
      </w:r>
      <w:proofErr w:type="spellStart"/>
      <w:r w:rsidRPr="0003547E">
        <w:t>Shujie</w:t>
      </w:r>
      <w:proofErr w:type="spellEnd"/>
      <w:r w:rsidRPr="0003547E">
        <w:t xml:space="preserve">, L., </w:t>
      </w:r>
      <w:proofErr w:type="spellStart"/>
      <w:r w:rsidRPr="0003547E">
        <w:t>Yilong</w:t>
      </w:r>
      <w:proofErr w:type="spellEnd"/>
      <w:r w:rsidRPr="0003547E">
        <w:t xml:space="preserve">, X., </w:t>
      </w:r>
      <w:proofErr w:type="spellStart"/>
      <w:r w:rsidRPr="0003547E">
        <w:t>Binbin</w:t>
      </w:r>
      <w:proofErr w:type="spellEnd"/>
      <w:r w:rsidRPr="0003547E">
        <w:t xml:space="preserve">, Z., Wang, Z., Yin, B., </w:t>
      </w:r>
      <w:proofErr w:type="spellStart"/>
      <w:r w:rsidRPr="0003547E">
        <w:t>Shuxia</w:t>
      </w:r>
      <w:proofErr w:type="spellEnd"/>
      <w:r w:rsidRPr="0003547E">
        <w:t xml:space="preserve">, L., </w:t>
      </w:r>
      <w:proofErr w:type="spellStart"/>
      <w:proofErr w:type="gramStart"/>
      <w:r w:rsidRPr="0003547E">
        <w:t>Gao</w:t>
      </w:r>
      <w:proofErr w:type="spellEnd"/>
      <w:proofErr w:type="gramEnd"/>
      <w:r w:rsidRPr="0003547E">
        <w:t xml:space="preserve">, Y. and </w:t>
      </w:r>
      <w:proofErr w:type="spellStart"/>
      <w:r w:rsidRPr="0003547E">
        <w:t>Baojing</w:t>
      </w:r>
      <w:proofErr w:type="spellEnd"/>
      <w:r w:rsidRPr="0003547E">
        <w:t xml:space="preserve">, S. (2023). </w:t>
      </w:r>
      <w:proofErr w:type="gramStart"/>
      <w:r w:rsidRPr="0003547E">
        <w:t xml:space="preserve">Experimental Investigation on Hydrate Formation and Decomposition </w:t>
      </w:r>
      <w:proofErr w:type="spellStart"/>
      <w:r w:rsidRPr="0003547E">
        <w:t>Behaviour</w:t>
      </w:r>
      <w:proofErr w:type="spellEnd"/>
      <w:r w:rsidRPr="0003547E">
        <w:t xml:space="preserve"> in Micro-pore Channels.</w:t>
      </w:r>
      <w:proofErr w:type="gramEnd"/>
      <w:r w:rsidRPr="0003547E">
        <w:t xml:space="preserve"> SPE-216581-MS Paper Presented at the ADIPEC, Abu Dhabi, United Arab Emirate, </w:t>
      </w:r>
      <w:proofErr w:type="gramStart"/>
      <w:r w:rsidRPr="0003547E">
        <w:t>October</w:t>
      </w:r>
      <w:proofErr w:type="gramEnd"/>
      <w:r w:rsidRPr="0003547E">
        <w:t xml:space="preserve"> 2. </w:t>
      </w:r>
      <w:hyperlink r:id="rId38" w:history="1">
        <w:r w:rsidRPr="0003547E">
          <w:rPr>
            <w:rStyle w:val="Hyperlink"/>
          </w:rPr>
          <w:t>https://doi.org/10.2118/216581-MS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Jose, G.D., </w:t>
      </w:r>
      <w:proofErr w:type="spellStart"/>
      <w:r w:rsidRPr="0003547E">
        <w:t>Salmin</w:t>
      </w:r>
      <w:proofErr w:type="spellEnd"/>
      <w:r w:rsidRPr="0003547E">
        <w:t>, D.C., Stoner, H., Wu, D., Luis, E.Z., Carolyn, A.K., Khalid, M., Scot, B., Philippe, P. and Adriana, T. (2020).</w:t>
      </w:r>
      <w:proofErr w:type="gramEnd"/>
      <w:r w:rsidRPr="0003547E">
        <w:t xml:space="preserve"> </w:t>
      </w:r>
      <w:proofErr w:type="gramStart"/>
      <w:r w:rsidRPr="0003547E">
        <w:t xml:space="preserve">Effect of Alcohols on </w:t>
      </w:r>
      <w:proofErr w:type="spellStart"/>
      <w:r w:rsidRPr="0003547E">
        <w:t>Asphaltene</w:t>
      </w:r>
      <w:proofErr w:type="spellEnd"/>
      <w:r w:rsidRPr="0003547E">
        <w:t xml:space="preserve">-Particle Size and Hydrate Non-Plugging </w:t>
      </w:r>
      <w:proofErr w:type="spellStart"/>
      <w:r w:rsidRPr="0003547E">
        <w:t>Behaviour</w:t>
      </w:r>
      <w:proofErr w:type="spellEnd"/>
      <w:r w:rsidRPr="0003547E">
        <w:t xml:space="preserve"> of Crude Oil.</w:t>
      </w:r>
      <w:proofErr w:type="gramEnd"/>
      <w:r w:rsidRPr="0003547E">
        <w:t xml:space="preserve"> OTC-30916-MS Paper Presented at the Offshore Technology Conference, Houston, Texas, U.S.A., </w:t>
      </w:r>
      <w:proofErr w:type="gramStart"/>
      <w:r w:rsidRPr="0003547E">
        <w:t>May</w:t>
      </w:r>
      <w:proofErr w:type="gramEnd"/>
      <w:r w:rsidRPr="0003547E">
        <w:t xml:space="preserve">. </w:t>
      </w:r>
      <w:hyperlink r:id="rId39" w:history="1">
        <w:r w:rsidRPr="0003547E">
          <w:rPr>
            <w:rStyle w:val="Hyperlink"/>
          </w:rPr>
          <w:t>https://doi.org/10.4043/30916-MS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Jose, G.D., Ahmad, A.A., Luis, E.Z. and Carolyn, A.K. (2021).</w:t>
      </w:r>
      <w:proofErr w:type="gramEnd"/>
      <w:r w:rsidRPr="0003547E">
        <w:t xml:space="preserve"> </w:t>
      </w:r>
      <w:proofErr w:type="gramStart"/>
      <w:r w:rsidRPr="0003547E">
        <w:t>Reducing THI Injection and Gas Hydrate Agglomeration by Under Inhibition of Crude Oil Systems.</w:t>
      </w:r>
      <w:proofErr w:type="gramEnd"/>
      <w:r w:rsidRPr="0003547E">
        <w:t xml:space="preserve"> OTC-31161-MS Paper Presented at the Offshore Technical Conference, Virtual and Houston, Texas, U.S.A., August 09. </w:t>
      </w:r>
      <w:hyperlink r:id="rId40" w:history="1">
        <w:r w:rsidRPr="0003547E">
          <w:rPr>
            <w:rStyle w:val="Hyperlink"/>
          </w:rPr>
          <w:t>https://doi.org/10.4043/31161-MS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r w:rsidRPr="0003547E">
        <w:lastRenderedPageBreak/>
        <w:t>Kelland</w:t>
      </w:r>
      <w:proofErr w:type="spellEnd"/>
      <w:r w:rsidRPr="0003547E">
        <w:t xml:space="preserve">, M.A. (2019). </w:t>
      </w:r>
      <w:proofErr w:type="gramStart"/>
      <w:r w:rsidRPr="0003547E">
        <w:t>Challenges with Gas Hydrate Formation.</w:t>
      </w:r>
      <w:proofErr w:type="gramEnd"/>
      <w:r w:rsidRPr="0003547E">
        <w:t xml:space="preserve"> IOP Conference Series: Materials Science and Engineering, 700(2019); 012057. </w:t>
      </w:r>
      <w:hyperlink r:id="rId41" w:history="1">
        <w:r w:rsidRPr="0003547E">
          <w:rPr>
            <w:rStyle w:val="Hyperlink"/>
          </w:rPr>
          <w:t>https://doi.org/10.1088/1757-899X/700/1/012057</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Melchuna</w:t>
      </w:r>
      <w:proofErr w:type="spellEnd"/>
      <w:r w:rsidRPr="0003547E">
        <w:t xml:space="preserve">, A., </w:t>
      </w:r>
      <w:proofErr w:type="spellStart"/>
      <w:r w:rsidRPr="0003547E">
        <w:t>Glenat</w:t>
      </w:r>
      <w:proofErr w:type="spellEnd"/>
      <w:r w:rsidRPr="0003547E">
        <w:t xml:space="preserve">, P., </w:t>
      </w:r>
      <w:proofErr w:type="spellStart"/>
      <w:r w:rsidRPr="0003547E">
        <w:t>Rivero</w:t>
      </w:r>
      <w:proofErr w:type="spellEnd"/>
      <w:r w:rsidRPr="0003547E">
        <w:t>, M. and Sum, A.K. (2018).</w:t>
      </w:r>
      <w:proofErr w:type="gramEnd"/>
      <w:r w:rsidRPr="0003547E">
        <w:t xml:space="preserve"> </w:t>
      </w:r>
      <w:proofErr w:type="gramStart"/>
      <w:r w:rsidRPr="0003547E">
        <w:t>Measurements of Dispersant Additive on Hydrate Slurry Transport.</w:t>
      </w:r>
      <w:proofErr w:type="gramEnd"/>
      <w:r w:rsidRPr="0003547E">
        <w:t xml:space="preserve"> BHR-2018-143 Paper Presented at the 11</w:t>
      </w:r>
      <w:r w:rsidRPr="0003547E">
        <w:rPr>
          <w:vertAlign w:val="superscript"/>
        </w:rPr>
        <w:t>th</w:t>
      </w:r>
      <w:r w:rsidRPr="0003547E">
        <w:t xml:space="preserve"> North American Conference on Multiphase Production Technology, Banff, Canada </w:t>
      </w:r>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Moghaddam</w:t>
      </w:r>
      <w:proofErr w:type="spellEnd"/>
      <w:r w:rsidRPr="0003547E">
        <w:t xml:space="preserve">, F.S., </w:t>
      </w:r>
      <w:proofErr w:type="spellStart"/>
      <w:r w:rsidRPr="0003547E">
        <w:t>Abdi</w:t>
      </w:r>
      <w:proofErr w:type="spellEnd"/>
      <w:r w:rsidRPr="0003547E">
        <w:t>, M.A. and James, L.A. (2024).</w:t>
      </w:r>
      <w:proofErr w:type="gramEnd"/>
      <w:r w:rsidRPr="0003547E">
        <w:t xml:space="preserve"> Investigating the Effects of Carbon Dioxide Concentration on Hydrate Formation Risk </w:t>
      </w:r>
      <w:proofErr w:type="gramStart"/>
      <w:r w:rsidRPr="0003547E">
        <w:t>From</w:t>
      </w:r>
      <w:proofErr w:type="gramEnd"/>
      <w:r w:rsidRPr="0003547E">
        <w:t xml:space="preserve"> Water Alternating Gas (WAG) Changeover Operations. SPE-218101-MS Paper Presented at the SPE Canadian Energy Technology Conference and Exhibition, Calgary, Alberta, Canada, March 12. </w:t>
      </w:r>
      <w:hyperlink r:id="rId42" w:history="1">
        <w:r w:rsidRPr="0003547E">
          <w:rPr>
            <w:rStyle w:val="Hyperlink"/>
          </w:rPr>
          <w:t>https://doi.org/10.2118/218101-MS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Narendra</w:t>
      </w:r>
      <w:proofErr w:type="spellEnd"/>
      <w:r w:rsidRPr="0003547E">
        <w:t xml:space="preserve">, K., </w:t>
      </w:r>
      <w:proofErr w:type="spellStart"/>
      <w:r w:rsidRPr="0003547E">
        <w:t>Niaz</w:t>
      </w:r>
      <w:proofErr w:type="spellEnd"/>
      <w:r w:rsidRPr="0003547E">
        <w:t>, B.C. and Juan, G.B. (2019).</w:t>
      </w:r>
      <w:proofErr w:type="gramEnd"/>
      <w:r w:rsidRPr="0003547E">
        <w:t xml:space="preserve"> </w:t>
      </w:r>
      <w:proofErr w:type="gramStart"/>
      <w:r w:rsidRPr="0003547E">
        <w:t>A 3-in-1 Approach to Evaluate Gas Hydrate Inhibitors.</w:t>
      </w:r>
      <w:proofErr w:type="gramEnd"/>
      <w:r w:rsidRPr="0003547E">
        <w:t xml:space="preserve"> Energies, 12 (2921); 1-17. </w:t>
      </w:r>
      <w:hyperlink r:id="rId43" w:history="1">
        <w:r w:rsidRPr="0003547E">
          <w:rPr>
            <w:rStyle w:val="Hyperlink"/>
          </w:rPr>
          <w:t>https://doi.org/10.3390/en12152921</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Nielsen, R.B. and Bucklin, R.W. (1983).</w:t>
      </w:r>
      <w:proofErr w:type="gramEnd"/>
      <w:r w:rsidRPr="0003547E">
        <w:t xml:space="preserve"> Why Not Use Methanol for Hydrate Control? </w:t>
      </w:r>
      <w:proofErr w:type="gramStart"/>
      <w:r w:rsidRPr="0003547E">
        <w:t>Hydro.</w:t>
      </w:r>
      <w:proofErr w:type="gramEnd"/>
      <w:r w:rsidRPr="0003547E">
        <w:t xml:space="preserve"> Proceedings, 55(04): 71-75.</w:t>
      </w:r>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Okereke</w:t>
      </w:r>
      <w:proofErr w:type="spellEnd"/>
      <w:r w:rsidRPr="0003547E">
        <w:t xml:space="preserve">, N., </w:t>
      </w:r>
      <w:proofErr w:type="spellStart"/>
      <w:r w:rsidRPr="0003547E">
        <w:t>Edet</w:t>
      </w:r>
      <w:proofErr w:type="spellEnd"/>
      <w:r w:rsidRPr="0003547E">
        <w:t xml:space="preserve">, P., </w:t>
      </w:r>
      <w:proofErr w:type="spellStart"/>
      <w:r w:rsidRPr="0003547E">
        <w:t>Afolabi</w:t>
      </w:r>
      <w:proofErr w:type="spellEnd"/>
      <w:r w:rsidRPr="0003547E">
        <w:t xml:space="preserve">, F., </w:t>
      </w:r>
      <w:proofErr w:type="spellStart"/>
      <w:r w:rsidRPr="0003547E">
        <w:t>Izuwa</w:t>
      </w:r>
      <w:proofErr w:type="spellEnd"/>
      <w:r w:rsidRPr="0003547E">
        <w:t xml:space="preserve">, N., </w:t>
      </w:r>
      <w:proofErr w:type="spellStart"/>
      <w:r w:rsidRPr="0003547E">
        <w:t>Kanshio</w:t>
      </w:r>
      <w:proofErr w:type="spellEnd"/>
      <w:r w:rsidRPr="0003547E">
        <w:t xml:space="preserve">, S., </w:t>
      </w:r>
      <w:proofErr w:type="spellStart"/>
      <w:r w:rsidRPr="0003547E">
        <w:t>Nwogo</w:t>
      </w:r>
      <w:proofErr w:type="spellEnd"/>
      <w:r w:rsidRPr="0003547E">
        <w:t xml:space="preserve">, N., </w:t>
      </w:r>
      <w:proofErr w:type="spellStart"/>
      <w:r w:rsidRPr="0003547E">
        <w:t>Nwanwe</w:t>
      </w:r>
      <w:proofErr w:type="spellEnd"/>
      <w:r w:rsidRPr="0003547E">
        <w:t xml:space="preserve">, O. and </w:t>
      </w:r>
      <w:proofErr w:type="spellStart"/>
      <w:r w:rsidRPr="0003547E">
        <w:t>Odo</w:t>
      </w:r>
      <w:proofErr w:type="spellEnd"/>
      <w:r w:rsidRPr="0003547E">
        <w:t>, J. (2020).</w:t>
      </w:r>
      <w:proofErr w:type="gramEnd"/>
      <w:r w:rsidRPr="0003547E">
        <w:t xml:space="preserve"> </w:t>
      </w:r>
      <w:proofErr w:type="gramStart"/>
      <w:r w:rsidRPr="0003547E">
        <w:t>Techno-Economic Assessment of the Hydrate Mitigation Potential of LDHI and MEG in Deep Water Scenario.</w:t>
      </w:r>
      <w:proofErr w:type="gramEnd"/>
      <w:r w:rsidRPr="0003547E">
        <w:t xml:space="preserve"> SPE-203665-MS Paper Presented at the Nigeria Annual International Conference and Exhibition, Victoria Island, Lagos, Nigeria, 11-13 August. </w:t>
      </w:r>
      <w:hyperlink r:id="rId44" w:history="1">
        <w:r w:rsidRPr="0003547E">
          <w:rPr>
            <w:rStyle w:val="Hyperlink"/>
          </w:rPr>
          <w:t>https://doi.org/10.2118/203665-MS</w:t>
        </w:r>
      </w:hyperlink>
    </w:p>
    <w:p w:rsidR="0003547E" w:rsidRPr="0003547E" w:rsidRDefault="0003547E" w:rsidP="00B5316F">
      <w:pPr>
        <w:shd w:val="clear" w:color="auto" w:fill="FFFFFF"/>
        <w:spacing w:after="0" w:line="240" w:lineRule="auto"/>
        <w:ind w:left="720" w:hanging="720"/>
        <w:contextualSpacing/>
        <w:jc w:val="both"/>
        <w:textAlignment w:val="baseline"/>
      </w:pPr>
      <w:r w:rsidRPr="0003547E">
        <w:t xml:space="preserve">Paul, C. and Rolf, S. (2023). A Novel Technology to Efficiently Detect Hydrate Formation in </w:t>
      </w:r>
      <w:proofErr w:type="spellStart"/>
      <w:r w:rsidRPr="0003547E">
        <w:t>Sunsea</w:t>
      </w:r>
      <w:proofErr w:type="spellEnd"/>
      <w:r w:rsidRPr="0003547E">
        <w:t xml:space="preserve"> Flow lines. OTC-32470-MS Paper Presented at the Offshore Technology Conference, Houston Texas, U.S.A., </w:t>
      </w:r>
      <w:proofErr w:type="gramStart"/>
      <w:r w:rsidRPr="0003547E">
        <w:t>May</w:t>
      </w:r>
      <w:proofErr w:type="gramEnd"/>
      <w:r w:rsidRPr="0003547E">
        <w:t xml:space="preserve">. </w:t>
      </w:r>
      <w:hyperlink r:id="rId45" w:history="1">
        <w:r w:rsidRPr="0003547E">
          <w:rPr>
            <w:rStyle w:val="Hyperlink"/>
          </w:rPr>
          <w:t>https://doi.org/10.4043/32470-MS</w:t>
        </w:r>
      </w:hyperlink>
      <w:r w:rsidRPr="0003547E">
        <w:t xml:space="preserve"> </w:t>
      </w:r>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Pawan</w:t>
      </w:r>
      <w:proofErr w:type="spellEnd"/>
      <w:r w:rsidRPr="0003547E">
        <w:t xml:space="preserve">, G. and </w:t>
      </w:r>
      <w:proofErr w:type="spellStart"/>
      <w:r w:rsidRPr="0003547E">
        <w:t>Jitendra</w:t>
      </w:r>
      <w:proofErr w:type="spellEnd"/>
      <w:r w:rsidRPr="0003547E">
        <w:t>, S.S. (2018).</w:t>
      </w:r>
      <w:proofErr w:type="gramEnd"/>
      <w:r w:rsidRPr="0003547E">
        <w:t xml:space="preserve"> </w:t>
      </w:r>
      <w:proofErr w:type="gramStart"/>
      <w:r w:rsidRPr="0003547E">
        <w:t>Semi-</w:t>
      </w:r>
      <w:proofErr w:type="spellStart"/>
      <w:r w:rsidRPr="0003547E">
        <w:t>Clathrate</w:t>
      </w:r>
      <w:proofErr w:type="spellEnd"/>
      <w:r w:rsidRPr="0003547E">
        <w:t xml:space="preserve"> Hydrate of Methane and Quaternary Ammonium Salts for Natural Gas Storage and Gas Separation.</w:t>
      </w:r>
      <w:proofErr w:type="gramEnd"/>
      <w:r w:rsidRPr="0003547E">
        <w:t xml:space="preserve"> OTC-28266-MS Paper Presented at the Offshore Technology Conference Asia, Kuala Lumpur, Malaysia, </w:t>
      </w:r>
      <w:proofErr w:type="gramStart"/>
      <w:r w:rsidRPr="0003547E">
        <w:t>March</w:t>
      </w:r>
      <w:proofErr w:type="gramEnd"/>
      <w:r w:rsidRPr="0003547E">
        <w:t xml:space="preserve">. </w:t>
      </w:r>
      <w:hyperlink r:id="rId46" w:history="1">
        <w:r w:rsidRPr="0003547E">
          <w:rPr>
            <w:rStyle w:val="Hyperlink"/>
          </w:rPr>
          <w:t>https://doi.org/10.4043/28266-MS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Prajaka</w:t>
      </w:r>
      <w:proofErr w:type="spellEnd"/>
      <w:r w:rsidRPr="0003547E">
        <w:t xml:space="preserve">, J.A., </w:t>
      </w:r>
      <w:proofErr w:type="spellStart"/>
      <w:r w:rsidRPr="0003547E">
        <w:t>Himawan</w:t>
      </w:r>
      <w:proofErr w:type="spellEnd"/>
      <w:r w:rsidRPr="0003547E">
        <w:t xml:space="preserve">, J., </w:t>
      </w:r>
      <w:proofErr w:type="spellStart"/>
      <w:r w:rsidRPr="0003547E">
        <w:t>Affandy</w:t>
      </w:r>
      <w:proofErr w:type="spellEnd"/>
      <w:r w:rsidRPr="0003547E">
        <w:t xml:space="preserve">, S.A., </w:t>
      </w:r>
      <w:proofErr w:type="spellStart"/>
      <w:r w:rsidRPr="0003547E">
        <w:t>Sutikno</w:t>
      </w:r>
      <w:proofErr w:type="spellEnd"/>
      <w:r w:rsidRPr="0003547E">
        <w:t xml:space="preserve">, J.P. and </w:t>
      </w:r>
      <w:proofErr w:type="spellStart"/>
      <w:r w:rsidRPr="0003547E">
        <w:t>Handogo</w:t>
      </w:r>
      <w:proofErr w:type="spellEnd"/>
      <w:r w:rsidRPr="0003547E">
        <w:t>, R. (2018).</w:t>
      </w:r>
      <w:proofErr w:type="gramEnd"/>
      <w:r w:rsidRPr="0003547E">
        <w:t xml:space="preserve"> Hydrate Formation Calculation in the Natural Gas Purification Unit. IOP Conference Series: Material Science and Engineering, 543(2019): 012084. </w:t>
      </w:r>
      <w:hyperlink r:id="rId47" w:history="1">
        <w:r w:rsidRPr="0003547E">
          <w:rPr>
            <w:rStyle w:val="Hyperlink"/>
          </w:rPr>
          <w:t>https://doi.org/10.1088/1757-899X/543/1/012084</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Qin, H., </w:t>
      </w:r>
      <w:proofErr w:type="spellStart"/>
      <w:r w:rsidRPr="0003547E">
        <w:t>Vishal</w:t>
      </w:r>
      <w:proofErr w:type="spellEnd"/>
      <w:r w:rsidRPr="0003547E">
        <w:t xml:space="preserve">, S., </w:t>
      </w:r>
      <w:proofErr w:type="spellStart"/>
      <w:r w:rsidRPr="0003547E">
        <w:t>Hua</w:t>
      </w:r>
      <w:proofErr w:type="spellEnd"/>
      <w:r w:rsidRPr="0003547E">
        <w:t xml:space="preserve">, W., Luis, E.Z. and </w:t>
      </w:r>
      <w:proofErr w:type="spellStart"/>
      <w:r w:rsidRPr="0003547E">
        <w:t>Koh</w:t>
      </w:r>
      <w:proofErr w:type="spellEnd"/>
      <w:r w:rsidRPr="0003547E">
        <w:t>, C.A. (2019).</w:t>
      </w:r>
      <w:proofErr w:type="gramEnd"/>
      <w:r w:rsidRPr="0003547E">
        <w:t xml:space="preserve"> Machine Learning Models to Predict Gas Hydrate Plugging Risks Using Flow Loop and Field Data. OTC-29411-MS Paper Presented at the Offshore Technology Conference, Houston Texas, U.S.A., </w:t>
      </w:r>
      <w:proofErr w:type="gramStart"/>
      <w:r w:rsidRPr="0003547E">
        <w:t>May</w:t>
      </w:r>
      <w:proofErr w:type="gramEnd"/>
      <w:r w:rsidRPr="0003547E">
        <w:t xml:space="preserve">. </w:t>
      </w:r>
      <w:hyperlink r:id="rId48" w:history="1">
        <w:r w:rsidRPr="0003547E">
          <w:rPr>
            <w:rStyle w:val="Hyperlink"/>
          </w:rPr>
          <w:t>https://doi.org/10.4043/29411-MS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Saket</w:t>
      </w:r>
      <w:proofErr w:type="spellEnd"/>
      <w:r w:rsidRPr="0003547E">
        <w:t xml:space="preserve">, K.S., </w:t>
      </w:r>
      <w:proofErr w:type="spellStart"/>
      <w:r w:rsidRPr="0003547E">
        <w:t>Saket</w:t>
      </w:r>
      <w:proofErr w:type="spellEnd"/>
      <w:r w:rsidRPr="0003547E">
        <w:t xml:space="preserve">, K. and </w:t>
      </w:r>
      <w:proofErr w:type="spellStart"/>
      <w:r w:rsidRPr="0003547E">
        <w:t>Arvind</w:t>
      </w:r>
      <w:proofErr w:type="spellEnd"/>
      <w:r w:rsidRPr="0003547E">
        <w:t>, K. (2023).</w:t>
      </w:r>
      <w:proofErr w:type="gramEnd"/>
      <w:r w:rsidRPr="0003547E">
        <w:t xml:space="preserve"> Methanol Recovery with Carbon dioxide Sequestration as Hydrates in Deep Marine Environments: An Extensive Examination of Potential, Technical Advancements, and Economic Feasibility. SPE-217277-MS Paper Presented at the Asia-Pacific Unconventional Resources Symposium, Brisbane, Australia, </w:t>
      </w:r>
      <w:proofErr w:type="gramStart"/>
      <w:r w:rsidRPr="0003547E">
        <w:t>November</w:t>
      </w:r>
      <w:proofErr w:type="gramEnd"/>
      <w:r w:rsidRPr="0003547E">
        <w:t xml:space="preserve">. </w:t>
      </w:r>
      <w:hyperlink r:id="rId49" w:history="1">
        <w:r w:rsidRPr="0003547E">
          <w:rPr>
            <w:rStyle w:val="Hyperlink"/>
          </w:rPr>
          <w:t>https://doi.org/10.2118/217277-MS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Sayani</w:t>
      </w:r>
      <w:proofErr w:type="spellEnd"/>
      <w:r w:rsidRPr="0003547E">
        <w:t xml:space="preserve">, J.K., </w:t>
      </w:r>
      <w:proofErr w:type="spellStart"/>
      <w:r w:rsidRPr="0003547E">
        <w:t>Yadavalli</w:t>
      </w:r>
      <w:proofErr w:type="spellEnd"/>
      <w:r w:rsidRPr="0003547E">
        <w:t xml:space="preserve">, S.S., </w:t>
      </w:r>
      <w:proofErr w:type="spellStart"/>
      <w:r w:rsidRPr="0003547E">
        <w:t>Mamidi</w:t>
      </w:r>
      <w:proofErr w:type="spellEnd"/>
      <w:r w:rsidRPr="0003547E">
        <w:t xml:space="preserve">, L.T. and </w:t>
      </w:r>
      <w:proofErr w:type="spellStart"/>
      <w:r w:rsidRPr="0003547E">
        <w:t>Kamireddi</w:t>
      </w:r>
      <w:proofErr w:type="spellEnd"/>
      <w:r w:rsidRPr="0003547E">
        <w:t>, V.R. (2020).</w:t>
      </w:r>
      <w:proofErr w:type="gramEnd"/>
      <w:r w:rsidRPr="0003547E">
        <w:t xml:space="preserve"> Investigation of the Kinetic </w:t>
      </w:r>
      <w:proofErr w:type="spellStart"/>
      <w:r w:rsidRPr="0003547E">
        <w:t>Behaviour</w:t>
      </w:r>
      <w:proofErr w:type="spellEnd"/>
      <w:r w:rsidRPr="0003547E">
        <w:t xml:space="preserve"> of Gas Hydrates Based on Induction Time for a High CO2 Mixed Gas Multiphase Pipeline System. SPE-203121-MS Paper Presented at the Abu-Dhabi International Petroleum Exhibition and Conference, Abu Dhabi, United Arab Emirate, November. </w:t>
      </w:r>
      <w:hyperlink r:id="rId50" w:history="1">
        <w:r w:rsidRPr="0003547E">
          <w:rPr>
            <w:rStyle w:val="Hyperlink"/>
          </w:rPr>
          <w:t>https://doi.org/10.2118/203121-MS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Sayani</w:t>
      </w:r>
      <w:proofErr w:type="spellEnd"/>
      <w:r w:rsidRPr="0003547E">
        <w:t xml:space="preserve">, J.S., </w:t>
      </w:r>
      <w:proofErr w:type="spellStart"/>
      <w:r w:rsidRPr="0003547E">
        <w:t>Venkateswara</w:t>
      </w:r>
      <w:proofErr w:type="spellEnd"/>
      <w:r w:rsidRPr="0003547E">
        <w:t xml:space="preserve">, R.K., </w:t>
      </w:r>
      <w:proofErr w:type="spellStart"/>
      <w:r w:rsidRPr="0003547E">
        <w:t>Srinivasa</w:t>
      </w:r>
      <w:proofErr w:type="spellEnd"/>
      <w:r w:rsidRPr="0003547E">
        <w:t xml:space="preserve">, R.P. and </w:t>
      </w:r>
      <w:proofErr w:type="spellStart"/>
      <w:r w:rsidRPr="0003547E">
        <w:t>Georgios</w:t>
      </w:r>
      <w:proofErr w:type="spellEnd"/>
      <w:r w:rsidRPr="0003547E">
        <w:t>, K. (2022).</w:t>
      </w:r>
      <w:proofErr w:type="gramEnd"/>
      <w:r w:rsidRPr="0003547E">
        <w:t xml:space="preserve"> </w:t>
      </w:r>
      <w:proofErr w:type="gramStart"/>
      <w:r w:rsidRPr="0003547E">
        <w:t>Development of a Simple Statistical Model for the Prediction of Gas Hydrate Formation Conditions.</w:t>
      </w:r>
      <w:proofErr w:type="gramEnd"/>
      <w:r w:rsidRPr="0003547E">
        <w:t xml:space="preserve"> PSIG-2201 Paper Presented at the PSIG Annual Meeting, San Diego, California, U.S.A., May </w:t>
      </w:r>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Semenov, M.E., </w:t>
      </w:r>
      <w:proofErr w:type="spellStart"/>
      <w:r w:rsidRPr="0003547E">
        <w:t>Varfolomeev</w:t>
      </w:r>
      <w:proofErr w:type="spellEnd"/>
      <w:r w:rsidRPr="0003547E">
        <w:t xml:space="preserve">, M.A., </w:t>
      </w:r>
      <w:proofErr w:type="spellStart"/>
      <w:r w:rsidRPr="0003547E">
        <w:t>Mirzakimov</w:t>
      </w:r>
      <w:proofErr w:type="spellEnd"/>
      <w:r w:rsidRPr="0003547E">
        <w:t xml:space="preserve">, U.Z., Son, E.R., </w:t>
      </w:r>
      <w:proofErr w:type="spellStart"/>
      <w:r w:rsidRPr="0003547E">
        <w:t>Pavelyev</w:t>
      </w:r>
      <w:proofErr w:type="spellEnd"/>
      <w:r w:rsidRPr="0003547E">
        <w:t xml:space="preserve">, R.S., </w:t>
      </w:r>
      <w:proofErr w:type="spellStart"/>
      <w:r w:rsidRPr="0003547E">
        <w:t>Chirkova</w:t>
      </w:r>
      <w:proofErr w:type="spellEnd"/>
      <w:r w:rsidRPr="0003547E">
        <w:t xml:space="preserve">, Y.F. and </w:t>
      </w:r>
      <w:proofErr w:type="spellStart"/>
      <w:r w:rsidRPr="0003547E">
        <w:t>Stoporev</w:t>
      </w:r>
      <w:proofErr w:type="spellEnd"/>
      <w:r w:rsidRPr="0003547E">
        <w:t>, A.S. (2024).</w:t>
      </w:r>
      <w:proofErr w:type="gramEnd"/>
      <w:r w:rsidRPr="0003547E">
        <w:t xml:space="preserve"> Research and Development Aimed at Creating Hydrate-Based Technology for Storage and Transportation of Hydrocarbon Gases. SPE-218678-MS Paper Presented at the SPE Conference at Oman Petroleum and Energy Show, Muscat, Oman, April. </w:t>
      </w:r>
      <w:hyperlink r:id="rId51" w:history="1">
        <w:r w:rsidRPr="0003547E">
          <w:rPr>
            <w:rStyle w:val="Hyperlink"/>
          </w:rPr>
          <w:t>https://doi.org/10.2118/218678-MS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gramStart"/>
      <w:r w:rsidRPr="0003547E">
        <w:t xml:space="preserve">Simon, R., </w:t>
      </w:r>
      <w:proofErr w:type="spellStart"/>
      <w:r w:rsidRPr="0003547E">
        <w:t>Khiari</w:t>
      </w:r>
      <w:proofErr w:type="spellEnd"/>
      <w:r w:rsidRPr="0003547E">
        <w:t xml:space="preserve">, R., Hani, S., Rudy, A., </w:t>
      </w:r>
      <w:proofErr w:type="spellStart"/>
      <w:r w:rsidRPr="0003547E">
        <w:t>Emerick</w:t>
      </w:r>
      <w:proofErr w:type="spellEnd"/>
      <w:r w:rsidRPr="0003547E">
        <w:t>, L., Annie, F., Nicolas, L. and Charlotte, D. (2024).</w:t>
      </w:r>
      <w:proofErr w:type="gramEnd"/>
      <w:r w:rsidRPr="0003547E">
        <w:t xml:space="preserve"> How Anti-</w:t>
      </w:r>
      <w:proofErr w:type="spellStart"/>
      <w:r w:rsidRPr="0003547E">
        <w:t>agglomerant</w:t>
      </w:r>
      <w:proofErr w:type="spellEnd"/>
      <w:r w:rsidRPr="0003547E">
        <w:t xml:space="preserve"> can </w:t>
      </w:r>
      <w:proofErr w:type="gramStart"/>
      <w:r w:rsidRPr="0003547E">
        <w:t>Replace</w:t>
      </w:r>
      <w:proofErr w:type="gramEnd"/>
      <w:r w:rsidRPr="0003547E">
        <w:t xml:space="preserve"> MEG to Mitigate Hydrate Risk in Mature Gas Fields. OTC-35138-MS Paper Presented at the Offshore Technology Conference, Houston, Texas, U.S.A., </w:t>
      </w:r>
      <w:proofErr w:type="gramStart"/>
      <w:r w:rsidRPr="0003547E">
        <w:t>May</w:t>
      </w:r>
      <w:proofErr w:type="gramEnd"/>
      <w:r w:rsidRPr="0003547E">
        <w:t xml:space="preserve">. </w:t>
      </w:r>
      <w:hyperlink r:id="rId52" w:history="1">
        <w:r w:rsidRPr="0003547E">
          <w:rPr>
            <w:rStyle w:val="Hyperlink"/>
          </w:rPr>
          <w:t>https://doi.org/10.4043/35138-MS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Sotirious</w:t>
      </w:r>
      <w:proofErr w:type="spellEnd"/>
      <w:r w:rsidRPr="0003547E">
        <w:t xml:space="preserve">, L., </w:t>
      </w:r>
      <w:proofErr w:type="spellStart"/>
      <w:r w:rsidRPr="0003547E">
        <w:t>Dionisia</w:t>
      </w:r>
      <w:proofErr w:type="spellEnd"/>
      <w:r w:rsidRPr="0003547E">
        <w:t xml:space="preserve">, D.L., </w:t>
      </w:r>
      <w:proofErr w:type="spellStart"/>
      <w:r w:rsidRPr="0003547E">
        <w:t>Mirlan</w:t>
      </w:r>
      <w:proofErr w:type="spellEnd"/>
      <w:r w:rsidRPr="0003547E">
        <w:t xml:space="preserve">, T. and </w:t>
      </w:r>
      <w:proofErr w:type="spellStart"/>
      <w:r w:rsidRPr="0003547E">
        <w:t>Mahmut</w:t>
      </w:r>
      <w:proofErr w:type="spellEnd"/>
      <w:r w:rsidRPr="0003547E">
        <w:t>, P. (2022).</w:t>
      </w:r>
      <w:proofErr w:type="gramEnd"/>
      <w:r w:rsidRPr="0003547E">
        <w:t xml:space="preserve"> </w:t>
      </w:r>
      <w:proofErr w:type="gramStart"/>
      <w:r w:rsidRPr="0003547E">
        <w:t xml:space="preserve">Examination of </w:t>
      </w:r>
      <w:proofErr w:type="spellStart"/>
      <w:r w:rsidRPr="0003547E">
        <w:t>Cysteine</w:t>
      </w:r>
      <w:proofErr w:type="spellEnd"/>
      <w:r w:rsidRPr="0003547E">
        <w:t xml:space="preserve">, Glutamine and </w:t>
      </w:r>
      <w:proofErr w:type="spellStart"/>
      <w:r w:rsidRPr="0003547E">
        <w:t>Isoleucine</w:t>
      </w:r>
      <w:proofErr w:type="spellEnd"/>
      <w:r w:rsidRPr="0003547E">
        <w:t xml:space="preserve"> as Methane – Propane Gas Hydrate Kinetic Inhibitors.</w:t>
      </w:r>
      <w:proofErr w:type="gramEnd"/>
      <w:r w:rsidRPr="0003547E">
        <w:t xml:space="preserve"> SPE-212055-MS Paper Presented </w:t>
      </w:r>
      <w:r w:rsidRPr="0003547E">
        <w:lastRenderedPageBreak/>
        <w:t xml:space="preserve">at the SPE Annual Caspian Technical Conference, </w:t>
      </w:r>
      <w:proofErr w:type="spellStart"/>
      <w:r w:rsidRPr="0003547E">
        <w:t>Nur</w:t>
      </w:r>
      <w:proofErr w:type="spellEnd"/>
      <w:r w:rsidRPr="0003547E">
        <w:t xml:space="preserve">-Sultan, Kazakhstan, November 15. </w:t>
      </w:r>
      <w:hyperlink r:id="rId53" w:history="1">
        <w:r w:rsidRPr="0003547E">
          <w:rPr>
            <w:rStyle w:val="Hyperlink"/>
          </w:rPr>
          <w:t>https://doi.org/10.212055-MS</w:t>
        </w:r>
      </w:hyperlink>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Udegbunam</w:t>
      </w:r>
      <w:proofErr w:type="spellEnd"/>
      <w:r w:rsidRPr="0003547E">
        <w:t xml:space="preserve">, L.U., </w:t>
      </w:r>
      <w:proofErr w:type="spellStart"/>
      <w:r w:rsidRPr="0003547E">
        <w:t>DuQueenay</w:t>
      </w:r>
      <w:proofErr w:type="spellEnd"/>
      <w:r w:rsidRPr="0003547E">
        <w:t xml:space="preserve">, J.R., </w:t>
      </w:r>
      <w:proofErr w:type="spellStart"/>
      <w:r w:rsidRPr="0003547E">
        <w:t>Osario</w:t>
      </w:r>
      <w:proofErr w:type="spellEnd"/>
      <w:r w:rsidRPr="0003547E">
        <w:t xml:space="preserve">, L., Walker, V.K. and </w:t>
      </w:r>
      <w:proofErr w:type="spellStart"/>
      <w:r w:rsidRPr="0003547E">
        <w:t>Bettran</w:t>
      </w:r>
      <w:proofErr w:type="spellEnd"/>
      <w:r w:rsidRPr="0003547E">
        <w:t>, J.G. (2018).</w:t>
      </w:r>
      <w:proofErr w:type="gramEnd"/>
      <w:r w:rsidRPr="0003547E">
        <w:t xml:space="preserve"> Phase </w:t>
      </w:r>
      <w:proofErr w:type="spellStart"/>
      <w:r w:rsidRPr="0003547E">
        <w:t>Equilibria</w:t>
      </w:r>
      <w:proofErr w:type="spellEnd"/>
      <w:r w:rsidRPr="0003547E">
        <w:t>, Kinetics and Morphology of Methane Hydrate Inhibited by Antifreeze Proteins: Application of a Novel 3-in-1 Method. Journal of Chemical Thermodynamics, 117; 155-163.</w:t>
      </w:r>
    </w:p>
    <w:p w:rsidR="0003547E" w:rsidRPr="0003547E" w:rsidRDefault="0003547E" w:rsidP="00B5316F">
      <w:pPr>
        <w:shd w:val="clear" w:color="auto" w:fill="FFFFFF"/>
        <w:spacing w:after="0" w:line="240" w:lineRule="auto"/>
        <w:ind w:left="720" w:hanging="720"/>
        <w:contextualSpacing/>
        <w:jc w:val="both"/>
        <w:textAlignment w:val="baseline"/>
      </w:pPr>
      <w:proofErr w:type="spellStart"/>
      <w:proofErr w:type="gramStart"/>
      <w:r w:rsidRPr="0003547E">
        <w:t>Wenyuan</w:t>
      </w:r>
      <w:proofErr w:type="spellEnd"/>
      <w:r w:rsidRPr="0003547E">
        <w:t xml:space="preserve">, L., </w:t>
      </w:r>
      <w:proofErr w:type="spellStart"/>
      <w:r w:rsidRPr="0003547E">
        <w:t>Hu</w:t>
      </w:r>
      <w:proofErr w:type="spellEnd"/>
      <w:r w:rsidRPr="0003547E">
        <w:t xml:space="preserve">, J., Sun, F., Sun, Z., Chu, H. and </w:t>
      </w:r>
      <w:proofErr w:type="spellStart"/>
      <w:r w:rsidRPr="0003547E">
        <w:t>Xiangfang</w:t>
      </w:r>
      <w:proofErr w:type="spellEnd"/>
      <w:r w:rsidRPr="0003547E">
        <w:t>, L. (2020).</w:t>
      </w:r>
      <w:proofErr w:type="gramEnd"/>
      <w:r w:rsidRPr="0003547E">
        <w:t xml:space="preserve"> Study on Risk Prediction of Hydrate Formation in Deep Water Gas Wells </w:t>
      </w:r>
      <w:proofErr w:type="gramStart"/>
      <w:r w:rsidRPr="0003547E">
        <w:t>During</w:t>
      </w:r>
      <w:proofErr w:type="gramEnd"/>
      <w:r w:rsidRPr="0003547E">
        <w:t xml:space="preserve"> Production Process. SPE-196547-MS Paper Presented at the SPE/IATMI Asia-Pacific Oil and Gas Conference and Exhibition, Bali, Indonesia, October 25. </w:t>
      </w:r>
      <w:hyperlink r:id="rId54" w:history="1">
        <w:r w:rsidRPr="0003547E">
          <w:rPr>
            <w:rStyle w:val="Hyperlink"/>
          </w:rPr>
          <w:t>https://doi.org/10.2118/196547-MS</w:t>
        </w:r>
      </w:hyperlink>
    </w:p>
    <w:p w:rsidR="0003547E" w:rsidRPr="0003547E" w:rsidRDefault="0003547E" w:rsidP="0003547E">
      <w:pPr>
        <w:shd w:val="clear" w:color="auto" w:fill="FFFFFF"/>
        <w:spacing w:after="0" w:line="240" w:lineRule="auto"/>
        <w:ind w:left="720" w:hanging="720"/>
        <w:contextualSpacing/>
        <w:jc w:val="both"/>
        <w:textAlignment w:val="baseline"/>
      </w:pPr>
      <w:proofErr w:type="spellStart"/>
      <w:proofErr w:type="gramStart"/>
      <w:r w:rsidRPr="0003547E">
        <w:t>Zheng</w:t>
      </w:r>
      <w:proofErr w:type="spellEnd"/>
      <w:r w:rsidRPr="0003547E">
        <w:t xml:space="preserve">, L., Sun, B., Wang, Z. and </w:t>
      </w:r>
      <w:proofErr w:type="spellStart"/>
      <w:r w:rsidRPr="0003547E">
        <w:t>Jianbo</w:t>
      </w:r>
      <w:proofErr w:type="spellEnd"/>
      <w:r w:rsidRPr="0003547E">
        <w:t>, Z. (2021).</w:t>
      </w:r>
      <w:proofErr w:type="gramEnd"/>
      <w:r w:rsidRPr="0003547E">
        <w:t xml:space="preserve"> </w:t>
      </w:r>
      <w:proofErr w:type="gramStart"/>
      <w:r w:rsidRPr="0003547E">
        <w:t>Optimization Strategies of Production Parameters to Prevent Hydrate Reformation in Marine Gas Hydrate Production System.</w:t>
      </w:r>
      <w:proofErr w:type="gramEnd"/>
      <w:r w:rsidRPr="0003547E">
        <w:t xml:space="preserve"> SPE-205695-MS Paper Presented at the SPE/IATMI Asia-Pacific Oil and Gas Conference and Exhibition, Virtual, October 04. </w:t>
      </w:r>
      <w:hyperlink r:id="rId55" w:history="1">
        <w:r w:rsidRPr="0003547E">
          <w:rPr>
            <w:rStyle w:val="Hyperlink"/>
          </w:rPr>
          <w:t>https://doi.org/10.2118/205695-MS</w:t>
        </w:r>
      </w:hyperlink>
    </w:p>
    <w:p w:rsidR="0003547E" w:rsidRPr="0003547E" w:rsidRDefault="0003547E" w:rsidP="0003547E">
      <w:pPr>
        <w:shd w:val="clear" w:color="auto" w:fill="FFFFFF"/>
        <w:spacing w:after="0" w:line="240" w:lineRule="auto"/>
        <w:ind w:left="720" w:hanging="720"/>
        <w:contextualSpacing/>
        <w:jc w:val="both"/>
        <w:textAlignment w:val="baseline"/>
      </w:pPr>
    </w:p>
    <w:p w:rsidR="0003547E" w:rsidRPr="0003547E" w:rsidRDefault="0003547E" w:rsidP="0003547E">
      <w:pPr>
        <w:shd w:val="clear" w:color="auto" w:fill="FFFFFF"/>
        <w:spacing w:after="0" w:line="240" w:lineRule="auto"/>
        <w:ind w:left="720" w:hanging="720"/>
        <w:contextualSpacing/>
        <w:jc w:val="both"/>
        <w:textAlignment w:val="baseline"/>
      </w:pPr>
    </w:p>
    <w:p w:rsidR="0003547E" w:rsidRPr="0003547E" w:rsidRDefault="0003547E" w:rsidP="0003547E">
      <w:pPr>
        <w:shd w:val="clear" w:color="auto" w:fill="FFFFFF"/>
        <w:spacing w:after="0" w:line="240" w:lineRule="auto"/>
        <w:ind w:left="720" w:hanging="720"/>
        <w:contextualSpacing/>
        <w:jc w:val="both"/>
        <w:textAlignment w:val="baseline"/>
      </w:pPr>
    </w:p>
    <w:p w:rsidR="0003547E" w:rsidRPr="0003547E" w:rsidRDefault="0003547E" w:rsidP="0003547E">
      <w:pPr>
        <w:tabs>
          <w:tab w:val="left" w:pos="7590"/>
        </w:tabs>
        <w:spacing w:after="0" w:line="240" w:lineRule="auto"/>
        <w:contextualSpacing/>
      </w:pPr>
    </w:p>
    <w:p w:rsidR="00150211" w:rsidRPr="0003547E" w:rsidRDefault="00150211" w:rsidP="0003547E">
      <w:pPr>
        <w:spacing w:after="0" w:line="240" w:lineRule="auto"/>
        <w:contextualSpacing/>
      </w:pPr>
    </w:p>
    <w:sectPr w:rsidR="00150211" w:rsidRPr="0003547E" w:rsidSect="0003547E">
      <w:footerReference w:type="default" r:id="rId56"/>
      <w:pgSz w:w="11906" w:h="16838" w:code="9"/>
      <w:pgMar w:top="720" w:right="720" w:bottom="720" w:left="72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3D95" w:rsidRDefault="00F63D95" w:rsidP="006A314B">
      <w:pPr>
        <w:spacing w:after="0" w:line="240" w:lineRule="auto"/>
      </w:pPr>
      <w:r>
        <w:separator/>
      </w:r>
    </w:p>
  </w:endnote>
  <w:endnote w:type="continuationSeparator" w:id="0">
    <w:p w:rsidR="00F63D95" w:rsidRDefault="00F63D95" w:rsidP="006A3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5688953"/>
      <w:docPartObj>
        <w:docPartGallery w:val="Page Numbers (Bottom of Page)"/>
        <w:docPartUnique/>
      </w:docPartObj>
    </w:sdtPr>
    <w:sdtEndPr>
      <w:rPr>
        <w:noProof/>
      </w:rPr>
    </w:sdtEndPr>
    <w:sdtContent>
      <w:p w:rsidR="00CB7567" w:rsidRDefault="000E0012">
        <w:pPr>
          <w:pStyle w:val="Footer"/>
          <w:jc w:val="center"/>
        </w:pPr>
        <w:fldSimple w:instr=" PAGE   \* MERGEFORMAT ">
          <w:r w:rsidR="00A37A69">
            <w:rPr>
              <w:noProof/>
            </w:rPr>
            <w:t>1</w:t>
          </w:r>
        </w:fldSimple>
      </w:p>
    </w:sdtContent>
  </w:sdt>
  <w:p w:rsidR="00CB7567" w:rsidRDefault="00CB75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3D95" w:rsidRDefault="00F63D95" w:rsidP="006A314B">
      <w:pPr>
        <w:spacing w:after="0" w:line="240" w:lineRule="auto"/>
      </w:pPr>
      <w:r>
        <w:separator/>
      </w:r>
    </w:p>
  </w:footnote>
  <w:footnote w:type="continuationSeparator" w:id="0">
    <w:p w:rsidR="00F63D95" w:rsidRDefault="00F63D95" w:rsidP="006A314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D6442"/>
    <w:multiLevelType w:val="multilevel"/>
    <w:tmpl w:val="1396D22C"/>
    <w:lvl w:ilvl="0">
      <w:start w:val="3"/>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
    <w:nsid w:val="03051620"/>
    <w:multiLevelType w:val="hybridMultilevel"/>
    <w:tmpl w:val="44C21258"/>
    <w:lvl w:ilvl="0" w:tplc="3398C536">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BA5B94"/>
    <w:multiLevelType w:val="multilevel"/>
    <w:tmpl w:val="1396D22C"/>
    <w:lvl w:ilvl="0">
      <w:start w:val="3"/>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3">
    <w:nsid w:val="0AC83F28"/>
    <w:multiLevelType w:val="multilevel"/>
    <w:tmpl w:val="4F9A5240"/>
    <w:lvl w:ilvl="0">
      <w:start w:val="3"/>
      <w:numFmt w:val="decimal"/>
      <w:lvlText w:val="%1"/>
      <w:lvlJc w:val="left"/>
      <w:pPr>
        <w:ind w:left="360" w:hanging="360"/>
      </w:pPr>
      <w:rPr>
        <w:rFonts w:hint="default"/>
      </w:rPr>
    </w:lvl>
    <w:lvl w:ilvl="1">
      <w:start w:val="2"/>
      <w:numFmt w:val="decimal"/>
      <w:lvlText w:val="%1.%2"/>
      <w:lvlJc w:val="left"/>
      <w:pPr>
        <w:ind w:left="1140" w:hanging="36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4">
    <w:nsid w:val="1AA26228"/>
    <w:multiLevelType w:val="hybridMultilevel"/>
    <w:tmpl w:val="DB642854"/>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D1F2DE4"/>
    <w:multiLevelType w:val="hybridMultilevel"/>
    <w:tmpl w:val="5A560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B4C01C2"/>
    <w:multiLevelType w:val="hybridMultilevel"/>
    <w:tmpl w:val="A8288CF0"/>
    <w:lvl w:ilvl="0" w:tplc="61823AD8">
      <w:start w:val="1"/>
      <w:numFmt w:val="lowerLetter"/>
      <w:lvlText w:val="%1."/>
      <w:lvlJc w:val="left"/>
      <w:pPr>
        <w:ind w:left="420" w:hanging="36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7">
    <w:nsid w:val="3C4148F2"/>
    <w:multiLevelType w:val="hybridMultilevel"/>
    <w:tmpl w:val="5A560C8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C9B42BD"/>
    <w:multiLevelType w:val="hybridMultilevel"/>
    <w:tmpl w:val="37AE6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DE00CC4"/>
    <w:multiLevelType w:val="hybridMultilevel"/>
    <w:tmpl w:val="C0B8044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EEA5B7A"/>
    <w:multiLevelType w:val="hybridMultilevel"/>
    <w:tmpl w:val="384E6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7A3A64"/>
    <w:multiLevelType w:val="hybridMultilevel"/>
    <w:tmpl w:val="921247E8"/>
    <w:lvl w:ilvl="0" w:tplc="B658F5F0">
      <w:start w:val="1"/>
      <w:numFmt w:val="decimal"/>
      <w:lvlText w:val="%1."/>
      <w:lvlJc w:val="left"/>
      <w:pPr>
        <w:tabs>
          <w:tab w:val="num" w:pos="750"/>
        </w:tabs>
        <w:ind w:left="750" w:hanging="40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46BB300B"/>
    <w:multiLevelType w:val="hybridMultilevel"/>
    <w:tmpl w:val="8B909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9967CF"/>
    <w:multiLevelType w:val="hybridMultilevel"/>
    <w:tmpl w:val="99664474"/>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4">
    <w:nsid w:val="541B68E1"/>
    <w:multiLevelType w:val="hybridMultilevel"/>
    <w:tmpl w:val="93103294"/>
    <w:lvl w:ilvl="0" w:tplc="FD6EFEA4">
      <w:start w:val="1"/>
      <w:numFmt w:val="lowerRoman"/>
      <w:lvlText w:val="(%1)"/>
      <w:lvlJc w:val="left"/>
      <w:pPr>
        <w:ind w:left="1470" w:hanging="720"/>
      </w:pPr>
      <w:rPr>
        <w:rFonts w:hint="default"/>
      </w:rPr>
    </w:lvl>
    <w:lvl w:ilvl="1" w:tplc="08090019" w:tentative="1">
      <w:start w:val="1"/>
      <w:numFmt w:val="lowerLetter"/>
      <w:lvlText w:val="%2."/>
      <w:lvlJc w:val="left"/>
      <w:pPr>
        <w:ind w:left="1830" w:hanging="360"/>
      </w:pPr>
    </w:lvl>
    <w:lvl w:ilvl="2" w:tplc="0809001B" w:tentative="1">
      <w:start w:val="1"/>
      <w:numFmt w:val="lowerRoman"/>
      <w:lvlText w:val="%3."/>
      <w:lvlJc w:val="right"/>
      <w:pPr>
        <w:ind w:left="2550" w:hanging="180"/>
      </w:pPr>
    </w:lvl>
    <w:lvl w:ilvl="3" w:tplc="0809000F" w:tentative="1">
      <w:start w:val="1"/>
      <w:numFmt w:val="decimal"/>
      <w:lvlText w:val="%4."/>
      <w:lvlJc w:val="left"/>
      <w:pPr>
        <w:ind w:left="3270" w:hanging="360"/>
      </w:pPr>
    </w:lvl>
    <w:lvl w:ilvl="4" w:tplc="08090019" w:tentative="1">
      <w:start w:val="1"/>
      <w:numFmt w:val="lowerLetter"/>
      <w:lvlText w:val="%5."/>
      <w:lvlJc w:val="left"/>
      <w:pPr>
        <w:ind w:left="3990" w:hanging="360"/>
      </w:pPr>
    </w:lvl>
    <w:lvl w:ilvl="5" w:tplc="0809001B" w:tentative="1">
      <w:start w:val="1"/>
      <w:numFmt w:val="lowerRoman"/>
      <w:lvlText w:val="%6."/>
      <w:lvlJc w:val="right"/>
      <w:pPr>
        <w:ind w:left="4710" w:hanging="180"/>
      </w:pPr>
    </w:lvl>
    <w:lvl w:ilvl="6" w:tplc="0809000F" w:tentative="1">
      <w:start w:val="1"/>
      <w:numFmt w:val="decimal"/>
      <w:lvlText w:val="%7."/>
      <w:lvlJc w:val="left"/>
      <w:pPr>
        <w:ind w:left="5430" w:hanging="360"/>
      </w:pPr>
    </w:lvl>
    <w:lvl w:ilvl="7" w:tplc="08090019" w:tentative="1">
      <w:start w:val="1"/>
      <w:numFmt w:val="lowerLetter"/>
      <w:lvlText w:val="%8."/>
      <w:lvlJc w:val="left"/>
      <w:pPr>
        <w:ind w:left="6150" w:hanging="360"/>
      </w:pPr>
    </w:lvl>
    <w:lvl w:ilvl="8" w:tplc="0809001B" w:tentative="1">
      <w:start w:val="1"/>
      <w:numFmt w:val="lowerRoman"/>
      <w:lvlText w:val="%9."/>
      <w:lvlJc w:val="right"/>
      <w:pPr>
        <w:ind w:left="6870" w:hanging="180"/>
      </w:pPr>
    </w:lvl>
  </w:abstractNum>
  <w:abstractNum w:abstractNumId="15">
    <w:nsid w:val="57564779"/>
    <w:multiLevelType w:val="hybridMultilevel"/>
    <w:tmpl w:val="3D160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6E46D3"/>
    <w:multiLevelType w:val="hybridMultilevel"/>
    <w:tmpl w:val="B074C712"/>
    <w:lvl w:ilvl="0" w:tplc="04090001">
      <w:start w:val="1"/>
      <w:numFmt w:val="bullet"/>
      <w:lvlText w:val=""/>
      <w:lvlJc w:val="left"/>
      <w:pPr>
        <w:ind w:left="831" w:hanging="360"/>
      </w:pPr>
      <w:rPr>
        <w:rFonts w:ascii="Symbol" w:hAnsi="Symbol" w:hint="default"/>
        <w:b/>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abstractNum w:abstractNumId="17">
    <w:nsid w:val="7253344E"/>
    <w:multiLevelType w:val="multilevel"/>
    <w:tmpl w:val="8604ADA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725D2441"/>
    <w:multiLevelType w:val="multilevel"/>
    <w:tmpl w:val="1396D22C"/>
    <w:lvl w:ilvl="0">
      <w:start w:val="3"/>
      <w:numFmt w:val="decimal"/>
      <w:lvlText w:val="%1"/>
      <w:lvlJc w:val="left"/>
      <w:pPr>
        <w:ind w:left="480" w:hanging="480"/>
      </w:pPr>
      <w:rPr>
        <w:rFonts w:hint="default"/>
      </w:rPr>
    </w:lvl>
    <w:lvl w:ilvl="1">
      <w:start w:val="2"/>
      <w:numFmt w:val="decimal"/>
      <w:lvlText w:val="%1.%2"/>
      <w:lvlJc w:val="left"/>
      <w:pPr>
        <w:ind w:left="510" w:hanging="480"/>
      </w:pPr>
      <w:rPr>
        <w:rFonts w:hint="default"/>
      </w:rPr>
    </w:lvl>
    <w:lvl w:ilvl="2">
      <w:start w:val="1"/>
      <w:numFmt w:val="decimal"/>
      <w:lvlText w:val="%1.%2.%3"/>
      <w:lvlJc w:val="left"/>
      <w:pPr>
        <w:ind w:left="780" w:hanging="720"/>
      </w:pPr>
      <w:rPr>
        <w:rFonts w:hint="default"/>
      </w:rPr>
    </w:lvl>
    <w:lvl w:ilvl="3">
      <w:start w:val="1"/>
      <w:numFmt w:val="decimal"/>
      <w:lvlText w:val="%1.%2.%3.%4"/>
      <w:lvlJc w:val="left"/>
      <w:pPr>
        <w:ind w:left="810" w:hanging="720"/>
      </w:pPr>
      <w:rPr>
        <w:rFonts w:hint="default"/>
      </w:rPr>
    </w:lvl>
    <w:lvl w:ilvl="4">
      <w:start w:val="1"/>
      <w:numFmt w:val="decimal"/>
      <w:lvlText w:val="%1.%2.%3.%4.%5"/>
      <w:lvlJc w:val="left"/>
      <w:pPr>
        <w:ind w:left="1200" w:hanging="1080"/>
      </w:pPr>
      <w:rPr>
        <w:rFonts w:hint="default"/>
      </w:rPr>
    </w:lvl>
    <w:lvl w:ilvl="5">
      <w:start w:val="1"/>
      <w:numFmt w:val="decimal"/>
      <w:lvlText w:val="%1.%2.%3.%4.%5.%6"/>
      <w:lvlJc w:val="left"/>
      <w:pPr>
        <w:ind w:left="1230" w:hanging="1080"/>
      </w:pPr>
      <w:rPr>
        <w:rFonts w:hint="default"/>
      </w:rPr>
    </w:lvl>
    <w:lvl w:ilvl="6">
      <w:start w:val="1"/>
      <w:numFmt w:val="decimal"/>
      <w:lvlText w:val="%1.%2.%3.%4.%5.%6.%7"/>
      <w:lvlJc w:val="left"/>
      <w:pPr>
        <w:ind w:left="1620" w:hanging="1440"/>
      </w:pPr>
      <w:rPr>
        <w:rFonts w:hint="default"/>
      </w:rPr>
    </w:lvl>
    <w:lvl w:ilvl="7">
      <w:start w:val="1"/>
      <w:numFmt w:val="decimal"/>
      <w:lvlText w:val="%1.%2.%3.%4.%5.%6.%7.%8"/>
      <w:lvlJc w:val="left"/>
      <w:pPr>
        <w:ind w:left="1650" w:hanging="1440"/>
      </w:pPr>
      <w:rPr>
        <w:rFonts w:hint="default"/>
      </w:rPr>
    </w:lvl>
    <w:lvl w:ilvl="8">
      <w:start w:val="1"/>
      <w:numFmt w:val="decimal"/>
      <w:lvlText w:val="%1.%2.%3.%4.%5.%6.%7.%8.%9"/>
      <w:lvlJc w:val="left"/>
      <w:pPr>
        <w:ind w:left="2040" w:hanging="1800"/>
      </w:pPr>
      <w:rPr>
        <w:rFonts w:hint="default"/>
      </w:rPr>
    </w:lvl>
  </w:abstractNum>
  <w:abstractNum w:abstractNumId="19">
    <w:nsid w:val="744D7018"/>
    <w:multiLevelType w:val="hybridMultilevel"/>
    <w:tmpl w:val="44C21258"/>
    <w:lvl w:ilvl="0" w:tplc="3398C536">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EB95E18"/>
    <w:multiLevelType w:val="hybridMultilevel"/>
    <w:tmpl w:val="CC2EC068"/>
    <w:lvl w:ilvl="0" w:tplc="DB0ABFAC">
      <w:start w:val="1"/>
      <w:numFmt w:val="decimal"/>
      <w:lvlText w:val="%1)"/>
      <w:lvlJc w:val="left"/>
      <w:pPr>
        <w:ind w:left="831" w:hanging="360"/>
      </w:pPr>
      <w:rPr>
        <w:b/>
      </w:rPr>
    </w:lvl>
    <w:lvl w:ilvl="1" w:tplc="04090019" w:tentative="1">
      <w:start w:val="1"/>
      <w:numFmt w:val="lowerLetter"/>
      <w:lvlText w:val="%2."/>
      <w:lvlJc w:val="left"/>
      <w:pPr>
        <w:ind w:left="1551" w:hanging="360"/>
      </w:pPr>
    </w:lvl>
    <w:lvl w:ilvl="2" w:tplc="0409001B" w:tentative="1">
      <w:start w:val="1"/>
      <w:numFmt w:val="lowerRoman"/>
      <w:lvlText w:val="%3."/>
      <w:lvlJc w:val="right"/>
      <w:pPr>
        <w:ind w:left="2271" w:hanging="180"/>
      </w:pPr>
    </w:lvl>
    <w:lvl w:ilvl="3" w:tplc="0409000F" w:tentative="1">
      <w:start w:val="1"/>
      <w:numFmt w:val="decimal"/>
      <w:lvlText w:val="%4."/>
      <w:lvlJc w:val="left"/>
      <w:pPr>
        <w:ind w:left="2991" w:hanging="360"/>
      </w:pPr>
    </w:lvl>
    <w:lvl w:ilvl="4" w:tplc="04090019" w:tentative="1">
      <w:start w:val="1"/>
      <w:numFmt w:val="lowerLetter"/>
      <w:lvlText w:val="%5."/>
      <w:lvlJc w:val="left"/>
      <w:pPr>
        <w:ind w:left="3711" w:hanging="360"/>
      </w:pPr>
    </w:lvl>
    <w:lvl w:ilvl="5" w:tplc="0409001B" w:tentative="1">
      <w:start w:val="1"/>
      <w:numFmt w:val="lowerRoman"/>
      <w:lvlText w:val="%6."/>
      <w:lvlJc w:val="right"/>
      <w:pPr>
        <w:ind w:left="4431" w:hanging="180"/>
      </w:pPr>
    </w:lvl>
    <w:lvl w:ilvl="6" w:tplc="0409000F" w:tentative="1">
      <w:start w:val="1"/>
      <w:numFmt w:val="decimal"/>
      <w:lvlText w:val="%7."/>
      <w:lvlJc w:val="left"/>
      <w:pPr>
        <w:ind w:left="5151" w:hanging="360"/>
      </w:pPr>
    </w:lvl>
    <w:lvl w:ilvl="7" w:tplc="04090019" w:tentative="1">
      <w:start w:val="1"/>
      <w:numFmt w:val="lowerLetter"/>
      <w:lvlText w:val="%8."/>
      <w:lvlJc w:val="left"/>
      <w:pPr>
        <w:ind w:left="5871" w:hanging="360"/>
      </w:pPr>
    </w:lvl>
    <w:lvl w:ilvl="8" w:tplc="0409001B" w:tentative="1">
      <w:start w:val="1"/>
      <w:numFmt w:val="lowerRoman"/>
      <w:lvlText w:val="%9."/>
      <w:lvlJc w:val="right"/>
      <w:pPr>
        <w:ind w:left="6591" w:hanging="180"/>
      </w:pPr>
    </w:lvl>
  </w:abstractNum>
  <w:num w:numId="1">
    <w:abstractNumId w:val="9"/>
  </w:num>
  <w:num w:numId="2">
    <w:abstractNumId w:val="19"/>
  </w:num>
  <w:num w:numId="3">
    <w:abstractNumId w:val="20"/>
  </w:num>
  <w:num w:numId="4">
    <w:abstractNumId w:val="1"/>
  </w:num>
  <w:num w:numId="5">
    <w:abstractNumId w:val="0"/>
  </w:num>
  <w:num w:numId="6">
    <w:abstractNumId w:val="7"/>
  </w:num>
  <w:num w:numId="7">
    <w:abstractNumId w:val="5"/>
  </w:num>
  <w:num w:numId="8">
    <w:abstractNumId w:val="2"/>
  </w:num>
  <w:num w:numId="9">
    <w:abstractNumId w:val="3"/>
  </w:num>
  <w:num w:numId="10">
    <w:abstractNumId w:val="18"/>
  </w:num>
  <w:num w:numId="11">
    <w:abstractNumId w:val="10"/>
  </w:num>
  <w:num w:numId="12">
    <w:abstractNumId w:val="15"/>
  </w:num>
  <w:num w:numId="13">
    <w:abstractNumId w:val="12"/>
  </w:num>
  <w:num w:numId="14">
    <w:abstractNumId w:val="13"/>
  </w:num>
  <w:num w:numId="15">
    <w:abstractNumId w:val="8"/>
  </w:num>
  <w:num w:numId="16">
    <w:abstractNumId w:val="6"/>
  </w:num>
  <w:num w:numId="17">
    <w:abstractNumId w:val="17"/>
  </w:num>
  <w:num w:numId="18">
    <w:abstractNumId w:val="16"/>
  </w:num>
  <w:num w:numId="19">
    <w:abstractNumId w:val="4"/>
  </w:num>
  <w:num w:numId="20">
    <w:abstractNumId w:val="11"/>
  </w:num>
  <w:num w:numId="21">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03547E"/>
    <w:rsid w:val="0003547E"/>
    <w:rsid w:val="000A0673"/>
    <w:rsid w:val="000C0F91"/>
    <w:rsid w:val="000D7911"/>
    <w:rsid w:val="000E0012"/>
    <w:rsid w:val="000E18B5"/>
    <w:rsid w:val="00107E9B"/>
    <w:rsid w:val="00150211"/>
    <w:rsid w:val="00270C0C"/>
    <w:rsid w:val="00290CBA"/>
    <w:rsid w:val="0031485D"/>
    <w:rsid w:val="003435DB"/>
    <w:rsid w:val="003B36D7"/>
    <w:rsid w:val="003B404C"/>
    <w:rsid w:val="003D7A04"/>
    <w:rsid w:val="00483703"/>
    <w:rsid w:val="004B2B86"/>
    <w:rsid w:val="004C36D5"/>
    <w:rsid w:val="00521A35"/>
    <w:rsid w:val="00542359"/>
    <w:rsid w:val="00595282"/>
    <w:rsid w:val="005F7FF4"/>
    <w:rsid w:val="00603CD9"/>
    <w:rsid w:val="00685B39"/>
    <w:rsid w:val="006A314B"/>
    <w:rsid w:val="006C02B9"/>
    <w:rsid w:val="006C2EE9"/>
    <w:rsid w:val="00707CEA"/>
    <w:rsid w:val="00723953"/>
    <w:rsid w:val="0074759A"/>
    <w:rsid w:val="008331E7"/>
    <w:rsid w:val="008C742C"/>
    <w:rsid w:val="009A2399"/>
    <w:rsid w:val="009B4ED8"/>
    <w:rsid w:val="009C1CB6"/>
    <w:rsid w:val="009C44DE"/>
    <w:rsid w:val="00A37A69"/>
    <w:rsid w:val="00AB0962"/>
    <w:rsid w:val="00B5316F"/>
    <w:rsid w:val="00C51EAA"/>
    <w:rsid w:val="00CB7567"/>
    <w:rsid w:val="00D50A85"/>
    <w:rsid w:val="00E62393"/>
    <w:rsid w:val="00F63D95"/>
    <w:rsid w:val="00F679A3"/>
    <w:rsid w:val="00F81D1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547E"/>
    <w:rPr>
      <w:color w:val="000000" w:themeColor="text1"/>
    </w:rPr>
  </w:style>
  <w:style w:type="paragraph" w:styleId="Heading1">
    <w:name w:val="heading 1"/>
    <w:basedOn w:val="Normal"/>
    <w:next w:val="Normal"/>
    <w:link w:val="Heading1Char"/>
    <w:uiPriority w:val="9"/>
    <w:qFormat/>
    <w:rsid w:val="0003547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3547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03547E"/>
    <w:pPr>
      <w:keepNext/>
      <w:keepLines/>
      <w:spacing w:before="200" w:beforeAutospacing="1" w:after="0" w:line="360" w:lineRule="auto"/>
      <w:ind w:left="158" w:firstLine="720"/>
      <w:jc w:val="both"/>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547E"/>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3547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03547E"/>
    <w:rPr>
      <w:rFonts w:asciiTheme="majorHAnsi" w:eastAsiaTheme="majorEastAsia" w:hAnsiTheme="majorHAnsi" w:cstheme="majorBidi"/>
      <w:b/>
      <w:bCs/>
      <w:color w:val="4F81BD" w:themeColor="accent1"/>
    </w:rPr>
  </w:style>
  <w:style w:type="paragraph" w:styleId="NoSpacing">
    <w:name w:val="No Spacing"/>
    <w:link w:val="NoSpacingChar"/>
    <w:uiPriority w:val="1"/>
    <w:qFormat/>
    <w:rsid w:val="0003547E"/>
    <w:pPr>
      <w:spacing w:after="0" w:line="240" w:lineRule="auto"/>
    </w:pPr>
    <w:rPr>
      <w:rFonts w:eastAsiaTheme="minorEastAsia"/>
      <w:color w:val="000000" w:themeColor="text1"/>
      <w:lang w:val="en-GB" w:eastAsia="en-GB"/>
    </w:rPr>
  </w:style>
  <w:style w:type="paragraph" w:styleId="ListParagraph">
    <w:name w:val="List Paragraph"/>
    <w:basedOn w:val="Normal"/>
    <w:uiPriority w:val="34"/>
    <w:qFormat/>
    <w:rsid w:val="0003547E"/>
    <w:pPr>
      <w:ind w:left="720"/>
      <w:contextualSpacing/>
    </w:pPr>
  </w:style>
  <w:style w:type="character" w:customStyle="1" w:styleId="NoSpacingChar">
    <w:name w:val="No Spacing Char"/>
    <w:basedOn w:val="DefaultParagraphFont"/>
    <w:link w:val="NoSpacing"/>
    <w:uiPriority w:val="1"/>
    <w:rsid w:val="0003547E"/>
    <w:rPr>
      <w:rFonts w:eastAsiaTheme="minorEastAsia"/>
      <w:color w:val="000000" w:themeColor="text1"/>
      <w:lang w:val="en-GB" w:eastAsia="en-GB"/>
    </w:rPr>
  </w:style>
  <w:style w:type="paragraph" w:styleId="Header">
    <w:name w:val="header"/>
    <w:basedOn w:val="Normal"/>
    <w:link w:val="HeaderChar"/>
    <w:uiPriority w:val="99"/>
    <w:unhideWhenUsed/>
    <w:rsid w:val="000354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547E"/>
    <w:rPr>
      <w:color w:val="000000" w:themeColor="text1"/>
    </w:rPr>
  </w:style>
  <w:style w:type="paragraph" w:styleId="Footer">
    <w:name w:val="footer"/>
    <w:basedOn w:val="Normal"/>
    <w:link w:val="FooterChar"/>
    <w:uiPriority w:val="99"/>
    <w:unhideWhenUsed/>
    <w:rsid w:val="000354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547E"/>
    <w:rPr>
      <w:color w:val="000000" w:themeColor="text1"/>
    </w:rPr>
  </w:style>
  <w:style w:type="paragraph" w:styleId="NormalWeb">
    <w:name w:val="Normal (Web)"/>
    <w:basedOn w:val="Normal"/>
    <w:uiPriority w:val="99"/>
    <w:unhideWhenUsed/>
    <w:rsid w:val="0003547E"/>
  </w:style>
  <w:style w:type="paragraph" w:styleId="BalloonText">
    <w:name w:val="Balloon Text"/>
    <w:basedOn w:val="Normal"/>
    <w:link w:val="BalloonTextChar"/>
    <w:uiPriority w:val="99"/>
    <w:semiHidden/>
    <w:unhideWhenUsed/>
    <w:rsid w:val="000354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547E"/>
    <w:rPr>
      <w:rFonts w:ascii="Tahoma" w:hAnsi="Tahoma" w:cs="Tahoma"/>
      <w:color w:val="000000" w:themeColor="text1"/>
      <w:sz w:val="16"/>
      <w:szCs w:val="16"/>
    </w:rPr>
  </w:style>
  <w:style w:type="character" w:styleId="Emphasis">
    <w:name w:val="Emphasis"/>
    <w:basedOn w:val="DefaultParagraphFont"/>
    <w:uiPriority w:val="20"/>
    <w:qFormat/>
    <w:rsid w:val="0003547E"/>
    <w:rPr>
      <w:i/>
      <w:iCs/>
    </w:rPr>
  </w:style>
  <w:style w:type="character" w:customStyle="1" w:styleId="ref-text">
    <w:name w:val="ref-text"/>
    <w:basedOn w:val="DefaultParagraphFont"/>
    <w:rsid w:val="0003547E"/>
  </w:style>
  <w:style w:type="character" w:customStyle="1" w:styleId="nlmarticle-title">
    <w:name w:val="nlm_article-title"/>
    <w:basedOn w:val="DefaultParagraphFont"/>
    <w:rsid w:val="0003547E"/>
  </w:style>
  <w:style w:type="character" w:customStyle="1" w:styleId="nlmlpage">
    <w:name w:val="nlm_lpage"/>
    <w:basedOn w:val="DefaultParagraphFont"/>
    <w:rsid w:val="0003547E"/>
  </w:style>
  <w:style w:type="character" w:styleId="Hyperlink">
    <w:name w:val="Hyperlink"/>
    <w:basedOn w:val="DefaultParagraphFont"/>
    <w:uiPriority w:val="99"/>
    <w:unhideWhenUsed/>
    <w:rsid w:val="0003547E"/>
    <w:rPr>
      <w:color w:val="0000FF" w:themeColor="hyperlink"/>
      <w:u w:val="single"/>
    </w:rPr>
  </w:style>
  <w:style w:type="character" w:styleId="PlaceholderText">
    <w:name w:val="Placeholder Text"/>
    <w:basedOn w:val="DefaultParagraphFont"/>
    <w:uiPriority w:val="99"/>
    <w:semiHidden/>
    <w:rsid w:val="0003547E"/>
    <w:rPr>
      <w:color w:val="808080"/>
    </w:rPr>
  </w:style>
  <w:style w:type="character" w:customStyle="1" w:styleId="al-author-delim">
    <w:name w:val="al-author-delim"/>
    <w:basedOn w:val="DefaultParagraphFont"/>
    <w:rsid w:val="0003547E"/>
  </w:style>
  <w:style w:type="character" w:customStyle="1" w:styleId="ww-article-legacy-label">
    <w:name w:val="ww-article-legacy-label"/>
    <w:basedOn w:val="DefaultParagraphFont"/>
    <w:rsid w:val="0003547E"/>
  </w:style>
  <w:style w:type="character" w:customStyle="1" w:styleId="paper-date-label">
    <w:name w:val="paper-date-label"/>
    <w:basedOn w:val="DefaultParagraphFont"/>
    <w:rsid w:val="0003547E"/>
  </w:style>
  <w:style w:type="character" w:customStyle="1" w:styleId="paper-date">
    <w:name w:val="paper-date"/>
    <w:basedOn w:val="DefaultParagraphFont"/>
    <w:rsid w:val="0003547E"/>
  </w:style>
  <w:style w:type="character" w:customStyle="1" w:styleId="toolbar-label">
    <w:name w:val="toolbar-label"/>
    <w:basedOn w:val="DefaultParagraphFont"/>
    <w:rsid w:val="0003547E"/>
  </w:style>
  <w:style w:type="character" w:customStyle="1" w:styleId="toolbar-text">
    <w:name w:val="toolbar-text"/>
    <w:basedOn w:val="DefaultParagraphFont"/>
    <w:rsid w:val="0003547E"/>
  </w:style>
  <w:style w:type="character" w:customStyle="1" w:styleId="screenreader-text">
    <w:name w:val="screenreader-text"/>
    <w:basedOn w:val="DefaultParagraphFont"/>
    <w:rsid w:val="0003547E"/>
  </w:style>
  <w:style w:type="character" w:customStyle="1" w:styleId="site-search-text">
    <w:name w:val="site-search-text"/>
    <w:basedOn w:val="DefaultParagraphFont"/>
    <w:rsid w:val="0003547E"/>
  </w:style>
  <w:style w:type="character" w:customStyle="1" w:styleId="label">
    <w:name w:val="label"/>
    <w:basedOn w:val="DefaultParagraphFont"/>
    <w:rsid w:val="0003547E"/>
  </w:style>
  <w:style w:type="character" w:customStyle="1" w:styleId="article-date">
    <w:name w:val="article-date"/>
    <w:basedOn w:val="DefaultParagraphFont"/>
    <w:rsid w:val="0003547E"/>
  </w:style>
  <w:style w:type="character" w:customStyle="1" w:styleId="ww-citation-legacy-label">
    <w:name w:val="ww-citation-legacy-label"/>
    <w:basedOn w:val="DefaultParagraphFont"/>
    <w:rsid w:val="0003547E"/>
  </w:style>
  <w:style w:type="character" w:customStyle="1" w:styleId="login-formlabel-text">
    <w:name w:val="login-form__label-text"/>
    <w:basedOn w:val="DefaultParagraphFont"/>
    <w:rsid w:val="0003547E"/>
  </w:style>
  <w:style w:type="paragraph" w:customStyle="1" w:styleId="p2">
    <w:name w:val="p2"/>
    <w:basedOn w:val="Normal"/>
    <w:rsid w:val="0003547E"/>
    <w:pPr>
      <w:spacing w:after="0" w:line="240" w:lineRule="auto"/>
    </w:pPr>
    <w:rPr>
      <w:rFonts w:ascii="Helvetica" w:eastAsia="Times New Roman" w:hAnsi="Helvetica"/>
    </w:rPr>
  </w:style>
  <w:style w:type="table" w:styleId="TableGrid">
    <w:name w:val="Table Grid"/>
    <w:basedOn w:val="TableNormal"/>
    <w:uiPriority w:val="39"/>
    <w:rsid w:val="0003547E"/>
    <w:pPr>
      <w:spacing w:beforeAutospacing="1" w:after="0" w:line="240" w:lineRule="auto"/>
      <w:ind w:left="158" w:firstLine="720"/>
      <w:jc w:val="both"/>
    </w:pPr>
    <w:rPr>
      <w:color w:val="000000" w:themeColor="text1"/>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s://doi.org/10.4043/30916-MS" TargetMode="External"/><Relationship Id="rId21" Type="http://schemas.openxmlformats.org/officeDocument/2006/relationships/image" Target="media/image14.png"/><Relationship Id="rId34" Type="http://schemas.openxmlformats.org/officeDocument/2006/relationships/hyperlink" Target="https://doi.org/10.4043/30545-MS" TargetMode="External"/><Relationship Id="rId42" Type="http://schemas.openxmlformats.org/officeDocument/2006/relationships/hyperlink" Target="https://doi.org/10.2118/218101-MS" TargetMode="External"/><Relationship Id="rId47" Type="http://schemas.openxmlformats.org/officeDocument/2006/relationships/hyperlink" Target="https://doi.org/10.1088/1757-899X/543/1/012084" TargetMode="External"/><Relationship Id="rId50" Type="http://schemas.openxmlformats.org/officeDocument/2006/relationships/hyperlink" Target="https://doi.org/10.2118/203121-MS" TargetMode="External"/><Relationship Id="rId55" Type="http://schemas.openxmlformats.org/officeDocument/2006/relationships/hyperlink" Target="https://doi.org/10.2118/205695-MS" TargetMode="External"/><Relationship Id="rId7" Type="http://schemas.openxmlformats.org/officeDocument/2006/relationships/hyperlink" Target="mailto:daniyke98@gmail.com"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doi.org/10.4043/28496-MS" TargetMode="External"/><Relationship Id="rId38" Type="http://schemas.openxmlformats.org/officeDocument/2006/relationships/hyperlink" Target="https://doi.org/10.2118/216581-MS" TargetMode="External"/><Relationship Id="rId46" Type="http://schemas.openxmlformats.org/officeDocument/2006/relationships/hyperlink" Target="https://doi.org/10.4043/28266-MS"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doi.org/10.4043/30586-MS" TargetMode="External"/><Relationship Id="rId41" Type="http://schemas.openxmlformats.org/officeDocument/2006/relationships/hyperlink" Target="https://doi.org/10.1088/1757-899X/700/1/012057" TargetMode="External"/><Relationship Id="rId54" Type="http://schemas.openxmlformats.org/officeDocument/2006/relationships/hyperlink" Target="https://doi.org/10.2118/196547-M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4043/29946-MS" TargetMode="External"/><Relationship Id="rId37" Type="http://schemas.openxmlformats.org/officeDocument/2006/relationships/hyperlink" Target="https://www.ijnrd.org/papers/IJNRD2310379" TargetMode="External"/><Relationship Id="rId40" Type="http://schemas.openxmlformats.org/officeDocument/2006/relationships/hyperlink" Target="https://doi.org/10.4043/31161-MS" TargetMode="External"/><Relationship Id="rId45" Type="http://schemas.openxmlformats.org/officeDocument/2006/relationships/hyperlink" Target="https://doi.org/10.4043/32470-MS" TargetMode="External"/><Relationship Id="rId53" Type="http://schemas.openxmlformats.org/officeDocument/2006/relationships/hyperlink" Target="https://doi.org/10.212055-MS"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2118/213870-MS" TargetMode="External"/><Relationship Id="rId36" Type="http://schemas.openxmlformats.org/officeDocument/2006/relationships/hyperlink" Target="https://doi.org/10.4043/31645-MS" TargetMode="External"/><Relationship Id="rId49" Type="http://schemas.openxmlformats.org/officeDocument/2006/relationships/hyperlink" Target="https://doi.org/10.2118/217277-MS"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4043/28374-MS" TargetMode="External"/><Relationship Id="rId44" Type="http://schemas.openxmlformats.org/officeDocument/2006/relationships/hyperlink" Target="https://doi.org/10.2118/203665-MS" TargetMode="External"/><Relationship Id="rId52" Type="http://schemas.openxmlformats.org/officeDocument/2006/relationships/hyperlink" Target="https://doi.org/10.4043/35138-M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2118/195586-PA" TargetMode="External"/><Relationship Id="rId30" Type="http://schemas.openxmlformats.org/officeDocument/2006/relationships/hyperlink" Target="https://doi.org/10.2118/212026-MS" TargetMode="External"/><Relationship Id="rId35" Type="http://schemas.openxmlformats.org/officeDocument/2006/relationships/hyperlink" Target="https://doi.org/10.15530/urtec-2023-3817836" TargetMode="External"/><Relationship Id="rId43" Type="http://schemas.openxmlformats.org/officeDocument/2006/relationships/hyperlink" Target="https://doi.org/10.3390/en12152921" TargetMode="External"/><Relationship Id="rId48" Type="http://schemas.openxmlformats.org/officeDocument/2006/relationships/hyperlink" Target="https://doi.org/10.4043/29411-MS"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doi.org/10.2118/218678-MS"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17</Pages>
  <Words>7255</Words>
  <Characters>41360</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48518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Egu</dc:creator>
  <cp:lastModifiedBy>Dr Egu</cp:lastModifiedBy>
  <cp:revision>28</cp:revision>
  <dcterms:created xsi:type="dcterms:W3CDTF">2024-12-16T01:35:00Z</dcterms:created>
  <dcterms:modified xsi:type="dcterms:W3CDTF">2024-12-17T01:25:00Z</dcterms:modified>
</cp:coreProperties>
</file>