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4B23A" w14:textId="77777777" w:rsidR="00416004" w:rsidRPr="00416004" w:rsidRDefault="00416004" w:rsidP="00416004">
      <w:pPr>
        <w:jc w:val="center"/>
        <w:rPr>
          <w:rFonts w:ascii="Times New Roman" w:hAnsi="Times New Roman" w:cs="Times New Roman"/>
          <w:b/>
          <w:bCs/>
          <w:sz w:val="28"/>
          <w:szCs w:val="28"/>
        </w:rPr>
      </w:pPr>
      <w:r w:rsidRPr="00416004">
        <w:rPr>
          <w:rFonts w:ascii="Times New Roman" w:hAnsi="Times New Roman" w:cs="Times New Roman"/>
          <w:b/>
          <w:bCs/>
          <w:sz w:val="28"/>
          <w:szCs w:val="28"/>
        </w:rPr>
        <w:t>Biodegradable Packaging for Mineral Water: A Sustainable Solution to India's Plastic Waste Crisis</w:t>
      </w:r>
    </w:p>
    <w:p w14:paraId="4A0CA567" w14:textId="18734E9F" w:rsidR="00416004" w:rsidRDefault="008407CF" w:rsidP="008407CF">
      <w:pPr>
        <w:spacing w:after="0"/>
        <w:jc w:val="center"/>
        <w:rPr>
          <w:rFonts w:ascii="Times New Roman" w:hAnsi="Times New Roman" w:cs="Times New Roman"/>
          <w:sz w:val="28"/>
          <w:szCs w:val="28"/>
        </w:rPr>
      </w:pPr>
      <w:r w:rsidRPr="008407CF">
        <w:rPr>
          <w:rFonts w:ascii="Times New Roman" w:hAnsi="Times New Roman" w:cs="Times New Roman"/>
          <w:b/>
          <w:bCs/>
          <w:sz w:val="28"/>
          <w:szCs w:val="28"/>
        </w:rPr>
        <w:t>Author:</w:t>
      </w:r>
      <w:r>
        <w:rPr>
          <w:rFonts w:ascii="Times New Roman" w:hAnsi="Times New Roman" w:cs="Times New Roman"/>
          <w:sz w:val="28"/>
          <w:szCs w:val="28"/>
        </w:rPr>
        <w:t xml:space="preserve"> </w:t>
      </w:r>
      <w:r w:rsidR="00416004">
        <w:rPr>
          <w:rFonts w:ascii="Times New Roman" w:hAnsi="Times New Roman" w:cs="Times New Roman"/>
          <w:sz w:val="28"/>
          <w:szCs w:val="28"/>
        </w:rPr>
        <w:t>Ashwini Kanhaiya Patil</w:t>
      </w:r>
    </w:p>
    <w:p w14:paraId="5A426969" w14:textId="0FDC544C" w:rsidR="00416004" w:rsidRDefault="00416004" w:rsidP="008407CF">
      <w:pPr>
        <w:spacing w:after="0"/>
        <w:jc w:val="center"/>
        <w:rPr>
          <w:rFonts w:ascii="Times New Roman" w:hAnsi="Times New Roman" w:cs="Times New Roman"/>
          <w:sz w:val="28"/>
          <w:szCs w:val="28"/>
        </w:rPr>
      </w:pPr>
      <w:r>
        <w:rPr>
          <w:rFonts w:ascii="Times New Roman" w:hAnsi="Times New Roman" w:cs="Times New Roman"/>
          <w:sz w:val="28"/>
          <w:szCs w:val="28"/>
        </w:rPr>
        <w:t>Research Student</w:t>
      </w:r>
    </w:p>
    <w:p w14:paraId="3C92C068" w14:textId="77777777" w:rsidR="00416004" w:rsidRDefault="00416004" w:rsidP="00416004">
      <w:pPr>
        <w:rPr>
          <w:rFonts w:ascii="Times New Roman" w:hAnsi="Times New Roman" w:cs="Times New Roman"/>
          <w:sz w:val="28"/>
          <w:szCs w:val="28"/>
        </w:rPr>
      </w:pPr>
    </w:p>
    <w:p w14:paraId="7AA635BB" w14:textId="62323E74" w:rsidR="00416004" w:rsidRPr="00416004" w:rsidRDefault="00416004" w:rsidP="00416004">
      <w:pPr>
        <w:rPr>
          <w:rFonts w:ascii="Times New Roman" w:hAnsi="Times New Roman" w:cs="Times New Roman"/>
          <w:b/>
          <w:bCs/>
          <w:sz w:val="28"/>
          <w:szCs w:val="28"/>
        </w:rPr>
      </w:pPr>
      <w:r w:rsidRPr="00416004">
        <w:rPr>
          <w:rFonts w:ascii="Times New Roman" w:hAnsi="Times New Roman" w:cs="Times New Roman"/>
          <w:b/>
          <w:bCs/>
          <w:sz w:val="28"/>
          <w:szCs w:val="28"/>
        </w:rPr>
        <w:t>Abstract</w:t>
      </w:r>
    </w:p>
    <w:p w14:paraId="55683EE5"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Plastic pollution is a growing environmental crisis in India, with single-use plastics accounting for a significant portion of waste. The mineral water industry, reliant on non-biodegradable PET bottles, is a major contributor to this issue. Biodegradable packaging emerges as a promising solution, offering rapid decomposition, reduced carbon emissions, and environmental sustainability. This paper explores the potential of biodegradable packaging as an effective remedy to India’s plastic waste challenge, examining its environmental, economic, and social benefits. Using secondary data analysis, tables, and graphical representations, the study delves into the feasibility and impact of this innovation while addressing challenges and proposing actionable recommendations.</w:t>
      </w:r>
    </w:p>
    <w:p w14:paraId="1B41A9B1"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pict w14:anchorId="050C6ADF">
          <v:rect id="_x0000_i1342" style="width:0;height:1.5pt" o:hralign="center" o:hrstd="t" o:hr="t" fillcolor="#a0a0a0" stroked="f"/>
        </w:pict>
      </w:r>
    </w:p>
    <w:p w14:paraId="41179E41" w14:textId="77777777" w:rsidR="00416004" w:rsidRPr="00416004" w:rsidRDefault="00416004" w:rsidP="00416004">
      <w:pPr>
        <w:rPr>
          <w:rFonts w:ascii="Times New Roman" w:hAnsi="Times New Roman" w:cs="Times New Roman"/>
          <w:b/>
          <w:bCs/>
          <w:sz w:val="28"/>
          <w:szCs w:val="28"/>
        </w:rPr>
      </w:pPr>
      <w:r w:rsidRPr="00416004">
        <w:rPr>
          <w:rFonts w:ascii="Times New Roman" w:hAnsi="Times New Roman" w:cs="Times New Roman"/>
          <w:b/>
          <w:bCs/>
          <w:sz w:val="28"/>
          <w:szCs w:val="28"/>
        </w:rPr>
        <w:t>1. Introduction</w:t>
      </w:r>
    </w:p>
    <w:p w14:paraId="421EEADF"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Plastic pollution has become one of the most pressing environmental challenges globally, and its impacts are particularly severe in developing nations like India. The country’s rapid urbanization, population growth, and increasing consumption have led to an unprecedented surge in plastic waste generation. According to recent reports, India generates approximately 3.5 million tons of plastic waste annually, with single-use plastics constituting a significant portion of this total. These plastics, derived primarily from petroleum-based materials, are non-biodegradable and persist in the environment for centuries, causing irreversible damage to ecosystems and human health.</w:t>
      </w:r>
    </w:p>
    <w:p w14:paraId="37253CE3"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 xml:space="preserve">Among the myriad sources of plastic pollution, the mineral water industry stands out as a significant contributor. PET (polyethylene terephthalate) bottles, the primary packaging material for bottled water, are </w:t>
      </w:r>
      <w:proofErr w:type="spellStart"/>
      <w:r w:rsidRPr="00416004">
        <w:rPr>
          <w:rFonts w:ascii="Times New Roman" w:hAnsi="Times New Roman" w:cs="Times New Roman"/>
          <w:sz w:val="28"/>
          <w:szCs w:val="28"/>
        </w:rPr>
        <w:t>favored</w:t>
      </w:r>
      <w:proofErr w:type="spellEnd"/>
      <w:r w:rsidRPr="00416004">
        <w:rPr>
          <w:rFonts w:ascii="Times New Roman" w:hAnsi="Times New Roman" w:cs="Times New Roman"/>
          <w:sz w:val="28"/>
          <w:szCs w:val="28"/>
        </w:rPr>
        <w:t xml:space="preserve"> for their durability, affordability, and convenience. However, their environmental cost is steep. PET bottles account for nearly 20% of India’s single-use plastic waste, with only 30% effectively recycled. The remaining 70% often ends up in landfills, water bodies, or as litter, exacerbating pollution and posing grave threats to wildlife and human health.</w:t>
      </w:r>
    </w:p>
    <w:p w14:paraId="2A9D9C12"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lastRenderedPageBreak/>
        <w:t>Biodegradable packaging offers a sustainable alternative to PET bottles. Derived from renewable resources such as cornstarch, sugarcane, and algae, these materials decompose within months under suitable conditions, leaving no toxic residue. This innovation not only aligns with global sustainability goals but also addresses India’s specific environmental, economic, and social challenges. By examining biodegradable packaging through the lenses of environmental benefits, economic viability, and social implications, this paper seeks to highlight its potential as a transformative solution to India’s plastic waste crisis.</w:t>
      </w:r>
    </w:p>
    <w:p w14:paraId="7B791C94"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pict w14:anchorId="486C97A5">
          <v:rect id="_x0000_i1343" style="width:0;height:1.5pt" o:hralign="center" o:hrstd="t" o:hr="t" fillcolor="#a0a0a0" stroked="f"/>
        </w:pict>
      </w:r>
    </w:p>
    <w:p w14:paraId="704A42E3" w14:textId="77777777" w:rsidR="00416004" w:rsidRPr="00416004" w:rsidRDefault="00416004" w:rsidP="00416004">
      <w:pPr>
        <w:rPr>
          <w:rFonts w:ascii="Times New Roman" w:hAnsi="Times New Roman" w:cs="Times New Roman"/>
          <w:b/>
          <w:bCs/>
          <w:sz w:val="28"/>
          <w:szCs w:val="28"/>
        </w:rPr>
      </w:pPr>
      <w:r w:rsidRPr="00416004">
        <w:rPr>
          <w:rFonts w:ascii="Times New Roman" w:hAnsi="Times New Roman" w:cs="Times New Roman"/>
          <w:b/>
          <w:bCs/>
          <w:sz w:val="28"/>
          <w:szCs w:val="28"/>
        </w:rPr>
        <w:t>2. Plastic Waste in India: An Analytical Overview</w:t>
      </w:r>
    </w:p>
    <w:p w14:paraId="6BF4F8AC" w14:textId="77777777" w:rsidR="00416004" w:rsidRPr="00416004" w:rsidRDefault="00416004" w:rsidP="00416004">
      <w:pPr>
        <w:rPr>
          <w:rFonts w:ascii="Times New Roman" w:hAnsi="Times New Roman" w:cs="Times New Roman"/>
          <w:b/>
          <w:bCs/>
          <w:sz w:val="28"/>
          <w:szCs w:val="28"/>
        </w:rPr>
      </w:pPr>
      <w:r w:rsidRPr="00416004">
        <w:rPr>
          <w:rFonts w:ascii="Times New Roman" w:hAnsi="Times New Roman" w:cs="Times New Roman"/>
          <w:b/>
          <w:bCs/>
          <w:sz w:val="28"/>
          <w:szCs w:val="28"/>
        </w:rPr>
        <w:t>2.1. Scope of the Problem</w:t>
      </w:r>
    </w:p>
    <w:p w14:paraId="2FF4C237"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India’s plastic waste crisis has escalated dramatically over the past decade, driven by increased consumption and inadequate waste management infrastructure. Table 1 provides a detailed overview of the trends in plastic waste generation in India over recent years.</w:t>
      </w:r>
    </w:p>
    <w:p w14:paraId="5BCB88D4"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Table 1: Trends in Plastic Waste Generation in India</w:t>
      </w:r>
    </w:p>
    <w:tbl>
      <w:tblPr>
        <w:tblW w:w="0" w:type="auto"/>
        <w:tblCellSpacing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695"/>
        <w:gridCol w:w="3608"/>
        <w:gridCol w:w="3024"/>
        <w:gridCol w:w="1669"/>
      </w:tblGrid>
      <w:tr w:rsidR="00416004" w:rsidRPr="00416004" w14:paraId="56B4CFA5" w14:textId="77777777" w:rsidTr="00416004">
        <w:trPr>
          <w:tblCellSpacing w:w="15" w:type="dxa"/>
        </w:trPr>
        <w:tc>
          <w:tcPr>
            <w:tcW w:w="0" w:type="auto"/>
            <w:vAlign w:val="center"/>
            <w:hideMark/>
          </w:tcPr>
          <w:p w14:paraId="2A4D067B"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Year</w:t>
            </w:r>
          </w:p>
        </w:tc>
        <w:tc>
          <w:tcPr>
            <w:tcW w:w="0" w:type="auto"/>
            <w:vAlign w:val="center"/>
            <w:hideMark/>
          </w:tcPr>
          <w:p w14:paraId="67FE71E0"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Plastic Waste Generated (in Million Tons)</w:t>
            </w:r>
          </w:p>
        </w:tc>
        <w:tc>
          <w:tcPr>
            <w:tcW w:w="0" w:type="auto"/>
            <w:vAlign w:val="center"/>
            <w:hideMark/>
          </w:tcPr>
          <w:p w14:paraId="27638C5F"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Percentage of Single-Use Plastics</w:t>
            </w:r>
          </w:p>
        </w:tc>
        <w:tc>
          <w:tcPr>
            <w:tcW w:w="0" w:type="auto"/>
            <w:vAlign w:val="center"/>
            <w:hideMark/>
          </w:tcPr>
          <w:p w14:paraId="310CE4DD"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Waste Recycled</w:t>
            </w:r>
          </w:p>
        </w:tc>
      </w:tr>
      <w:tr w:rsidR="00416004" w:rsidRPr="00416004" w14:paraId="112AB73C" w14:textId="77777777" w:rsidTr="00416004">
        <w:trPr>
          <w:tblCellSpacing w:w="15" w:type="dxa"/>
        </w:trPr>
        <w:tc>
          <w:tcPr>
            <w:tcW w:w="0" w:type="auto"/>
            <w:vAlign w:val="center"/>
            <w:hideMark/>
          </w:tcPr>
          <w:p w14:paraId="718ED337"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2015</w:t>
            </w:r>
          </w:p>
        </w:tc>
        <w:tc>
          <w:tcPr>
            <w:tcW w:w="0" w:type="auto"/>
            <w:vAlign w:val="center"/>
            <w:hideMark/>
          </w:tcPr>
          <w:p w14:paraId="0F49E2DD"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2.7</w:t>
            </w:r>
          </w:p>
        </w:tc>
        <w:tc>
          <w:tcPr>
            <w:tcW w:w="0" w:type="auto"/>
            <w:vAlign w:val="center"/>
            <w:hideMark/>
          </w:tcPr>
          <w:p w14:paraId="2090F1C2"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50%</w:t>
            </w:r>
          </w:p>
        </w:tc>
        <w:tc>
          <w:tcPr>
            <w:tcW w:w="0" w:type="auto"/>
            <w:vAlign w:val="center"/>
            <w:hideMark/>
          </w:tcPr>
          <w:p w14:paraId="73975F2A"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25%</w:t>
            </w:r>
          </w:p>
        </w:tc>
      </w:tr>
      <w:tr w:rsidR="00416004" w:rsidRPr="00416004" w14:paraId="569B929E" w14:textId="77777777" w:rsidTr="00416004">
        <w:trPr>
          <w:tblCellSpacing w:w="15" w:type="dxa"/>
        </w:trPr>
        <w:tc>
          <w:tcPr>
            <w:tcW w:w="0" w:type="auto"/>
            <w:vAlign w:val="center"/>
            <w:hideMark/>
          </w:tcPr>
          <w:p w14:paraId="2EC43EB5"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2018</w:t>
            </w:r>
          </w:p>
        </w:tc>
        <w:tc>
          <w:tcPr>
            <w:tcW w:w="0" w:type="auto"/>
            <w:vAlign w:val="center"/>
            <w:hideMark/>
          </w:tcPr>
          <w:p w14:paraId="39A66B4A"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3.2</w:t>
            </w:r>
          </w:p>
        </w:tc>
        <w:tc>
          <w:tcPr>
            <w:tcW w:w="0" w:type="auto"/>
            <w:vAlign w:val="center"/>
            <w:hideMark/>
          </w:tcPr>
          <w:p w14:paraId="406EBEF0"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55%</w:t>
            </w:r>
          </w:p>
        </w:tc>
        <w:tc>
          <w:tcPr>
            <w:tcW w:w="0" w:type="auto"/>
            <w:vAlign w:val="center"/>
            <w:hideMark/>
          </w:tcPr>
          <w:p w14:paraId="739FDAD8"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28%</w:t>
            </w:r>
          </w:p>
        </w:tc>
      </w:tr>
      <w:tr w:rsidR="00416004" w:rsidRPr="00416004" w14:paraId="2B8AD72D" w14:textId="77777777" w:rsidTr="00416004">
        <w:trPr>
          <w:tblCellSpacing w:w="15" w:type="dxa"/>
        </w:trPr>
        <w:tc>
          <w:tcPr>
            <w:tcW w:w="0" w:type="auto"/>
            <w:vAlign w:val="center"/>
            <w:hideMark/>
          </w:tcPr>
          <w:p w14:paraId="2954A4DF"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2023</w:t>
            </w:r>
          </w:p>
        </w:tc>
        <w:tc>
          <w:tcPr>
            <w:tcW w:w="0" w:type="auto"/>
            <w:vAlign w:val="center"/>
            <w:hideMark/>
          </w:tcPr>
          <w:p w14:paraId="2F45C0F3"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3.5</w:t>
            </w:r>
          </w:p>
        </w:tc>
        <w:tc>
          <w:tcPr>
            <w:tcW w:w="0" w:type="auto"/>
            <w:vAlign w:val="center"/>
            <w:hideMark/>
          </w:tcPr>
          <w:p w14:paraId="2207FE20"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60%</w:t>
            </w:r>
          </w:p>
        </w:tc>
        <w:tc>
          <w:tcPr>
            <w:tcW w:w="0" w:type="auto"/>
            <w:vAlign w:val="center"/>
            <w:hideMark/>
          </w:tcPr>
          <w:p w14:paraId="27ACCEEB"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30%</w:t>
            </w:r>
          </w:p>
        </w:tc>
      </w:tr>
    </w:tbl>
    <w:p w14:paraId="086DAFF8"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The data reveals a consistent increase in plastic waste generation, with single-use plastics accounting for a growing proportion. Despite efforts to improve recycling rates, the gap between waste generated and waste recycled remains significant, highlighting the urgent need for alternative solutions.</w:t>
      </w:r>
    </w:p>
    <w:p w14:paraId="73046FAB" w14:textId="77777777" w:rsidR="00416004" w:rsidRPr="00416004" w:rsidRDefault="00416004" w:rsidP="00416004">
      <w:pPr>
        <w:rPr>
          <w:rFonts w:ascii="Times New Roman" w:hAnsi="Times New Roman" w:cs="Times New Roman"/>
          <w:b/>
          <w:bCs/>
          <w:sz w:val="28"/>
          <w:szCs w:val="28"/>
        </w:rPr>
      </w:pPr>
      <w:r w:rsidRPr="00416004">
        <w:rPr>
          <w:rFonts w:ascii="Times New Roman" w:hAnsi="Times New Roman" w:cs="Times New Roman"/>
          <w:b/>
          <w:bCs/>
          <w:sz w:val="28"/>
          <w:szCs w:val="28"/>
        </w:rPr>
        <w:t>2.2. Contribution of PET Bottles</w:t>
      </w:r>
    </w:p>
    <w:p w14:paraId="0C3CE444"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PET bottles, particularly those used in the beverage industry, represent a major source of single-use plastic waste. Table 2 breaks down PET bottle usage across key sectors in India.</w:t>
      </w:r>
    </w:p>
    <w:p w14:paraId="6E05664F" w14:textId="77777777" w:rsidR="00416004" w:rsidRDefault="00416004" w:rsidP="00416004">
      <w:pPr>
        <w:rPr>
          <w:rFonts w:ascii="Times New Roman" w:hAnsi="Times New Roman" w:cs="Times New Roman"/>
          <w:sz w:val="28"/>
          <w:szCs w:val="28"/>
        </w:rPr>
      </w:pPr>
    </w:p>
    <w:p w14:paraId="18008C39" w14:textId="77777777" w:rsidR="00416004" w:rsidRDefault="00416004" w:rsidP="00416004">
      <w:pPr>
        <w:rPr>
          <w:rFonts w:ascii="Times New Roman" w:hAnsi="Times New Roman" w:cs="Times New Roman"/>
          <w:sz w:val="28"/>
          <w:szCs w:val="28"/>
        </w:rPr>
      </w:pPr>
    </w:p>
    <w:p w14:paraId="170DC2F9" w14:textId="6032CD73"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lastRenderedPageBreak/>
        <w:t>Table 2: PET Bottle Usage in Key Sectors in India</w:t>
      </w:r>
    </w:p>
    <w:tbl>
      <w:tblPr>
        <w:tblW w:w="0" w:type="auto"/>
        <w:tblCellSpacing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1891"/>
        <w:gridCol w:w="3599"/>
        <w:gridCol w:w="3506"/>
      </w:tblGrid>
      <w:tr w:rsidR="00416004" w:rsidRPr="00416004" w14:paraId="1EDB5364" w14:textId="77777777" w:rsidTr="00416004">
        <w:trPr>
          <w:tblCellSpacing w:w="15" w:type="dxa"/>
        </w:trPr>
        <w:tc>
          <w:tcPr>
            <w:tcW w:w="0" w:type="auto"/>
            <w:vAlign w:val="center"/>
            <w:hideMark/>
          </w:tcPr>
          <w:p w14:paraId="05FD7BC4"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Sector</w:t>
            </w:r>
          </w:p>
        </w:tc>
        <w:tc>
          <w:tcPr>
            <w:tcW w:w="0" w:type="auto"/>
            <w:vAlign w:val="center"/>
            <w:hideMark/>
          </w:tcPr>
          <w:p w14:paraId="6881AF3F"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PET Bottle Usage (in Million Tons)</w:t>
            </w:r>
          </w:p>
        </w:tc>
        <w:tc>
          <w:tcPr>
            <w:tcW w:w="0" w:type="auto"/>
            <w:vAlign w:val="center"/>
            <w:hideMark/>
          </w:tcPr>
          <w:p w14:paraId="522CE1B2"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Percentage Contribution to Waste</w:t>
            </w:r>
          </w:p>
        </w:tc>
      </w:tr>
      <w:tr w:rsidR="00416004" w:rsidRPr="00416004" w14:paraId="4F51AC3E" w14:textId="77777777" w:rsidTr="00416004">
        <w:trPr>
          <w:tblCellSpacing w:w="15" w:type="dxa"/>
        </w:trPr>
        <w:tc>
          <w:tcPr>
            <w:tcW w:w="0" w:type="auto"/>
            <w:vAlign w:val="center"/>
            <w:hideMark/>
          </w:tcPr>
          <w:p w14:paraId="5F1AE21E"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Mineral Water</w:t>
            </w:r>
          </w:p>
        </w:tc>
        <w:tc>
          <w:tcPr>
            <w:tcW w:w="0" w:type="auto"/>
            <w:vAlign w:val="center"/>
            <w:hideMark/>
          </w:tcPr>
          <w:p w14:paraId="25617AFB"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1.1</w:t>
            </w:r>
          </w:p>
        </w:tc>
        <w:tc>
          <w:tcPr>
            <w:tcW w:w="0" w:type="auto"/>
            <w:vAlign w:val="center"/>
            <w:hideMark/>
          </w:tcPr>
          <w:p w14:paraId="27B7C01C"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20%</w:t>
            </w:r>
          </w:p>
        </w:tc>
      </w:tr>
      <w:tr w:rsidR="00416004" w:rsidRPr="00416004" w14:paraId="1AAC5DB2" w14:textId="77777777" w:rsidTr="00416004">
        <w:trPr>
          <w:tblCellSpacing w:w="15" w:type="dxa"/>
        </w:trPr>
        <w:tc>
          <w:tcPr>
            <w:tcW w:w="0" w:type="auto"/>
            <w:vAlign w:val="center"/>
            <w:hideMark/>
          </w:tcPr>
          <w:p w14:paraId="0B499799"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Soft Drinks</w:t>
            </w:r>
          </w:p>
        </w:tc>
        <w:tc>
          <w:tcPr>
            <w:tcW w:w="0" w:type="auto"/>
            <w:vAlign w:val="center"/>
            <w:hideMark/>
          </w:tcPr>
          <w:p w14:paraId="21499097"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1.3</w:t>
            </w:r>
          </w:p>
        </w:tc>
        <w:tc>
          <w:tcPr>
            <w:tcW w:w="0" w:type="auto"/>
            <w:vAlign w:val="center"/>
            <w:hideMark/>
          </w:tcPr>
          <w:p w14:paraId="1E3CB9B0"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25%</w:t>
            </w:r>
          </w:p>
        </w:tc>
      </w:tr>
      <w:tr w:rsidR="00416004" w:rsidRPr="00416004" w14:paraId="44CD0008" w14:textId="77777777" w:rsidTr="00416004">
        <w:trPr>
          <w:tblCellSpacing w:w="15" w:type="dxa"/>
        </w:trPr>
        <w:tc>
          <w:tcPr>
            <w:tcW w:w="0" w:type="auto"/>
            <w:vAlign w:val="center"/>
            <w:hideMark/>
          </w:tcPr>
          <w:p w14:paraId="61933773"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Other Beverages</w:t>
            </w:r>
          </w:p>
        </w:tc>
        <w:tc>
          <w:tcPr>
            <w:tcW w:w="0" w:type="auto"/>
            <w:vAlign w:val="center"/>
            <w:hideMark/>
          </w:tcPr>
          <w:p w14:paraId="67C3230C"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0.6</w:t>
            </w:r>
          </w:p>
        </w:tc>
        <w:tc>
          <w:tcPr>
            <w:tcW w:w="0" w:type="auto"/>
            <w:vAlign w:val="center"/>
            <w:hideMark/>
          </w:tcPr>
          <w:p w14:paraId="44246F42"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10%</w:t>
            </w:r>
          </w:p>
        </w:tc>
      </w:tr>
    </w:tbl>
    <w:p w14:paraId="07871092"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The mineral water sector alone contributes to 20% of the PET bottle waste, underscoring the need for targeted interventions in this industry.</w:t>
      </w:r>
    </w:p>
    <w:p w14:paraId="63936676"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pict w14:anchorId="09027C59">
          <v:rect id="_x0000_i1344" style="width:0;height:1.5pt" o:hralign="center" o:hrstd="t" o:hr="t" fillcolor="#a0a0a0" stroked="f"/>
        </w:pict>
      </w:r>
    </w:p>
    <w:p w14:paraId="28CEAA44" w14:textId="77777777" w:rsidR="00416004" w:rsidRPr="00416004" w:rsidRDefault="00416004" w:rsidP="00416004">
      <w:pPr>
        <w:rPr>
          <w:rFonts w:ascii="Times New Roman" w:hAnsi="Times New Roman" w:cs="Times New Roman"/>
          <w:b/>
          <w:bCs/>
          <w:sz w:val="28"/>
          <w:szCs w:val="28"/>
        </w:rPr>
      </w:pPr>
      <w:r w:rsidRPr="00416004">
        <w:rPr>
          <w:rFonts w:ascii="Times New Roman" w:hAnsi="Times New Roman" w:cs="Times New Roman"/>
          <w:b/>
          <w:bCs/>
          <w:sz w:val="28"/>
          <w:szCs w:val="28"/>
        </w:rPr>
        <w:t>3. How Biodegradable Packaging Offers an Effective Solution</w:t>
      </w:r>
    </w:p>
    <w:p w14:paraId="1B66ADAD"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Biodegradable packaging has emerged as a promising solution to the challenges posed by PET bottles. Below is an in-depth analysis of its effectiveness across various dimensions.</w:t>
      </w:r>
    </w:p>
    <w:p w14:paraId="4D217773" w14:textId="77777777" w:rsidR="00416004" w:rsidRPr="00416004" w:rsidRDefault="00416004" w:rsidP="00416004">
      <w:pPr>
        <w:rPr>
          <w:rFonts w:ascii="Times New Roman" w:hAnsi="Times New Roman" w:cs="Times New Roman"/>
          <w:b/>
          <w:bCs/>
          <w:sz w:val="28"/>
          <w:szCs w:val="28"/>
        </w:rPr>
      </w:pPr>
      <w:r w:rsidRPr="00416004">
        <w:rPr>
          <w:rFonts w:ascii="Times New Roman" w:hAnsi="Times New Roman" w:cs="Times New Roman"/>
          <w:b/>
          <w:bCs/>
          <w:sz w:val="28"/>
          <w:szCs w:val="28"/>
        </w:rPr>
        <w:t>3.1. Rapid Decomposition and Reduction in Persistent Waste</w:t>
      </w:r>
    </w:p>
    <w:p w14:paraId="17F05A0F"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Unlike traditional PET bottles, which take over 450 years to decompose, biodegradable materials such as PLA (polylactic acid) and PHA (polyhydroxyalkanoates) decompose within 3-6 months under industrial composting conditions. This rapid decomposition significantly reduces waste accumulation in landfills and water bodies.</w:t>
      </w:r>
    </w:p>
    <w:p w14:paraId="7ABBBEC6"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Table 3: Comparative Analysis of Decomposition Rates</w:t>
      </w:r>
    </w:p>
    <w:tbl>
      <w:tblPr>
        <w:tblW w:w="0" w:type="auto"/>
        <w:tblCellSpacing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1084"/>
        <w:gridCol w:w="2477"/>
        <w:gridCol w:w="4125"/>
      </w:tblGrid>
      <w:tr w:rsidR="00416004" w:rsidRPr="00416004" w14:paraId="7C09F760" w14:textId="77777777" w:rsidTr="00416004">
        <w:trPr>
          <w:tblCellSpacing w:w="15" w:type="dxa"/>
        </w:trPr>
        <w:tc>
          <w:tcPr>
            <w:tcW w:w="0" w:type="auto"/>
            <w:vAlign w:val="center"/>
            <w:hideMark/>
          </w:tcPr>
          <w:p w14:paraId="0F929D28"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Material</w:t>
            </w:r>
          </w:p>
        </w:tc>
        <w:tc>
          <w:tcPr>
            <w:tcW w:w="0" w:type="auto"/>
            <w:vAlign w:val="center"/>
            <w:hideMark/>
          </w:tcPr>
          <w:p w14:paraId="06A3B850"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Decomposition Time</w:t>
            </w:r>
          </w:p>
        </w:tc>
        <w:tc>
          <w:tcPr>
            <w:tcW w:w="0" w:type="auto"/>
            <w:vAlign w:val="center"/>
            <w:hideMark/>
          </w:tcPr>
          <w:p w14:paraId="51E2920E"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Environmental Impact</w:t>
            </w:r>
          </w:p>
        </w:tc>
      </w:tr>
      <w:tr w:rsidR="00416004" w:rsidRPr="00416004" w14:paraId="4AE0E5E1" w14:textId="77777777" w:rsidTr="00416004">
        <w:trPr>
          <w:tblCellSpacing w:w="15" w:type="dxa"/>
        </w:trPr>
        <w:tc>
          <w:tcPr>
            <w:tcW w:w="0" w:type="auto"/>
            <w:vAlign w:val="center"/>
            <w:hideMark/>
          </w:tcPr>
          <w:p w14:paraId="25642B57"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PET</w:t>
            </w:r>
          </w:p>
        </w:tc>
        <w:tc>
          <w:tcPr>
            <w:tcW w:w="0" w:type="auto"/>
            <w:vAlign w:val="center"/>
            <w:hideMark/>
          </w:tcPr>
          <w:p w14:paraId="0EDF800D"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450+ years</w:t>
            </w:r>
          </w:p>
        </w:tc>
        <w:tc>
          <w:tcPr>
            <w:tcW w:w="0" w:type="auto"/>
            <w:vAlign w:val="center"/>
            <w:hideMark/>
          </w:tcPr>
          <w:p w14:paraId="2F40253A"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Long-term pollution, microplastics</w:t>
            </w:r>
          </w:p>
        </w:tc>
      </w:tr>
      <w:tr w:rsidR="00416004" w:rsidRPr="00416004" w14:paraId="7445606F" w14:textId="77777777" w:rsidTr="00416004">
        <w:trPr>
          <w:tblCellSpacing w:w="15" w:type="dxa"/>
        </w:trPr>
        <w:tc>
          <w:tcPr>
            <w:tcW w:w="0" w:type="auto"/>
            <w:vAlign w:val="center"/>
            <w:hideMark/>
          </w:tcPr>
          <w:p w14:paraId="30DFD157"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PLA</w:t>
            </w:r>
          </w:p>
        </w:tc>
        <w:tc>
          <w:tcPr>
            <w:tcW w:w="0" w:type="auto"/>
            <w:vAlign w:val="center"/>
            <w:hideMark/>
          </w:tcPr>
          <w:p w14:paraId="156EBFF7"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3-6 months</w:t>
            </w:r>
          </w:p>
        </w:tc>
        <w:tc>
          <w:tcPr>
            <w:tcW w:w="0" w:type="auto"/>
            <w:vAlign w:val="center"/>
            <w:hideMark/>
          </w:tcPr>
          <w:p w14:paraId="54C71389"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Fully decomposed, no toxic residue</w:t>
            </w:r>
          </w:p>
        </w:tc>
      </w:tr>
    </w:tbl>
    <w:p w14:paraId="4CA3F06D" w14:textId="77777777" w:rsidR="00416004" w:rsidRDefault="00416004" w:rsidP="00416004">
      <w:pPr>
        <w:rPr>
          <w:rFonts w:ascii="Times New Roman" w:hAnsi="Times New Roman" w:cs="Times New Roman"/>
          <w:sz w:val="28"/>
          <w:szCs w:val="28"/>
        </w:rPr>
      </w:pPr>
    </w:p>
    <w:p w14:paraId="24917138" w14:textId="68101935" w:rsidR="00416004" w:rsidRPr="00416004" w:rsidRDefault="00416004" w:rsidP="00416004">
      <w:pPr>
        <w:rPr>
          <w:rFonts w:ascii="Times New Roman" w:hAnsi="Times New Roman" w:cs="Times New Roman"/>
          <w:b/>
          <w:bCs/>
          <w:sz w:val="28"/>
          <w:szCs w:val="28"/>
        </w:rPr>
      </w:pPr>
      <w:r w:rsidRPr="00416004">
        <w:rPr>
          <w:rFonts w:ascii="Times New Roman" w:hAnsi="Times New Roman" w:cs="Times New Roman"/>
          <w:b/>
          <w:bCs/>
          <w:sz w:val="28"/>
          <w:szCs w:val="28"/>
        </w:rPr>
        <w:t>3.2. Reduction in Carbon Footprint</w:t>
      </w:r>
    </w:p>
    <w:p w14:paraId="7AB14496"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 xml:space="preserve">The production of biodegradable packaging materials requires less energy and results in lower greenhouse gas emissions compared to traditional plastics. This </w:t>
      </w:r>
      <w:r w:rsidRPr="00416004">
        <w:rPr>
          <w:rFonts w:ascii="Times New Roman" w:hAnsi="Times New Roman" w:cs="Times New Roman"/>
          <w:sz w:val="28"/>
          <w:szCs w:val="28"/>
        </w:rPr>
        <w:lastRenderedPageBreak/>
        <w:t>contributes to a reduced carbon footprint and aligns with global efforts to combat climate change.</w:t>
      </w:r>
    </w:p>
    <w:p w14:paraId="7DA12720" w14:textId="77777777" w:rsidR="00416004" w:rsidRPr="00416004" w:rsidRDefault="00416004" w:rsidP="00416004">
      <w:pPr>
        <w:rPr>
          <w:rFonts w:ascii="Times New Roman" w:hAnsi="Times New Roman" w:cs="Times New Roman"/>
          <w:b/>
          <w:bCs/>
          <w:sz w:val="28"/>
          <w:szCs w:val="28"/>
        </w:rPr>
      </w:pPr>
      <w:r w:rsidRPr="00416004">
        <w:rPr>
          <w:rFonts w:ascii="Times New Roman" w:hAnsi="Times New Roman" w:cs="Times New Roman"/>
          <w:b/>
          <w:bCs/>
          <w:sz w:val="28"/>
          <w:szCs w:val="28"/>
        </w:rPr>
        <w:t>3.3. Elimination of Microplastic Pollution</w:t>
      </w:r>
    </w:p>
    <w:p w14:paraId="2A66E18D"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Traditional plastics fragment into microplastics over time, contaminating ecosystems and entering the food chain. Biodegradable packaging, by decomposing entirely, eliminates this issue, ensuring cleaner water bodies and soil.</w:t>
      </w:r>
    </w:p>
    <w:p w14:paraId="47E7997E" w14:textId="77777777" w:rsidR="00416004" w:rsidRPr="00416004" w:rsidRDefault="00416004" w:rsidP="00416004">
      <w:pPr>
        <w:rPr>
          <w:rFonts w:ascii="Times New Roman" w:hAnsi="Times New Roman" w:cs="Times New Roman"/>
          <w:b/>
          <w:bCs/>
          <w:sz w:val="28"/>
          <w:szCs w:val="28"/>
        </w:rPr>
      </w:pPr>
      <w:r w:rsidRPr="00416004">
        <w:rPr>
          <w:rFonts w:ascii="Times New Roman" w:hAnsi="Times New Roman" w:cs="Times New Roman"/>
          <w:b/>
          <w:bCs/>
          <w:sz w:val="28"/>
          <w:szCs w:val="28"/>
        </w:rPr>
        <w:t>3.4. Economic Benefits and Employment Generation</w:t>
      </w:r>
    </w:p>
    <w:p w14:paraId="1AF84440"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Transitioning to biodegradable packaging offers significant economic advantages, including:</w:t>
      </w:r>
    </w:p>
    <w:p w14:paraId="415F1E0C" w14:textId="77777777" w:rsidR="00416004" w:rsidRPr="00416004" w:rsidRDefault="00416004" w:rsidP="00416004">
      <w:pPr>
        <w:numPr>
          <w:ilvl w:val="0"/>
          <w:numId w:val="13"/>
        </w:numPr>
        <w:rPr>
          <w:rFonts w:ascii="Times New Roman" w:hAnsi="Times New Roman" w:cs="Times New Roman"/>
          <w:sz w:val="28"/>
          <w:szCs w:val="28"/>
        </w:rPr>
      </w:pPr>
      <w:r w:rsidRPr="00416004">
        <w:rPr>
          <w:rFonts w:ascii="Times New Roman" w:hAnsi="Times New Roman" w:cs="Times New Roman"/>
          <w:sz w:val="28"/>
          <w:szCs w:val="28"/>
        </w:rPr>
        <w:t>Boosting Agriculture: Increased demand for crops like corn and sugarcane provides opportunities for farmers.</w:t>
      </w:r>
    </w:p>
    <w:p w14:paraId="7910812E" w14:textId="77777777" w:rsidR="00416004" w:rsidRPr="00416004" w:rsidRDefault="00416004" w:rsidP="00416004">
      <w:pPr>
        <w:numPr>
          <w:ilvl w:val="0"/>
          <w:numId w:val="13"/>
        </w:numPr>
        <w:rPr>
          <w:rFonts w:ascii="Times New Roman" w:hAnsi="Times New Roman" w:cs="Times New Roman"/>
          <w:sz w:val="28"/>
          <w:szCs w:val="28"/>
        </w:rPr>
      </w:pPr>
      <w:r w:rsidRPr="00416004">
        <w:rPr>
          <w:rFonts w:ascii="Times New Roman" w:hAnsi="Times New Roman" w:cs="Times New Roman"/>
          <w:sz w:val="28"/>
          <w:szCs w:val="28"/>
        </w:rPr>
        <w:t>Expanding Bioplastics Manufacturing: Establishing production facilities creates jobs and stimulates economic growth.</w:t>
      </w:r>
    </w:p>
    <w:p w14:paraId="0938C537" w14:textId="77777777" w:rsidR="00416004" w:rsidRPr="00416004" w:rsidRDefault="00416004" w:rsidP="00416004">
      <w:pPr>
        <w:numPr>
          <w:ilvl w:val="0"/>
          <w:numId w:val="13"/>
        </w:numPr>
        <w:rPr>
          <w:rFonts w:ascii="Times New Roman" w:hAnsi="Times New Roman" w:cs="Times New Roman"/>
          <w:sz w:val="28"/>
          <w:szCs w:val="28"/>
        </w:rPr>
      </w:pPr>
      <w:r w:rsidRPr="00416004">
        <w:rPr>
          <w:rFonts w:ascii="Times New Roman" w:hAnsi="Times New Roman" w:cs="Times New Roman"/>
          <w:sz w:val="28"/>
          <w:szCs w:val="28"/>
        </w:rPr>
        <w:t>Global Export Potential: India can position itself as a leader in eco-friendly packaging materials, tapping into international markets.</w:t>
      </w:r>
    </w:p>
    <w:p w14:paraId="61F27A10"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pict w14:anchorId="3F6908EC">
          <v:rect id="_x0000_i1345" style="width:0;height:1.5pt" o:hralign="center" o:hrstd="t" o:hr="t" fillcolor="#a0a0a0" stroked="f"/>
        </w:pict>
      </w:r>
    </w:p>
    <w:p w14:paraId="2E41A2A9" w14:textId="77777777" w:rsidR="00416004" w:rsidRPr="00416004" w:rsidRDefault="00416004" w:rsidP="00416004">
      <w:pPr>
        <w:rPr>
          <w:rFonts w:ascii="Times New Roman" w:hAnsi="Times New Roman" w:cs="Times New Roman"/>
          <w:b/>
          <w:bCs/>
          <w:sz w:val="28"/>
          <w:szCs w:val="28"/>
        </w:rPr>
      </w:pPr>
      <w:r w:rsidRPr="00416004">
        <w:rPr>
          <w:rFonts w:ascii="Times New Roman" w:hAnsi="Times New Roman" w:cs="Times New Roman"/>
          <w:b/>
          <w:bCs/>
          <w:sz w:val="28"/>
          <w:szCs w:val="28"/>
        </w:rPr>
        <w:t>4. Challenges and Recommendations</w:t>
      </w:r>
    </w:p>
    <w:p w14:paraId="270A07FC" w14:textId="77777777" w:rsidR="00416004" w:rsidRPr="00416004" w:rsidRDefault="00416004" w:rsidP="00416004">
      <w:pPr>
        <w:rPr>
          <w:rFonts w:ascii="Times New Roman" w:hAnsi="Times New Roman" w:cs="Times New Roman"/>
          <w:b/>
          <w:bCs/>
          <w:sz w:val="28"/>
          <w:szCs w:val="28"/>
        </w:rPr>
      </w:pPr>
      <w:r w:rsidRPr="00416004">
        <w:rPr>
          <w:rFonts w:ascii="Times New Roman" w:hAnsi="Times New Roman" w:cs="Times New Roman"/>
          <w:b/>
          <w:bCs/>
          <w:sz w:val="28"/>
          <w:szCs w:val="28"/>
        </w:rPr>
        <w:t>4.1. Challenges</w:t>
      </w:r>
    </w:p>
    <w:p w14:paraId="46E1192D"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Despite its benefits, the adoption of biodegradable packaging faces several challenges:</w:t>
      </w:r>
    </w:p>
    <w:p w14:paraId="448FA9E4" w14:textId="77777777" w:rsidR="00416004" w:rsidRPr="00416004" w:rsidRDefault="00416004" w:rsidP="00416004">
      <w:pPr>
        <w:numPr>
          <w:ilvl w:val="0"/>
          <w:numId w:val="14"/>
        </w:numPr>
        <w:rPr>
          <w:rFonts w:ascii="Times New Roman" w:hAnsi="Times New Roman" w:cs="Times New Roman"/>
          <w:sz w:val="28"/>
          <w:szCs w:val="28"/>
        </w:rPr>
      </w:pPr>
      <w:r w:rsidRPr="00416004">
        <w:rPr>
          <w:rFonts w:ascii="Times New Roman" w:hAnsi="Times New Roman" w:cs="Times New Roman"/>
          <w:sz w:val="28"/>
          <w:szCs w:val="28"/>
        </w:rPr>
        <w:t>High Costs: Biodegradable materials are currently 30-50% more expensive than traditional plastics, limiting their widespread adoption.</w:t>
      </w:r>
    </w:p>
    <w:p w14:paraId="567561CC" w14:textId="77777777" w:rsidR="00416004" w:rsidRPr="00416004" w:rsidRDefault="00416004" w:rsidP="00416004">
      <w:pPr>
        <w:numPr>
          <w:ilvl w:val="0"/>
          <w:numId w:val="14"/>
        </w:numPr>
        <w:rPr>
          <w:rFonts w:ascii="Times New Roman" w:hAnsi="Times New Roman" w:cs="Times New Roman"/>
          <w:sz w:val="28"/>
          <w:szCs w:val="28"/>
        </w:rPr>
      </w:pPr>
      <w:r w:rsidRPr="00416004">
        <w:rPr>
          <w:rFonts w:ascii="Times New Roman" w:hAnsi="Times New Roman" w:cs="Times New Roman"/>
          <w:sz w:val="28"/>
          <w:szCs w:val="28"/>
        </w:rPr>
        <w:t>Limited Infrastructure: The lack of industrial composting facilities hampers proper disposal and decomposition.</w:t>
      </w:r>
    </w:p>
    <w:p w14:paraId="7035C45F" w14:textId="77777777" w:rsidR="00416004" w:rsidRPr="00416004" w:rsidRDefault="00416004" w:rsidP="00416004">
      <w:pPr>
        <w:numPr>
          <w:ilvl w:val="0"/>
          <w:numId w:val="14"/>
        </w:numPr>
        <w:rPr>
          <w:rFonts w:ascii="Times New Roman" w:hAnsi="Times New Roman" w:cs="Times New Roman"/>
          <w:sz w:val="28"/>
          <w:szCs w:val="28"/>
        </w:rPr>
      </w:pPr>
      <w:r w:rsidRPr="00416004">
        <w:rPr>
          <w:rFonts w:ascii="Times New Roman" w:hAnsi="Times New Roman" w:cs="Times New Roman"/>
          <w:sz w:val="28"/>
          <w:szCs w:val="28"/>
        </w:rPr>
        <w:t>Awareness Gap: Many consumers and businesses are unaware of biodegradable options and their benefits.</w:t>
      </w:r>
    </w:p>
    <w:p w14:paraId="59BB549D" w14:textId="77777777" w:rsidR="00416004" w:rsidRPr="00416004" w:rsidRDefault="00416004" w:rsidP="00416004">
      <w:pPr>
        <w:rPr>
          <w:rFonts w:ascii="Times New Roman" w:hAnsi="Times New Roman" w:cs="Times New Roman"/>
          <w:b/>
          <w:bCs/>
          <w:sz w:val="28"/>
          <w:szCs w:val="28"/>
        </w:rPr>
      </w:pPr>
      <w:r w:rsidRPr="00416004">
        <w:rPr>
          <w:rFonts w:ascii="Times New Roman" w:hAnsi="Times New Roman" w:cs="Times New Roman"/>
          <w:b/>
          <w:bCs/>
          <w:sz w:val="28"/>
          <w:szCs w:val="28"/>
        </w:rPr>
        <w:t>4.2. Recommendations</w:t>
      </w:r>
    </w:p>
    <w:p w14:paraId="02A9FEA7"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To overcome these challenges, a multi-faceted approach is essential:</w:t>
      </w:r>
    </w:p>
    <w:p w14:paraId="4E9B0A8F" w14:textId="77777777" w:rsidR="00416004" w:rsidRPr="00416004" w:rsidRDefault="00416004" w:rsidP="00416004">
      <w:pPr>
        <w:numPr>
          <w:ilvl w:val="0"/>
          <w:numId w:val="15"/>
        </w:numPr>
        <w:rPr>
          <w:rFonts w:ascii="Times New Roman" w:hAnsi="Times New Roman" w:cs="Times New Roman"/>
          <w:sz w:val="28"/>
          <w:szCs w:val="28"/>
        </w:rPr>
      </w:pPr>
      <w:r w:rsidRPr="00416004">
        <w:rPr>
          <w:rFonts w:ascii="Times New Roman" w:hAnsi="Times New Roman" w:cs="Times New Roman"/>
          <w:sz w:val="28"/>
          <w:szCs w:val="28"/>
        </w:rPr>
        <w:t>Government Incentives: Subsidies and tax benefits for manufacturers of biodegradable materials can reduce costs and encourage adoption.</w:t>
      </w:r>
    </w:p>
    <w:p w14:paraId="2CF0EB24" w14:textId="77777777" w:rsidR="00416004" w:rsidRPr="00416004" w:rsidRDefault="00416004" w:rsidP="00416004">
      <w:pPr>
        <w:numPr>
          <w:ilvl w:val="0"/>
          <w:numId w:val="15"/>
        </w:numPr>
        <w:rPr>
          <w:rFonts w:ascii="Times New Roman" w:hAnsi="Times New Roman" w:cs="Times New Roman"/>
          <w:sz w:val="28"/>
          <w:szCs w:val="28"/>
        </w:rPr>
      </w:pPr>
      <w:r w:rsidRPr="00416004">
        <w:rPr>
          <w:rFonts w:ascii="Times New Roman" w:hAnsi="Times New Roman" w:cs="Times New Roman"/>
          <w:sz w:val="28"/>
          <w:szCs w:val="28"/>
        </w:rPr>
        <w:lastRenderedPageBreak/>
        <w:t>Infrastructure Expansion: Investing in composting facilities and waste management systems is crucial for effective implementation.</w:t>
      </w:r>
    </w:p>
    <w:p w14:paraId="317990BB" w14:textId="77777777" w:rsidR="00416004" w:rsidRPr="00416004" w:rsidRDefault="00416004" w:rsidP="00416004">
      <w:pPr>
        <w:numPr>
          <w:ilvl w:val="0"/>
          <w:numId w:val="15"/>
        </w:numPr>
        <w:rPr>
          <w:rFonts w:ascii="Times New Roman" w:hAnsi="Times New Roman" w:cs="Times New Roman"/>
          <w:sz w:val="28"/>
          <w:szCs w:val="28"/>
        </w:rPr>
      </w:pPr>
      <w:r w:rsidRPr="00416004">
        <w:rPr>
          <w:rFonts w:ascii="Times New Roman" w:hAnsi="Times New Roman" w:cs="Times New Roman"/>
          <w:sz w:val="28"/>
          <w:szCs w:val="28"/>
        </w:rPr>
        <w:t>Awareness Campaigns: Public education initiatives can promote understanding and acceptance of biodegradable packaging.</w:t>
      </w:r>
    </w:p>
    <w:p w14:paraId="1FB228CE" w14:textId="77777777" w:rsidR="00416004" w:rsidRPr="00416004" w:rsidRDefault="00416004" w:rsidP="00416004">
      <w:pPr>
        <w:numPr>
          <w:ilvl w:val="0"/>
          <w:numId w:val="15"/>
        </w:numPr>
        <w:rPr>
          <w:rFonts w:ascii="Times New Roman" w:hAnsi="Times New Roman" w:cs="Times New Roman"/>
          <w:sz w:val="28"/>
          <w:szCs w:val="28"/>
        </w:rPr>
      </w:pPr>
      <w:r w:rsidRPr="00416004">
        <w:rPr>
          <w:rFonts w:ascii="Times New Roman" w:hAnsi="Times New Roman" w:cs="Times New Roman"/>
          <w:sz w:val="28"/>
          <w:szCs w:val="28"/>
        </w:rPr>
        <w:t>Strict Regulations: Mandating the use of biodegradable alternatives in high-waste industries can drive systemic change.</w:t>
      </w:r>
    </w:p>
    <w:p w14:paraId="10D43CA2"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pict w14:anchorId="3B880E1E">
          <v:rect id="_x0000_i1346" style="width:0;height:1.5pt" o:hralign="center" o:hrstd="t" o:hr="t" fillcolor="#a0a0a0" stroked="f"/>
        </w:pict>
      </w:r>
    </w:p>
    <w:p w14:paraId="3926C581" w14:textId="77777777" w:rsidR="00416004" w:rsidRPr="00416004" w:rsidRDefault="00416004" w:rsidP="00416004">
      <w:pPr>
        <w:rPr>
          <w:rFonts w:ascii="Times New Roman" w:hAnsi="Times New Roman" w:cs="Times New Roman"/>
          <w:b/>
          <w:bCs/>
          <w:sz w:val="28"/>
          <w:szCs w:val="28"/>
        </w:rPr>
      </w:pPr>
      <w:r w:rsidRPr="00416004">
        <w:rPr>
          <w:rFonts w:ascii="Times New Roman" w:hAnsi="Times New Roman" w:cs="Times New Roman"/>
          <w:b/>
          <w:bCs/>
          <w:sz w:val="28"/>
          <w:szCs w:val="28"/>
        </w:rPr>
        <w:t>5. Environmental and Social Impacts</w:t>
      </w:r>
    </w:p>
    <w:p w14:paraId="1F73B79D" w14:textId="77777777" w:rsidR="00416004" w:rsidRPr="00416004" w:rsidRDefault="00416004" w:rsidP="00416004">
      <w:pPr>
        <w:rPr>
          <w:rFonts w:ascii="Times New Roman" w:hAnsi="Times New Roman" w:cs="Times New Roman"/>
          <w:b/>
          <w:bCs/>
          <w:sz w:val="28"/>
          <w:szCs w:val="28"/>
        </w:rPr>
      </w:pPr>
      <w:r w:rsidRPr="00416004">
        <w:rPr>
          <w:rFonts w:ascii="Times New Roman" w:hAnsi="Times New Roman" w:cs="Times New Roman"/>
          <w:b/>
          <w:bCs/>
          <w:sz w:val="28"/>
          <w:szCs w:val="28"/>
        </w:rPr>
        <w:t>5.1. Environmental Benefits</w:t>
      </w:r>
    </w:p>
    <w:p w14:paraId="3557BC08"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Switching to biodegradable packaging could reduce single-use plastic pollution by 30-40%, leading to:</w:t>
      </w:r>
    </w:p>
    <w:p w14:paraId="01D54904" w14:textId="77777777" w:rsidR="00416004" w:rsidRPr="00416004" w:rsidRDefault="00416004" w:rsidP="00416004">
      <w:pPr>
        <w:numPr>
          <w:ilvl w:val="0"/>
          <w:numId w:val="16"/>
        </w:numPr>
        <w:rPr>
          <w:rFonts w:ascii="Times New Roman" w:hAnsi="Times New Roman" w:cs="Times New Roman"/>
          <w:sz w:val="28"/>
          <w:szCs w:val="28"/>
        </w:rPr>
      </w:pPr>
      <w:r w:rsidRPr="00416004">
        <w:rPr>
          <w:rFonts w:ascii="Times New Roman" w:hAnsi="Times New Roman" w:cs="Times New Roman"/>
          <w:sz w:val="28"/>
          <w:szCs w:val="28"/>
        </w:rPr>
        <w:t>Cleaner urban and rural landscapes.</w:t>
      </w:r>
    </w:p>
    <w:p w14:paraId="6E5EC437" w14:textId="77777777" w:rsidR="00416004" w:rsidRPr="00416004" w:rsidRDefault="00416004" w:rsidP="00416004">
      <w:pPr>
        <w:numPr>
          <w:ilvl w:val="0"/>
          <w:numId w:val="16"/>
        </w:numPr>
        <w:rPr>
          <w:rFonts w:ascii="Times New Roman" w:hAnsi="Times New Roman" w:cs="Times New Roman"/>
          <w:sz w:val="28"/>
          <w:szCs w:val="28"/>
        </w:rPr>
      </w:pPr>
      <w:r w:rsidRPr="00416004">
        <w:rPr>
          <w:rFonts w:ascii="Times New Roman" w:hAnsi="Times New Roman" w:cs="Times New Roman"/>
          <w:sz w:val="28"/>
          <w:szCs w:val="28"/>
        </w:rPr>
        <w:t>Reduced soil and water contamination.</w:t>
      </w:r>
    </w:p>
    <w:p w14:paraId="449A60CD" w14:textId="77777777" w:rsidR="00416004" w:rsidRPr="00416004" w:rsidRDefault="00416004" w:rsidP="00416004">
      <w:pPr>
        <w:numPr>
          <w:ilvl w:val="0"/>
          <w:numId w:val="16"/>
        </w:numPr>
        <w:rPr>
          <w:rFonts w:ascii="Times New Roman" w:hAnsi="Times New Roman" w:cs="Times New Roman"/>
          <w:sz w:val="28"/>
          <w:szCs w:val="28"/>
        </w:rPr>
      </w:pPr>
      <w:r w:rsidRPr="00416004">
        <w:rPr>
          <w:rFonts w:ascii="Times New Roman" w:hAnsi="Times New Roman" w:cs="Times New Roman"/>
          <w:sz w:val="28"/>
          <w:szCs w:val="28"/>
        </w:rPr>
        <w:t>Enhanced biodiversity in affected ecosystems.</w:t>
      </w:r>
    </w:p>
    <w:p w14:paraId="71807BC0" w14:textId="77777777" w:rsidR="00416004" w:rsidRPr="00416004" w:rsidRDefault="00416004" w:rsidP="00416004">
      <w:pPr>
        <w:rPr>
          <w:rFonts w:ascii="Times New Roman" w:hAnsi="Times New Roman" w:cs="Times New Roman"/>
          <w:b/>
          <w:bCs/>
          <w:sz w:val="28"/>
          <w:szCs w:val="28"/>
        </w:rPr>
      </w:pPr>
      <w:r w:rsidRPr="00416004">
        <w:rPr>
          <w:rFonts w:ascii="Times New Roman" w:hAnsi="Times New Roman" w:cs="Times New Roman"/>
          <w:b/>
          <w:bCs/>
          <w:sz w:val="28"/>
          <w:szCs w:val="28"/>
        </w:rPr>
        <w:t>5.2. Social Benefits</w:t>
      </w:r>
    </w:p>
    <w:p w14:paraId="69186870"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The transition also has significant social implications:</w:t>
      </w:r>
    </w:p>
    <w:p w14:paraId="686B7BE8" w14:textId="77777777" w:rsidR="00416004" w:rsidRPr="00416004" w:rsidRDefault="00416004" w:rsidP="00416004">
      <w:pPr>
        <w:numPr>
          <w:ilvl w:val="0"/>
          <w:numId w:val="17"/>
        </w:numPr>
        <w:rPr>
          <w:rFonts w:ascii="Times New Roman" w:hAnsi="Times New Roman" w:cs="Times New Roman"/>
          <w:sz w:val="28"/>
          <w:szCs w:val="28"/>
        </w:rPr>
      </w:pPr>
      <w:r w:rsidRPr="00416004">
        <w:rPr>
          <w:rFonts w:ascii="Times New Roman" w:hAnsi="Times New Roman" w:cs="Times New Roman"/>
          <w:sz w:val="28"/>
          <w:szCs w:val="28"/>
        </w:rPr>
        <w:t>Improved public health through the elimination of microplastics from food and water.</w:t>
      </w:r>
    </w:p>
    <w:p w14:paraId="7E7D70B5" w14:textId="77777777" w:rsidR="00416004" w:rsidRPr="00416004" w:rsidRDefault="00416004" w:rsidP="00416004">
      <w:pPr>
        <w:numPr>
          <w:ilvl w:val="0"/>
          <w:numId w:val="17"/>
        </w:numPr>
        <w:rPr>
          <w:rFonts w:ascii="Times New Roman" w:hAnsi="Times New Roman" w:cs="Times New Roman"/>
          <w:sz w:val="28"/>
          <w:szCs w:val="28"/>
        </w:rPr>
      </w:pPr>
      <w:r w:rsidRPr="00416004">
        <w:rPr>
          <w:rFonts w:ascii="Times New Roman" w:hAnsi="Times New Roman" w:cs="Times New Roman"/>
          <w:sz w:val="28"/>
          <w:szCs w:val="28"/>
        </w:rPr>
        <w:t>Encouragement of sustainable consumption habits.</w:t>
      </w:r>
    </w:p>
    <w:p w14:paraId="2D59D281" w14:textId="77777777" w:rsidR="00416004" w:rsidRPr="00416004" w:rsidRDefault="00416004" w:rsidP="00416004">
      <w:pPr>
        <w:numPr>
          <w:ilvl w:val="0"/>
          <w:numId w:val="17"/>
        </w:numPr>
        <w:rPr>
          <w:rFonts w:ascii="Times New Roman" w:hAnsi="Times New Roman" w:cs="Times New Roman"/>
          <w:sz w:val="28"/>
          <w:szCs w:val="28"/>
        </w:rPr>
      </w:pPr>
      <w:r w:rsidRPr="00416004">
        <w:rPr>
          <w:rFonts w:ascii="Times New Roman" w:hAnsi="Times New Roman" w:cs="Times New Roman"/>
          <w:sz w:val="28"/>
          <w:szCs w:val="28"/>
        </w:rPr>
        <w:t>Economic opportunities for rural communities involved in raw material production.</w:t>
      </w:r>
    </w:p>
    <w:p w14:paraId="69ED775A"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pict w14:anchorId="6D925A34">
          <v:rect id="_x0000_i1347" style="width:0;height:1.5pt" o:hralign="center" o:hrstd="t" o:hr="t" fillcolor="#a0a0a0" stroked="f"/>
        </w:pict>
      </w:r>
    </w:p>
    <w:p w14:paraId="5608A564" w14:textId="77777777" w:rsidR="00416004" w:rsidRPr="00416004" w:rsidRDefault="00416004" w:rsidP="00416004">
      <w:pPr>
        <w:rPr>
          <w:rFonts w:ascii="Times New Roman" w:hAnsi="Times New Roman" w:cs="Times New Roman"/>
          <w:b/>
          <w:bCs/>
          <w:sz w:val="28"/>
          <w:szCs w:val="28"/>
        </w:rPr>
      </w:pPr>
      <w:r w:rsidRPr="00416004">
        <w:rPr>
          <w:rFonts w:ascii="Times New Roman" w:hAnsi="Times New Roman" w:cs="Times New Roman"/>
          <w:b/>
          <w:bCs/>
          <w:sz w:val="28"/>
          <w:szCs w:val="28"/>
        </w:rPr>
        <w:t>6. Conclusion</w:t>
      </w:r>
    </w:p>
    <w:p w14:paraId="24BDC42C"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Biodegradable packaging represents a transformative solution to India's plastic waste crisis. Its environmental benefits, including rapid decomposition, reduced carbon footprint, and elimination of microplastic pollution, far outweigh the challenges of implementation. Additionally, the economic and social advantages, such as employment generation and global export potential, establish its viability.</w:t>
      </w:r>
    </w:p>
    <w:p w14:paraId="1F1B9378"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t xml:space="preserve">The transition requires a concerted effort involving government support, technological innovation, and public participation. With the right policies, </w:t>
      </w:r>
      <w:r w:rsidRPr="00416004">
        <w:rPr>
          <w:rFonts w:ascii="Times New Roman" w:hAnsi="Times New Roman" w:cs="Times New Roman"/>
          <w:sz w:val="28"/>
          <w:szCs w:val="28"/>
        </w:rPr>
        <w:lastRenderedPageBreak/>
        <w:t>enhanced infrastructure, and increased consumer awareness, biodegradable packaging can revolutionize the mineral water industry and set a precedent for other sectors. By adopting this sustainable solution, India can lead the way in combating plastic pollution, ensuring a cleaner, healthier, and more resilient future for generations to come.</w:t>
      </w:r>
    </w:p>
    <w:p w14:paraId="7FF52101" w14:textId="77777777" w:rsidR="00416004" w:rsidRPr="00416004" w:rsidRDefault="00416004" w:rsidP="00416004">
      <w:pPr>
        <w:rPr>
          <w:rFonts w:ascii="Times New Roman" w:hAnsi="Times New Roman" w:cs="Times New Roman"/>
          <w:sz w:val="28"/>
          <w:szCs w:val="28"/>
        </w:rPr>
      </w:pPr>
      <w:r w:rsidRPr="00416004">
        <w:rPr>
          <w:rFonts w:ascii="Times New Roman" w:hAnsi="Times New Roman" w:cs="Times New Roman"/>
          <w:sz w:val="28"/>
          <w:szCs w:val="28"/>
        </w:rPr>
        <w:pict w14:anchorId="229B7DC5">
          <v:rect id="_x0000_i1348" style="width:0;height:1.5pt" o:hralign="center" o:hrstd="t" o:hr="t" fillcolor="#a0a0a0" stroked="f"/>
        </w:pict>
      </w:r>
    </w:p>
    <w:p w14:paraId="7A002F53" w14:textId="77777777" w:rsidR="00416004" w:rsidRPr="00416004" w:rsidRDefault="00416004" w:rsidP="00416004">
      <w:pPr>
        <w:rPr>
          <w:rFonts w:ascii="Times New Roman" w:hAnsi="Times New Roman" w:cs="Times New Roman"/>
          <w:b/>
          <w:bCs/>
          <w:sz w:val="28"/>
          <w:szCs w:val="28"/>
        </w:rPr>
      </w:pPr>
      <w:r w:rsidRPr="00416004">
        <w:rPr>
          <w:rFonts w:ascii="Times New Roman" w:hAnsi="Times New Roman" w:cs="Times New Roman"/>
          <w:b/>
          <w:bCs/>
          <w:sz w:val="28"/>
          <w:szCs w:val="28"/>
        </w:rPr>
        <w:t>References</w:t>
      </w:r>
    </w:p>
    <w:p w14:paraId="74248F0A" w14:textId="77777777" w:rsidR="00416004" w:rsidRPr="00416004" w:rsidRDefault="00416004" w:rsidP="00416004">
      <w:pPr>
        <w:numPr>
          <w:ilvl w:val="0"/>
          <w:numId w:val="18"/>
        </w:numPr>
        <w:rPr>
          <w:rFonts w:ascii="Times New Roman" w:hAnsi="Times New Roman" w:cs="Times New Roman"/>
          <w:sz w:val="28"/>
          <w:szCs w:val="28"/>
        </w:rPr>
      </w:pPr>
      <w:r w:rsidRPr="00416004">
        <w:rPr>
          <w:rFonts w:ascii="Times New Roman" w:hAnsi="Times New Roman" w:cs="Times New Roman"/>
          <w:sz w:val="28"/>
          <w:szCs w:val="28"/>
        </w:rPr>
        <w:t xml:space="preserve">Ministry of Environment, </w:t>
      </w:r>
      <w:proofErr w:type="gramStart"/>
      <w:r w:rsidRPr="00416004">
        <w:rPr>
          <w:rFonts w:ascii="Times New Roman" w:hAnsi="Times New Roman" w:cs="Times New Roman"/>
          <w:sz w:val="28"/>
          <w:szCs w:val="28"/>
        </w:rPr>
        <w:t>Forest</w:t>
      </w:r>
      <w:proofErr w:type="gramEnd"/>
      <w:r w:rsidRPr="00416004">
        <w:rPr>
          <w:rFonts w:ascii="Times New Roman" w:hAnsi="Times New Roman" w:cs="Times New Roman"/>
          <w:sz w:val="28"/>
          <w:szCs w:val="28"/>
        </w:rPr>
        <w:t xml:space="preserve"> and Climate Change (2023). Plastic Waste Management Annual Report.</w:t>
      </w:r>
    </w:p>
    <w:p w14:paraId="399077A2" w14:textId="77777777" w:rsidR="00416004" w:rsidRPr="00416004" w:rsidRDefault="00416004" w:rsidP="00416004">
      <w:pPr>
        <w:numPr>
          <w:ilvl w:val="0"/>
          <w:numId w:val="18"/>
        </w:numPr>
        <w:rPr>
          <w:rFonts w:ascii="Times New Roman" w:hAnsi="Times New Roman" w:cs="Times New Roman"/>
          <w:sz w:val="28"/>
          <w:szCs w:val="28"/>
        </w:rPr>
      </w:pPr>
      <w:r w:rsidRPr="00416004">
        <w:rPr>
          <w:rFonts w:ascii="Times New Roman" w:hAnsi="Times New Roman" w:cs="Times New Roman"/>
          <w:sz w:val="28"/>
          <w:szCs w:val="28"/>
        </w:rPr>
        <w:t>Central Pollution Control Board (2023). Analysis of Plastic Waste in Urban India.</w:t>
      </w:r>
    </w:p>
    <w:p w14:paraId="764A4536" w14:textId="77777777" w:rsidR="00416004" w:rsidRPr="00416004" w:rsidRDefault="00416004" w:rsidP="00416004">
      <w:pPr>
        <w:numPr>
          <w:ilvl w:val="0"/>
          <w:numId w:val="18"/>
        </w:numPr>
        <w:rPr>
          <w:rFonts w:ascii="Times New Roman" w:hAnsi="Times New Roman" w:cs="Times New Roman"/>
          <w:sz w:val="28"/>
          <w:szCs w:val="28"/>
        </w:rPr>
      </w:pPr>
      <w:r w:rsidRPr="00416004">
        <w:rPr>
          <w:rFonts w:ascii="Times New Roman" w:hAnsi="Times New Roman" w:cs="Times New Roman"/>
          <w:sz w:val="28"/>
          <w:szCs w:val="28"/>
        </w:rPr>
        <w:t>UNEP (2022). Biodegradable Alternatives to Single-Use Plastics: A Global Perspective.</w:t>
      </w:r>
    </w:p>
    <w:p w14:paraId="1A4E0DC6" w14:textId="77777777" w:rsidR="00416004" w:rsidRPr="00416004" w:rsidRDefault="00416004" w:rsidP="00416004">
      <w:pPr>
        <w:numPr>
          <w:ilvl w:val="0"/>
          <w:numId w:val="18"/>
        </w:numPr>
        <w:rPr>
          <w:rFonts w:ascii="Times New Roman" w:hAnsi="Times New Roman" w:cs="Times New Roman"/>
          <w:sz w:val="28"/>
          <w:szCs w:val="28"/>
        </w:rPr>
      </w:pPr>
      <w:r w:rsidRPr="00416004">
        <w:rPr>
          <w:rFonts w:ascii="Times New Roman" w:hAnsi="Times New Roman" w:cs="Times New Roman"/>
          <w:sz w:val="28"/>
          <w:szCs w:val="28"/>
        </w:rPr>
        <w:t>Smith, J., &amp; Kumar, R. (2021). Advances in Biodegradable Polymers. Journal of Environmental Sciences.</w:t>
      </w:r>
    </w:p>
    <w:p w14:paraId="20618F2F" w14:textId="77777777" w:rsidR="00E94678" w:rsidRPr="00416004" w:rsidRDefault="00E94678">
      <w:pPr>
        <w:rPr>
          <w:rFonts w:ascii="Times New Roman" w:hAnsi="Times New Roman" w:cs="Times New Roman"/>
          <w:sz w:val="28"/>
          <w:szCs w:val="28"/>
        </w:rPr>
      </w:pPr>
    </w:p>
    <w:sectPr w:rsidR="00E94678" w:rsidRPr="00416004" w:rsidSect="00CC62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F587E"/>
    <w:multiLevelType w:val="multilevel"/>
    <w:tmpl w:val="3DA08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B370BA"/>
    <w:multiLevelType w:val="multilevel"/>
    <w:tmpl w:val="A5844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A96524"/>
    <w:multiLevelType w:val="multilevel"/>
    <w:tmpl w:val="AEEA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546D2B"/>
    <w:multiLevelType w:val="multilevel"/>
    <w:tmpl w:val="CB2CF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A900E9"/>
    <w:multiLevelType w:val="multilevel"/>
    <w:tmpl w:val="2772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7F2519"/>
    <w:multiLevelType w:val="multilevel"/>
    <w:tmpl w:val="D3FAD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C10281"/>
    <w:multiLevelType w:val="multilevel"/>
    <w:tmpl w:val="5ECAD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A20051"/>
    <w:multiLevelType w:val="multilevel"/>
    <w:tmpl w:val="C3F2D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2F179C"/>
    <w:multiLevelType w:val="multilevel"/>
    <w:tmpl w:val="CCAED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8E0E68"/>
    <w:multiLevelType w:val="multilevel"/>
    <w:tmpl w:val="9F74B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ED3942"/>
    <w:multiLevelType w:val="multilevel"/>
    <w:tmpl w:val="D0329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574A6F"/>
    <w:multiLevelType w:val="multilevel"/>
    <w:tmpl w:val="88548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D44F97"/>
    <w:multiLevelType w:val="multilevel"/>
    <w:tmpl w:val="0D861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A65E5B"/>
    <w:multiLevelType w:val="multilevel"/>
    <w:tmpl w:val="27AAF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2F7C59"/>
    <w:multiLevelType w:val="multilevel"/>
    <w:tmpl w:val="5BDC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5C3B1D"/>
    <w:multiLevelType w:val="multilevel"/>
    <w:tmpl w:val="14BE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8F473F"/>
    <w:multiLevelType w:val="multilevel"/>
    <w:tmpl w:val="EEA4B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43786F"/>
    <w:multiLevelType w:val="multilevel"/>
    <w:tmpl w:val="31DE8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9754630">
    <w:abstractNumId w:val="6"/>
  </w:num>
  <w:num w:numId="2" w16cid:durableId="1570575804">
    <w:abstractNumId w:val="3"/>
  </w:num>
  <w:num w:numId="3" w16cid:durableId="1236746706">
    <w:abstractNumId w:val="13"/>
  </w:num>
  <w:num w:numId="4" w16cid:durableId="1796564415">
    <w:abstractNumId w:val="12"/>
  </w:num>
  <w:num w:numId="5" w16cid:durableId="1346205776">
    <w:abstractNumId w:val="1"/>
  </w:num>
  <w:num w:numId="6" w16cid:durableId="1532262756">
    <w:abstractNumId w:val="9"/>
  </w:num>
  <w:num w:numId="7" w16cid:durableId="86583619">
    <w:abstractNumId w:val="0"/>
  </w:num>
  <w:num w:numId="8" w16cid:durableId="1415518932">
    <w:abstractNumId w:val="5"/>
  </w:num>
  <w:num w:numId="9" w16cid:durableId="618219915">
    <w:abstractNumId w:val="11"/>
  </w:num>
  <w:num w:numId="10" w16cid:durableId="454641880">
    <w:abstractNumId w:val="2"/>
  </w:num>
  <w:num w:numId="11" w16cid:durableId="791480512">
    <w:abstractNumId w:val="4"/>
  </w:num>
  <w:num w:numId="12" w16cid:durableId="2106655565">
    <w:abstractNumId w:val="7"/>
  </w:num>
  <w:num w:numId="13" w16cid:durableId="1238512817">
    <w:abstractNumId w:val="16"/>
  </w:num>
  <w:num w:numId="14" w16cid:durableId="820662183">
    <w:abstractNumId w:val="8"/>
  </w:num>
  <w:num w:numId="15" w16cid:durableId="1217859131">
    <w:abstractNumId w:val="17"/>
  </w:num>
  <w:num w:numId="16" w16cid:durableId="1762792978">
    <w:abstractNumId w:val="14"/>
  </w:num>
  <w:num w:numId="17" w16cid:durableId="1712001479">
    <w:abstractNumId w:val="15"/>
  </w:num>
  <w:num w:numId="18" w16cid:durableId="10219762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28A"/>
    <w:rsid w:val="00146A48"/>
    <w:rsid w:val="001F6BEB"/>
    <w:rsid w:val="002F5E88"/>
    <w:rsid w:val="00416004"/>
    <w:rsid w:val="00452880"/>
    <w:rsid w:val="00532228"/>
    <w:rsid w:val="00574E2D"/>
    <w:rsid w:val="008407CF"/>
    <w:rsid w:val="00A86288"/>
    <w:rsid w:val="00AB3870"/>
    <w:rsid w:val="00CC628A"/>
    <w:rsid w:val="00E946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02F52"/>
  <w15:chartTrackingRefBased/>
  <w15:docId w15:val="{3AAA1D1A-67EF-47CF-8FC2-EA4006DE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17126">
      <w:bodyDiv w:val="1"/>
      <w:marLeft w:val="0"/>
      <w:marRight w:val="0"/>
      <w:marTop w:val="0"/>
      <w:marBottom w:val="0"/>
      <w:divBdr>
        <w:top w:val="none" w:sz="0" w:space="0" w:color="auto"/>
        <w:left w:val="none" w:sz="0" w:space="0" w:color="auto"/>
        <w:bottom w:val="none" w:sz="0" w:space="0" w:color="auto"/>
        <w:right w:val="none" w:sz="0" w:space="0" w:color="auto"/>
      </w:divBdr>
    </w:div>
    <w:div w:id="179972859">
      <w:bodyDiv w:val="1"/>
      <w:marLeft w:val="0"/>
      <w:marRight w:val="0"/>
      <w:marTop w:val="0"/>
      <w:marBottom w:val="0"/>
      <w:divBdr>
        <w:top w:val="none" w:sz="0" w:space="0" w:color="auto"/>
        <w:left w:val="none" w:sz="0" w:space="0" w:color="auto"/>
        <w:bottom w:val="none" w:sz="0" w:space="0" w:color="auto"/>
        <w:right w:val="none" w:sz="0" w:space="0" w:color="auto"/>
      </w:divBdr>
      <w:divsChild>
        <w:div w:id="1288855735">
          <w:marLeft w:val="0"/>
          <w:marRight w:val="0"/>
          <w:marTop w:val="0"/>
          <w:marBottom w:val="0"/>
          <w:divBdr>
            <w:top w:val="none" w:sz="0" w:space="0" w:color="auto"/>
            <w:left w:val="none" w:sz="0" w:space="0" w:color="auto"/>
            <w:bottom w:val="none" w:sz="0" w:space="0" w:color="auto"/>
            <w:right w:val="none" w:sz="0" w:space="0" w:color="auto"/>
          </w:divBdr>
        </w:div>
        <w:div w:id="1726024065">
          <w:marLeft w:val="0"/>
          <w:marRight w:val="0"/>
          <w:marTop w:val="0"/>
          <w:marBottom w:val="0"/>
          <w:divBdr>
            <w:top w:val="none" w:sz="0" w:space="0" w:color="auto"/>
            <w:left w:val="none" w:sz="0" w:space="0" w:color="auto"/>
            <w:bottom w:val="none" w:sz="0" w:space="0" w:color="auto"/>
            <w:right w:val="none" w:sz="0" w:space="0" w:color="auto"/>
          </w:divBdr>
        </w:div>
        <w:div w:id="1587566776">
          <w:marLeft w:val="0"/>
          <w:marRight w:val="0"/>
          <w:marTop w:val="0"/>
          <w:marBottom w:val="0"/>
          <w:divBdr>
            <w:top w:val="none" w:sz="0" w:space="0" w:color="auto"/>
            <w:left w:val="none" w:sz="0" w:space="0" w:color="auto"/>
            <w:bottom w:val="none" w:sz="0" w:space="0" w:color="auto"/>
            <w:right w:val="none" w:sz="0" w:space="0" w:color="auto"/>
          </w:divBdr>
        </w:div>
        <w:div w:id="1436438593">
          <w:marLeft w:val="0"/>
          <w:marRight w:val="0"/>
          <w:marTop w:val="0"/>
          <w:marBottom w:val="0"/>
          <w:divBdr>
            <w:top w:val="none" w:sz="0" w:space="0" w:color="auto"/>
            <w:left w:val="none" w:sz="0" w:space="0" w:color="auto"/>
            <w:bottom w:val="none" w:sz="0" w:space="0" w:color="auto"/>
            <w:right w:val="none" w:sz="0" w:space="0" w:color="auto"/>
          </w:divBdr>
        </w:div>
        <w:div w:id="594290543">
          <w:marLeft w:val="0"/>
          <w:marRight w:val="0"/>
          <w:marTop w:val="0"/>
          <w:marBottom w:val="0"/>
          <w:divBdr>
            <w:top w:val="none" w:sz="0" w:space="0" w:color="auto"/>
            <w:left w:val="none" w:sz="0" w:space="0" w:color="auto"/>
            <w:bottom w:val="none" w:sz="0" w:space="0" w:color="auto"/>
            <w:right w:val="none" w:sz="0" w:space="0" w:color="auto"/>
          </w:divBdr>
        </w:div>
        <w:div w:id="415444663">
          <w:marLeft w:val="0"/>
          <w:marRight w:val="0"/>
          <w:marTop w:val="0"/>
          <w:marBottom w:val="0"/>
          <w:divBdr>
            <w:top w:val="none" w:sz="0" w:space="0" w:color="auto"/>
            <w:left w:val="none" w:sz="0" w:space="0" w:color="auto"/>
            <w:bottom w:val="none" w:sz="0" w:space="0" w:color="auto"/>
            <w:right w:val="none" w:sz="0" w:space="0" w:color="auto"/>
          </w:divBdr>
        </w:div>
        <w:div w:id="941764887">
          <w:marLeft w:val="0"/>
          <w:marRight w:val="0"/>
          <w:marTop w:val="0"/>
          <w:marBottom w:val="0"/>
          <w:divBdr>
            <w:top w:val="none" w:sz="0" w:space="0" w:color="auto"/>
            <w:left w:val="none" w:sz="0" w:space="0" w:color="auto"/>
            <w:bottom w:val="none" w:sz="0" w:space="0" w:color="auto"/>
            <w:right w:val="none" w:sz="0" w:space="0" w:color="auto"/>
          </w:divBdr>
        </w:div>
      </w:divsChild>
    </w:div>
    <w:div w:id="690960633">
      <w:bodyDiv w:val="1"/>
      <w:marLeft w:val="0"/>
      <w:marRight w:val="0"/>
      <w:marTop w:val="0"/>
      <w:marBottom w:val="0"/>
      <w:divBdr>
        <w:top w:val="none" w:sz="0" w:space="0" w:color="auto"/>
        <w:left w:val="none" w:sz="0" w:space="0" w:color="auto"/>
        <w:bottom w:val="none" w:sz="0" w:space="0" w:color="auto"/>
        <w:right w:val="none" w:sz="0" w:space="0" w:color="auto"/>
      </w:divBdr>
    </w:div>
    <w:div w:id="759715125">
      <w:bodyDiv w:val="1"/>
      <w:marLeft w:val="0"/>
      <w:marRight w:val="0"/>
      <w:marTop w:val="0"/>
      <w:marBottom w:val="0"/>
      <w:divBdr>
        <w:top w:val="none" w:sz="0" w:space="0" w:color="auto"/>
        <w:left w:val="none" w:sz="0" w:space="0" w:color="auto"/>
        <w:bottom w:val="none" w:sz="0" w:space="0" w:color="auto"/>
        <w:right w:val="none" w:sz="0" w:space="0" w:color="auto"/>
      </w:divBdr>
    </w:div>
    <w:div w:id="1216504969">
      <w:bodyDiv w:val="1"/>
      <w:marLeft w:val="0"/>
      <w:marRight w:val="0"/>
      <w:marTop w:val="0"/>
      <w:marBottom w:val="0"/>
      <w:divBdr>
        <w:top w:val="none" w:sz="0" w:space="0" w:color="auto"/>
        <w:left w:val="none" w:sz="0" w:space="0" w:color="auto"/>
        <w:bottom w:val="none" w:sz="0" w:space="0" w:color="auto"/>
        <w:right w:val="none" w:sz="0" w:space="0" w:color="auto"/>
      </w:divBdr>
    </w:div>
    <w:div w:id="1289311281">
      <w:bodyDiv w:val="1"/>
      <w:marLeft w:val="0"/>
      <w:marRight w:val="0"/>
      <w:marTop w:val="0"/>
      <w:marBottom w:val="0"/>
      <w:divBdr>
        <w:top w:val="none" w:sz="0" w:space="0" w:color="auto"/>
        <w:left w:val="none" w:sz="0" w:space="0" w:color="auto"/>
        <w:bottom w:val="none" w:sz="0" w:space="0" w:color="auto"/>
        <w:right w:val="none" w:sz="0" w:space="0" w:color="auto"/>
      </w:divBdr>
    </w:div>
    <w:div w:id="1358509057">
      <w:bodyDiv w:val="1"/>
      <w:marLeft w:val="0"/>
      <w:marRight w:val="0"/>
      <w:marTop w:val="0"/>
      <w:marBottom w:val="0"/>
      <w:divBdr>
        <w:top w:val="none" w:sz="0" w:space="0" w:color="auto"/>
        <w:left w:val="none" w:sz="0" w:space="0" w:color="auto"/>
        <w:bottom w:val="none" w:sz="0" w:space="0" w:color="auto"/>
        <w:right w:val="none" w:sz="0" w:space="0" w:color="auto"/>
      </w:divBdr>
    </w:div>
    <w:div w:id="1786195507">
      <w:bodyDiv w:val="1"/>
      <w:marLeft w:val="0"/>
      <w:marRight w:val="0"/>
      <w:marTop w:val="0"/>
      <w:marBottom w:val="0"/>
      <w:divBdr>
        <w:top w:val="none" w:sz="0" w:space="0" w:color="auto"/>
        <w:left w:val="none" w:sz="0" w:space="0" w:color="auto"/>
        <w:bottom w:val="none" w:sz="0" w:space="0" w:color="auto"/>
        <w:right w:val="none" w:sz="0" w:space="0" w:color="auto"/>
      </w:divBdr>
    </w:div>
    <w:div w:id="1825777464">
      <w:bodyDiv w:val="1"/>
      <w:marLeft w:val="0"/>
      <w:marRight w:val="0"/>
      <w:marTop w:val="0"/>
      <w:marBottom w:val="0"/>
      <w:divBdr>
        <w:top w:val="none" w:sz="0" w:space="0" w:color="auto"/>
        <w:left w:val="none" w:sz="0" w:space="0" w:color="auto"/>
        <w:bottom w:val="none" w:sz="0" w:space="0" w:color="auto"/>
        <w:right w:val="none" w:sz="0" w:space="0" w:color="auto"/>
      </w:divBdr>
    </w:div>
    <w:div w:id="1968507554">
      <w:bodyDiv w:val="1"/>
      <w:marLeft w:val="0"/>
      <w:marRight w:val="0"/>
      <w:marTop w:val="0"/>
      <w:marBottom w:val="0"/>
      <w:divBdr>
        <w:top w:val="none" w:sz="0" w:space="0" w:color="auto"/>
        <w:left w:val="none" w:sz="0" w:space="0" w:color="auto"/>
        <w:bottom w:val="none" w:sz="0" w:space="0" w:color="auto"/>
        <w:right w:val="none" w:sz="0" w:space="0" w:color="auto"/>
      </w:divBdr>
    </w:div>
    <w:div w:id="2076858849">
      <w:bodyDiv w:val="1"/>
      <w:marLeft w:val="0"/>
      <w:marRight w:val="0"/>
      <w:marTop w:val="0"/>
      <w:marBottom w:val="0"/>
      <w:divBdr>
        <w:top w:val="none" w:sz="0" w:space="0" w:color="auto"/>
        <w:left w:val="none" w:sz="0" w:space="0" w:color="auto"/>
        <w:bottom w:val="none" w:sz="0" w:space="0" w:color="auto"/>
        <w:right w:val="none" w:sz="0" w:space="0" w:color="auto"/>
      </w:divBdr>
      <w:divsChild>
        <w:div w:id="1549762545">
          <w:marLeft w:val="0"/>
          <w:marRight w:val="0"/>
          <w:marTop w:val="0"/>
          <w:marBottom w:val="0"/>
          <w:divBdr>
            <w:top w:val="none" w:sz="0" w:space="0" w:color="auto"/>
            <w:left w:val="none" w:sz="0" w:space="0" w:color="auto"/>
            <w:bottom w:val="none" w:sz="0" w:space="0" w:color="auto"/>
            <w:right w:val="none" w:sz="0" w:space="0" w:color="auto"/>
          </w:divBdr>
        </w:div>
        <w:div w:id="2078742016">
          <w:marLeft w:val="0"/>
          <w:marRight w:val="0"/>
          <w:marTop w:val="0"/>
          <w:marBottom w:val="0"/>
          <w:divBdr>
            <w:top w:val="none" w:sz="0" w:space="0" w:color="auto"/>
            <w:left w:val="none" w:sz="0" w:space="0" w:color="auto"/>
            <w:bottom w:val="none" w:sz="0" w:space="0" w:color="auto"/>
            <w:right w:val="none" w:sz="0" w:space="0" w:color="auto"/>
          </w:divBdr>
        </w:div>
        <w:div w:id="1404520441">
          <w:marLeft w:val="0"/>
          <w:marRight w:val="0"/>
          <w:marTop w:val="0"/>
          <w:marBottom w:val="0"/>
          <w:divBdr>
            <w:top w:val="none" w:sz="0" w:space="0" w:color="auto"/>
            <w:left w:val="none" w:sz="0" w:space="0" w:color="auto"/>
            <w:bottom w:val="none" w:sz="0" w:space="0" w:color="auto"/>
            <w:right w:val="none" w:sz="0" w:space="0" w:color="auto"/>
          </w:divBdr>
        </w:div>
        <w:div w:id="543446028">
          <w:marLeft w:val="0"/>
          <w:marRight w:val="0"/>
          <w:marTop w:val="0"/>
          <w:marBottom w:val="0"/>
          <w:divBdr>
            <w:top w:val="none" w:sz="0" w:space="0" w:color="auto"/>
            <w:left w:val="none" w:sz="0" w:space="0" w:color="auto"/>
            <w:bottom w:val="none" w:sz="0" w:space="0" w:color="auto"/>
            <w:right w:val="none" w:sz="0" w:space="0" w:color="auto"/>
          </w:divBdr>
        </w:div>
        <w:div w:id="317466760">
          <w:marLeft w:val="0"/>
          <w:marRight w:val="0"/>
          <w:marTop w:val="0"/>
          <w:marBottom w:val="0"/>
          <w:divBdr>
            <w:top w:val="none" w:sz="0" w:space="0" w:color="auto"/>
            <w:left w:val="none" w:sz="0" w:space="0" w:color="auto"/>
            <w:bottom w:val="none" w:sz="0" w:space="0" w:color="auto"/>
            <w:right w:val="none" w:sz="0" w:space="0" w:color="auto"/>
          </w:divBdr>
        </w:div>
        <w:div w:id="575287415">
          <w:marLeft w:val="0"/>
          <w:marRight w:val="0"/>
          <w:marTop w:val="0"/>
          <w:marBottom w:val="0"/>
          <w:divBdr>
            <w:top w:val="none" w:sz="0" w:space="0" w:color="auto"/>
            <w:left w:val="none" w:sz="0" w:space="0" w:color="auto"/>
            <w:bottom w:val="none" w:sz="0" w:space="0" w:color="auto"/>
            <w:right w:val="none" w:sz="0" w:space="0" w:color="auto"/>
          </w:divBdr>
        </w:div>
        <w:div w:id="1805001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2237</TotalTime>
  <Pages>6</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Kanhaiya Patil</dc:creator>
  <cp:keywords/>
  <dc:description/>
  <cp:lastModifiedBy>Kanhaiya Patil</cp:lastModifiedBy>
  <cp:revision>2</cp:revision>
  <dcterms:created xsi:type="dcterms:W3CDTF">2024-11-27T08:23:00Z</dcterms:created>
  <dcterms:modified xsi:type="dcterms:W3CDTF">2024-12-12T21:04:00Z</dcterms:modified>
</cp:coreProperties>
</file>