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297F0" w14:textId="4FEA9BC4" w:rsidR="001E45B5" w:rsidRPr="009200B1" w:rsidRDefault="00B7655D" w:rsidP="001E45B5">
      <w:pPr>
        <w:rPr>
          <w:rFonts w:ascii="Times New Roman" w:hAnsi="Times New Roman" w:cs="Times New Roman"/>
          <w:sz w:val="24"/>
          <w:szCs w:val="24"/>
        </w:rPr>
      </w:pPr>
      <w:r w:rsidRPr="009200B1">
        <w:rPr>
          <w:rFonts w:ascii="Times New Roman" w:hAnsi="Times New Roman" w:cs="Times New Roman"/>
          <w:sz w:val="24"/>
          <w:szCs w:val="24"/>
        </w:rPr>
        <w:t>NEUROPHARAMACOLOGY OF NICOTINIC DRUGS</w:t>
      </w:r>
    </w:p>
    <w:p w14:paraId="76669527" w14:textId="1FD539D6" w:rsidR="00B7655D" w:rsidRPr="009200B1" w:rsidRDefault="00B7655D" w:rsidP="001E45B5">
      <w:pPr>
        <w:rPr>
          <w:rFonts w:ascii="Times New Roman" w:hAnsi="Times New Roman" w:cs="Times New Roman"/>
          <w:sz w:val="24"/>
          <w:szCs w:val="24"/>
        </w:rPr>
      </w:pPr>
      <w:r w:rsidRPr="009200B1">
        <w:rPr>
          <w:rFonts w:ascii="Times New Roman" w:hAnsi="Times New Roman" w:cs="Times New Roman"/>
          <w:sz w:val="24"/>
          <w:szCs w:val="24"/>
        </w:rPr>
        <w:t>A</w:t>
      </w:r>
      <w:r w:rsidR="005A7A27">
        <w:rPr>
          <w:rFonts w:ascii="Times New Roman" w:hAnsi="Times New Roman" w:cs="Times New Roman"/>
          <w:sz w:val="24"/>
          <w:szCs w:val="24"/>
        </w:rPr>
        <w:t xml:space="preserve"> review by Sakshi Vaidya* , Nihal bijali , Sagar jadkar</w:t>
      </w:r>
    </w:p>
    <w:p w14:paraId="1DBFAD60" w14:textId="6C3BEC8B" w:rsidR="009242CC" w:rsidRPr="009200B1" w:rsidRDefault="009242CC" w:rsidP="009242CC">
      <w:pPr>
        <w:rPr>
          <w:rFonts w:ascii="Times New Roman" w:eastAsia="Times New Roman" w:hAnsi="Times New Roman" w:cs="Times New Roman"/>
          <w:sz w:val="20"/>
          <w:szCs w:val="20"/>
        </w:rPr>
      </w:pPr>
      <w:r w:rsidRPr="009200B1">
        <w:rPr>
          <w:rFonts w:ascii="Times New Roman" w:hAnsi="Times New Roman" w:cs="Times New Roman"/>
          <w:sz w:val="20"/>
          <w:szCs w:val="20"/>
        </w:rPr>
        <w:t xml:space="preserve"> Abstract:</w:t>
      </w:r>
      <w:r w:rsidRPr="009200B1">
        <w:rPr>
          <w:rFonts w:ascii="Times New Roman" w:eastAsia="Times New Roman" w:hAnsi="Times New Roman" w:cs="Times New Roman"/>
          <w:sz w:val="20"/>
          <w:szCs w:val="20"/>
        </w:rPr>
        <w:t xml:space="preserve"> Our understanding of the receptor systems underlying nicotine's interoceptive effects is greatly advanced by preclinical drug discrimination approaches. Nicotinic acetylcholine receptors (nAChRs) are essential for the transmission of the nicotine cue, according to early observations. Our knowledge of these mechanisms has increased recently due to developments in molecular biology and the identification of new ligands that are more selective for particular nAChR subtypes. </w:t>
      </w:r>
      <w:r w:rsidRPr="009200B1">
        <w:rPr>
          <w:rFonts w:ascii="Times New Roman" w:eastAsia="Times New Roman" w:hAnsi="Times New Roman" w:cs="Times New Roman"/>
          <w:sz w:val="20"/>
          <w:szCs w:val="20"/>
        </w:rPr>
        <w:br/>
        <w:t>The precise nAChR subtypes implicated in nicotine selectivity are now known; furthermore, there is evidence that suggests additional systems, such as adenosine, cannabinoids, dopamine, glutamate, and serotonin, may also be modulatory. Additionally, the neuroanatomical mechanisms that mediate the nicotine cue are starting to be clarified.</w:t>
      </w:r>
    </w:p>
    <w:p w14:paraId="7AB1E693" w14:textId="7DBB7ED5" w:rsidR="000669E4" w:rsidRPr="009200B1" w:rsidRDefault="000669E4" w:rsidP="009242CC">
      <w:pPr>
        <w:rPr>
          <w:rFonts w:ascii="Times New Roman" w:hAnsi="Times New Roman" w:cs="Times New Roman"/>
          <w:color w:val="2B2D38"/>
          <w:sz w:val="18"/>
          <w:szCs w:val="18"/>
          <w:shd w:val="clear" w:color="auto" w:fill="F5F6FB"/>
        </w:rPr>
      </w:pPr>
      <w:r w:rsidRPr="009200B1">
        <w:rPr>
          <w:rFonts w:ascii="Times New Roman" w:eastAsia="Times New Roman" w:hAnsi="Times New Roman" w:cs="Times New Roman"/>
          <w:sz w:val="18"/>
          <w:szCs w:val="18"/>
        </w:rPr>
        <w:t>Introduction:</w:t>
      </w:r>
      <w:r w:rsidRPr="009200B1">
        <w:rPr>
          <w:rFonts w:ascii="Times New Roman" w:hAnsi="Times New Roman" w:cs="Times New Roman"/>
          <w:color w:val="2B2D38"/>
          <w:sz w:val="18"/>
          <w:szCs w:val="18"/>
          <w:shd w:val="clear" w:color="auto" w:fill="F5F6FB"/>
        </w:rPr>
        <w:t xml:space="preserve"> Three main treatments—varenicline, rimonabant, and "vaccines" against nicotine—are undergoing extensive clinical study, and some published sources support these claims. However, this study will also take into account some of the most recent theories on the neuropharmacological underpinnings of nicotine and tobacco dependency in order to better understand the proposed mechanisms of action of these treatments.</w:t>
      </w:r>
    </w:p>
    <w:p w14:paraId="4C1F79D1" w14:textId="653E3A04" w:rsidR="00AA4ADF" w:rsidRPr="009200B1" w:rsidRDefault="00AA4ADF" w:rsidP="00AA4ADF">
      <w:pPr>
        <w:spacing w:after="0" w:line="240" w:lineRule="auto"/>
        <w:rPr>
          <w:rFonts w:ascii="Times New Roman" w:eastAsia="Times New Roman" w:hAnsi="Times New Roman" w:cs="Times New Roman"/>
          <w:sz w:val="18"/>
          <w:szCs w:val="18"/>
        </w:rPr>
      </w:pPr>
      <w:r w:rsidRPr="009200B1">
        <w:rPr>
          <w:rFonts w:ascii="Times New Roman" w:eastAsia="Times New Roman" w:hAnsi="Times New Roman" w:cs="Times New Roman"/>
          <w:sz w:val="18"/>
          <w:szCs w:val="18"/>
        </w:rPr>
        <w:t>1. The neuropharmacological underpinnings of nicotine and tobacco dependence</w:t>
      </w:r>
    </w:p>
    <w:p w14:paraId="76ADE5E9" w14:textId="5BEB7270" w:rsidR="000669E4" w:rsidRPr="009200B1" w:rsidRDefault="00AA4ADF" w:rsidP="00AA6B61">
      <w:pPr>
        <w:spacing w:line="495" w:lineRule="atLeast"/>
        <w:rPr>
          <w:rFonts w:ascii="Times New Roman" w:eastAsia="Times New Roman" w:hAnsi="Times New Roman" w:cs="Times New Roman"/>
          <w:sz w:val="18"/>
          <w:szCs w:val="18"/>
        </w:rPr>
      </w:pPr>
      <w:r w:rsidRPr="009200B1">
        <w:rPr>
          <w:rFonts w:ascii="Times New Roman" w:hAnsi="Times New Roman" w:cs="Times New Roman"/>
          <w:color w:val="2B2D38"/>
          <w:sz w:val="18"/>
          <w:szCs w:val="18"/>
          <w:shd w:val="clear" w:color="auto" w:fill="F5F6FB"/>
        </w:rPr>
        <w:t>The main justification for utilizing nicotine replacement therapy as a smoking cessation aid is the overwhelming evidence that nicotine plays a fundamental role in tobacco dependency, which has been reviewed numerous times .</w:t>
      </w:r>
      <w:r w:rsidR="002B0EEA" w:rsidRPr="009200B1">
        <w:rPr>
          <w:rFonts w:ascii="Times New Roman" w:eastAsia="Times New Roman" w:hAnsi="Times New Roman" w:cs="Times New Roman"/>
          <w:color w:val="2B2D38"/>
          <w:sz w:val="18"/>
          <w:szCs w:val="18"/>
        </w:rPr>
        <w:t xml:space="preserve"> Preclinical research aimed at determining the neurological processes underlying tobacco dependence and identifying potential targets for pharmacotherapies to treat the addiction has also been significantly impacted by this fact. Nicotine exhibits many of the characteristics of a substance of dependence, most notably those of psychostimulant drugs of dependence like cocaine and amphetamine, according to behavioral and neurobiological experiments conducted in laboratories.</w:t>
      </w:r>
      <w:r w:rsidR="002B0EEA" w:rsidRPr="009200B1">
        <w:rPr>
          <w:rFonts w:ascii="Times New Roman" w:hAnsi="Times New Roman" w:cs="Times New Roman"/>
          <w:color w:val="2B2D38"/>
          <w:sz w:val="18"/>
          <w:szCs w:val="18"/>
          <w:shd w:val="clear" w:color="auto" w:fill="F5F6FB"/>
        </w:rPr>
        <w:t xml:space="preserve"> Therefore, noncontingent injections of nicotine promote locomotor activity at the behavioral level, especially when given to animals that had received</w:t>
      </w:r>
      <w:r w:rsidR="002B0EEA" w:rsidRPr="009200B1">
        <w:rPr>
          <w:rFonts w:ascii="Times New Roman" w:hAnsi="Times New Roman" w:cs="Times New Roman"/>
          <w:color w:val="2B2D38"/>
          <w:sz w:val="20"/>
          <w:szCs w:val="20"/>
          <w:shd w:val="clear" w:color="auto" w:fill="F5F6FB"/>
        </w:rPr>
        <w:t xml:space="preserve"> the drug for a few days before </w:t>
      </w:r>
      <w:r w:rsidR="002B0EEA" w:rsidRPr="009200B1">
        <w:rPr>
          <w:rFonts w:ascii="Times New Roman" w:hAnsi="Times New Roman" w:cs="Times New Roman"/>
          <w:color w:val="2B2D38"/>
          <w:sz w:val="18"/>
          <w:szCs w:val="18"/>
          <w:shd w:val="clear" w:color="auto" w:fill="F5F6FB"/>
        </w:rPr>
        <w:t>the test day .</w:t>
      </w:r>
      <w:r w:rsidR="002B0EEA" w:rsidRPr="009200B1">
        <w:rPr>
          <w:rFonts w:ascii="Times New Roman" w:eastAsia="Times New Roman" w:hAnsi="Times New Roman" w:cs="Times New Roman"/>
          <w:sz w:val="18"/>
          <w:szCs w:val="18"/>
        </w:rPr>
        <w:br/>
      </w:r>
    </w:p>
    <w:p w14:paraId="36453844" w14:textId="7FBB5492" w:rsidR="007D23C4" w:rsidRPr="009200B1" w:rsidRDefault="007D23C4" w:rsidP="007D23C4">
      <w:pPr>
        <w:spacing w:after="0" w:line="240" w:lineRule="auto"/>
        <w:rPr>
          <w:rFonts w:ascii="Times New Roman" w:eastAsia="Times New Roman" w:hAnsi="Times New Roman" w:cs="Times New Roman"/>
          <w:sz w:val="18"/>
          <w:szCs w:val="18"/>
        </w:rPr>
      </w:pPr>
      <w:r w:rsidRPr="009200B1">
        <w:rPr>
          <w:rFonts w:ascii="Times New Roman" w:eastAsia="Times New Roman" w:hAnsi="Times New Roman" w:cs="Times New Roman"/>
          <w:sz w:val="18"/>
          <w:szCs w:val="18"/>
        </w:rPr>
        <w:t>2.Nicotine reinforcement's underlying neurobiology</w:t>
      </w:r>
    </w:p>
    <w:p w14:paraId="37C432A5" w14:textId="77777777" w:rsidR="00B64A21" w:rsidRPr="009200B1" w:rsidRDefault="007D23C4" w:rsidP="00B64A21">
      <w:pPr>
        <w:rPr>
          <w:rFonts w:ascii="Times New Roman" w:eastAsia="Times New Roman" w:hAnsi="Times New Roman" w:cs="Times New Roman"/>
          <w:color w:val="2B2D38"/>
          <w:sz w:val="18"/>
          <w:szCs w:val="18"/>
        </w:rPr>
      </w:pPr>
      <w:r w:rsidRPr="009200B1">
        <w:rPr>
          <w:rFonts w:ascii="Times New Roman" w:hAnsi="Times New Roman" w:cs="Times New Roman"/>
          <w:color w:val="2B2D38"/>
          <w:sz w:val="18"/>
          <w:szCs w:val="18"/>
          <w:shd w:val="clear" w:color="auto" w:fill="F5F6FB"/>
        </w:rPr>
        <w:t>Drug addiction is characterized by a loss of behavioral control, which leads to compulsive drug-seeking behavior, even though there are many behavioral factors that contribute to it. In abstinent people, this mediates relapse and keeps the addiction going. Numerous studies have demonstrated that nicotine injections cause dopamine (DA) to overflow in the nucleus accumbens, a neuronal reaction generally believed to explain the drug's "rewarding" qualities that boost self-administration .</w:t>
      </w:r>
      <w:r w:rsidRPr="009200B1">
        <w:rPr>
          <w:rFonts w:ascii="Times New Roman" w:eastAsia="Times New Roman" w:hAnsi="Times New Roman" w:cs="Times New Roman"/>
          <w:color w:val="2B2D38"/>
          <w:sz w:val="18"/>
          <w:szCs w:val="18"/>
        </w:rPr>
        <w:t xml:space="preserve"> </w:t>
      </w:r>
    </w:p>
    <w:p w14:paraId="26BE5DE1" w14:textId="3692C60A" w:rsidR="0071711F" w:rsidRPr="009200B1" w:rsidRDefault="00C0086B" w:rsidP="00B64A21">
      <w:pPr>
        <w:rPr>
          <w:rFonts w:ascii="Times New Roman" w:eastAsia="Times New Roman" w:hAnsi="Times New Roman" w:cs="Times New Roman"/>
          <w:sz w:val="18"/>
          <w:szCs w:val="18"/>
        </w:rPr>
      </w:pPr>
      <w:r w:rsidRPr="009200B1">
        <w:rPr>
          <w:rFonts w:ascii="Times New Roman" w:hAnsi="Times New Roman" w:cs="Times New Roman"/>
          <w:sz w:val="18"/>
          <w:szCs w:val="18"/>
        </w:rPr>
        <w:t>Materials and Methods</w:t>
      </w:r>
    </w:p>
    <w:p w14:paraId="3055BE84" w14:textId="014FFC6F" w:rsidR="007D23C4" w:rsidRPr="009200B1" w:rsidRDefault="00C0086B" w:rsidP="00C0086B">
      <w:pPr>
        <w:pStyle w:val="ListParagraph"/>
        <w:numPr>
          <w:ilvl w:val="0"/>
          <w:numId w:val="4"/>
        </w:numPr>
        <w:spacing w:line="495" w:lineRule="atLeast"/>
        <w:rPr>
          <w:rFonts w:ascii="Times New Roman" w:eastAsia="Times New Roman" w:hAnsi="Times New Roman" w:cs="Times New Roman"/>
          <w:color w:val="2B2D38"/>
          <w:sz w:val="18"/>
          <w:szCs w:val="18"/>
        </w:rPr>
      </w:pPr>
      <w:r w:rsidRPr="009200B1">
        <w:rPr>
          <w:rFonts w:ascii="Times New Roman" w:eastAsia="Times New Roman" w:hAnsi="Times New Roman" w:cs="Times New Roman"/>
          <w:color w:val="2B2D38"/>
          <w:sz w:val="18"/>
          <w:szCs w:val="18"/>
        </w:rPr>
        <w:t>Subject</w:t>
      </w:r>
    </w:p>
    <w:p w14:paraId="368C80BE" w14:textId="19FE0186" w:rsidR="001E45B5" w:rsidRPr="009200B1" w:rsidRDefault="00B45ACA" w:rsidP="007D23C4">
      <w:pPr>
        <w:jc w:val="both"/>
        <w:rPr>
          <w:rFonts w:ascii="Times New Roman" w:hAnsi="Times New Roman" w:cs="Times New Roman"/>
          <w:color w:val="2B2D38"/>
          <w:sz w:val="18"/>
          <w:szCs w:val="18"/>
          <w:shd w:val="clear" w:color="auto" w:fill="F5F6FB"/>
        </w:rPr>
      </w:pPr>
      <w:r w:rsidRPr="009200B1">
        <w:rPr>
          <w:rFonts w:ascii="Times New Roman" w:hAnsi="Times New Roman" w:cs="Times New Roman"/>
          <w:color w:val="2B2D38"/>
          <w:sz w:val="18"/>
          <w:szCs w:val="18"/>
          <w:shd w:val="clear" w:color="auto" w:fill="F5F6FB"/>
        </w:rPr>
        <w:t>From Harlan (Indianapolis, IN, USA), 27 male Sprague-Dawley rats weighing 302±17 g at the beginning of the investigation were acquired. A brief drug-free investigation had previously employed rats to see whether exposure to a different environment proactively hindered the rats' ability to get familiar with a testing environment as measured by new object interaction (Wilkinson et al., 2006a). Individual rats were kept in aspen shaving-lined translucent 48.3 × 26.7 × 20.3 cm (l × w × h) polycarbonate tubs. The home cage has water available all the time. Following daily sessions, rats were fed the Harlan Teklad Rodent Diet; the amount of food was limited to keep the rats' body weights at 85% of their free-feeding levels.</w:t>
      </w:r>
    </w:p>
    <w:p w14:paraId="429EE530" w14:textId="77777777" w:rsidR="00B64A21" w:rsidRPr="009200B1" w:rsidRDefault="00B64A21" w:rsidP="00B64A21">
      <w:pPr>
        <w:pStyle w:val="ListParagraph"/>
        <w:numPr>
          <w:ilvl w:val="0"/>
          <w:numId w:val="4"/>
        </w:numPr>
        <w:rPr>
          <w:rFonts w:ascii="Times New Roman" w:hAnsi="Times New Roman" w:cs="Times New Roman"/>
          <w:sz w:val="18"/>
          <w:szCs w:val="18"/>
        </w:rPr>
      </w:pPr>
      <w:r w:rsidRPr="009200B1">
        <w:rPr>
          <w:rFonts w:ascii="Times New Roman" w:hAnsi="Times New Roman" w:cs="Times New Roman"/>
          <w:sz w:val="18"/>
          <w:szCs w:val="18"/>
        </w:rPr>
        <w:t>Apparatus</w:t>
      </w:r>
    </w:p>
    <w:p w14:paraId="408D2EE5" w14:textId="0886DD8A" w:rsidR="00B64A21" w:rsidRPr="009200B1" w:rsidRDefault="00B64A21" w:rsidP="00B64A21">
      <w:pPr>
        <w:pStyle w:val="ListParagraph"/>
        <w:rPr>
          <w:rFonts w:ascii="Times New Roman" w:hAnsi="Times New Roman" w:cs="Times New Roman"/>
          <w:sz w:val="18"/>
          <w:szCs w:val="18"/>
        </w:rPr>
      </w:pPr>
      <w:r w:rsidRPr="009200B1">
        <w:rPr>
          <w:rFonts w:ascii="Times New Roman" w:hAnsi="Times New Roman" w:cs="Times New Roman"/>
          <w:sz w:val="18"/>
          <w:szCs w:val="18"/>
        </w:rPr>
        <w:lastRenderedPageBreak/>
        <w:t>In this investigation, eight conditioning chambers with dimensions of 30.5 × 24.1 × 21.0 cm (l × w × h) (ENV-008CT; Med Associates, Inc., St.</w:t>
      </w:r>
      <w:r w:rsidRPr="009200B1">
        <w:rPr>
          <w:rFonts w:ascii="Times New Roman" w:hAnsi="Times New Roman" w:cs="Times New Roman"/>
          <w:color w:val="202020"/>
          <w:sz w:val="18"/>
          <w:szCs w:val="18"/>
          <w:shd w:val="clear" w:color="auto" w:fill="FFFFFF"/>
        </w:rPr>
        <w:t xml:space="preserve"> Albans, VT, USA) were employed. </w:t>
      </w:r>
      <w:r w:rsidRPr="009200B1">
        <w:rPr>
          <w:rFonts w:ascii="Times New Roman" w:hAnsi="Times New Roman" w:cs="Times New Roman"/>
          <w:sz w:val="18"/>
          <w:szCs w:val="18"/>
        </w:rPr>
        <w:t>The front and rear walls were made of clear polycarbonate, while the sidewalls were made of aluminum.</w:t>
      </w:r>
      <w:r w:rsidRPr="009200B1">
        <w:rPr>
          <w:rFonts w:ascii="Times New Roman" w:hAnsi="Times New Roman" w:cs="Times New Roman"/>
          <w:color w:val="202020"/>
          <w:sz w:val="18"/>
          <w:szCs w:val="18"/>
          <w:shd w:val="clear" w:color="auto" w:fill="FFFFFF"/>
        </w:rPr>
        <w:t xml:space="preserve"> </w:t>
      </w:r>
      <w:r w:rsidRPr="009200B1">
        <w:rPr>
          <w:rFonts w:ascii="Times New Roman" w:hAnsi="Times New Roman" w:cs="Times New Roman"/>
          <w:sz w:val="18"/>
          <w:szCs w:val="18"/>
        </w:rPr>
        <w:t>A recessed container measuring 5.2 × 5.2 × 3.8 cm (l × w × d) was installed on one sidewall of each chamber.</w:t>
      </w:r>
      <w:r w:rsidRPr="009200B1">
        <w:rPr>
          <w:rFonts w:ascii="Times New Roman" w:hAnsi="Times New Roman" w:cs="Times New Roman"/>
          <w:color w:val="202020"/>
          <w:sz w:val="18"/>
          <w:szCs w:val="18"/>
          <w:shd w:val="clear" w:color="auto" w:fill="FFFFFF"/>
        </w:rPr>
        <w:t xml:space="preserve"> </w:t>
      </w:r>
      <w:r w:rsidRPr="009200B1">
        <w:rPr>
          <w:rFonts w:ascii="Times New Roman" w:hAnsi="Times New Roman" w:cs="Times New Roman"/>
          <w:sz w:val="18"/>
          <w:szCs w:val="18"/>
        </w:rPr>
        <w:t>A 0.1-ml cup of 26% sucrose solution (w/v) was lifted into the container by a dipper arm.</w:t>
      </w:r>
      <w:r w:rsidRPr="009200B1">
        <w:rPr>
          <w:rFonts w:ascii="Times New Roman" w:hAnsi="Times New Roman" w:cs="Times New Roman"/>
          <w:color w:val="202020"/>
          <w:sz w:val="18"/>
          <w:szCs w:val="18"/>
          <w:shd w:val="clear" w:color="auto" w:fill="FFFFFF"/>
        </w:rPr>
        <w:t xml:space="preserve"> </w:t>
      </w:r>
      <w:r w:rsidRPr="009200B1">
        <w:rPr>
          <w:rFonts w:ascii="Times New Roman" w:hAnsi="Times New Roman" w:cs="Times New Roman"/>
          <w:sz w:val="18"/>
          <w:szCs w:val="18"/>
        </w:rPr>
        <w:t>Head incursions into the dipper were tracked by an infrared emitter/detector device that was positioned 3 cm from the chamber floor and 1.2 cm into the container.</w:t>
      </w:r>
      <w:r w:rsidRPr="009200B1">
        <w:rPr>
          <w:rFonts w:ascii="Times New Roman" w:hAnsi="Times New Roman" w:cs="Times New Roman"/>
          <w:color w:val="202020"/>
          <w:sz w:val="18"/>
          <w:szCs w:val="18"/>
          <w:shd w:val="clear" w:color="auto" w:fill="FFFFFF"/>
        </w:rPr>
        <w:t xml:space="preserve"> </w:t>
      </w:r>
      <w:r w:rsidRPr="009200B1">
        <w:rPr>
          <w:rFonts w:ascii="Times New Roman" w:hAnsi="Times New Roman" w:cs="Times New Roman"/>
          <w:sz w:val="18"/>
          <w:szCs w:val="18"/>
        </w:rPr>
        <w:t>To offer a gauge of overall activity, a second infrared emitter/detector device was installed in each chamber during the investigation.</w:t>
      </w:r>
      <w:r w:rsidRPr="009200B1">
        <w:rPr>
          <w:rFonts w:ascii="Times New Roman" w:hAnsi="Times New Roman" w:cs="Times New Roman"/>
          <w:color w:val="202020"/>
          <w:sz w:val="18"/>
          <w:szCs w:val="18"/>
          <w:shd w:val="clear" w:color="auto" w:fill="FFFFFF"/>
        </w:rPr>
        <w:t xml:space="preserve"> </w:t>
      </w:r>
      <w:r w:rsidRPr="009200B1">
        <w:rPr>
          <w:rFonts w:ascii="Times New Roman" w:hAnsi="Times New Roman" w:cs="Times New Roman"/>
          <w:sz w:val="18"/>
          <w:szCs w:val="18"/>
        </w:rPr>
        <w:t>This item divided the chamber 14.5 cm from the side wall where the container was located In this investigation, eight conditioning chambers with dimensions of 30.5 × 24.1 × 21.0 cm (l × w × h) (ENV-008CT; Med Associates, Inc., St.</w:t>
      </w:r>
      <w:r w:rsidRPr="009200B1">
        <w:rPr>
          <w:rFonts w:ascii="Times New Roman" w:hAnsi="Times New Roman" w:cs="Times New Roman"/>
          <w:color w:val="202020"/>
          <w:sz w:val="18"/>
          <w:szCs w:val="18"/>
          <w:shd w:val="clear" w:color="auto" w:fill="FFFFFF"/>
        </w:rPr>
        <w:t xml:space="preserve"> Albans, VT, USA) were employed. </w:t>
      </w:r>
    </w:p>
    <w:p w14:paraId="182FF6BE" w14:textId="77777777" w:rsidR="00B64A21" w:rsidRPr="009200B1" w:rsidRDefault="00B64A21" w:rsidP="00B64A21">
      <w:pPr>
        <w:pStyle w:val="ListParagraph"/>
        <w:numPr>
          <w:ilvl w:val="0"/>
          <w:numId w:val="4"/>
        </w:numPr>
        <w:rPr>
          <w:rFonts w:ascii="Times New Roman" w:hAnsi="Times New Roman" w:cs="Times New Roman"/>
          <w:sz w:val="18"/>
          <w:szCs w:val="18"/>
        </w:rPr>
      </w:pPr>
      <w:r w:rsidRPr="009200B1">
        <w:rPr>
          <w:rFonts w:ascii="Times New Roman" w:hAnsi="Times New Roman" w:cs="Times New Roman"/>
          <w:sz w:val="18"/>
          <w:szCs w:val="18"/>
        </w:rPr>
        <w:t>Drugs</w:t>
      </w:r>
    </w:p>
    <w:p w14:paraId="767F8421" w14:textId="6F5EF810" w:rsidR="00B64A21" w:rsidRPr="009200B1" w:rsidRDefault="00B64A21" w:rsidP="00B64A21">
      <w:pPr>
        <w:pStyle w:val="ListParagraph"/>
        <w:rPr>
          <w:rFonts w:ascii="Times New Roman" w:hAnsi="Times New Roman" w:cs="Times New Roman"/>
          <w:color w:val="2B2D38"/>
          <w:sz w:val="18"/>
          <w:szCs w:val="18"/>
          <w:shd w:val="clear" w:color="auto" w:fill="F5F6FB"/>
        </w:rPr>
      </w:pPr>
      <w:r w:rsidRPr="009200B1">
        <w:rPr>
          <w:rFonts w:ascii="Times New Roman" w:hAnsi="Times New Roman" w:cs="Times New Roman"/>
          <w:color w:val="2B2D38"/>
          <w:sz w:val="18"/>
          <w:szCs w:val="18"/>
          <w:shd w:val="clear" w:color="auto" w:fill="F5F6FB"/>
        </w:rPr>
        <w:t>(−)-1-Methyl-2-(3-pyridyl)pyrrolidine (nicotine), (R)-(+)-7-Chloro-8-hydroxy-3-methyl-1- phenyl-2,3,4,5-tetrahydro-1H-3-benzazepine hydrochloride (SCH-23390), and 3-Chloro-5- ethyl-N-[[(2S)-1-ethyl-2-pyrrolidinyl)methyl]-6-hydroxy-2-methoxy-benzamide hydrochloride (eticlopride) were purchased from Sigma (St. Louis, MO, USA). 2-Methyl-6- (phenylethynyl)pyridine hydrochloride (MPEP), (5S,10R)-(+)-5-Methyl-10,11-dihydro-5Hdibenzo[a,d]cyclohepten-5,10-imine maleate (MK-801; dizocilpine), and N-[(1-Butyl-2- pyrrolidinyl)methyl]-4-cyano-1-methoxy-2-naphthalenecarboxamide (nafadotride) were purchased from Tocris Cookson, Inc. (Ellisville, MO, USA). Nafadotride was dissolved at 100 mM in 1 eq. HCl. Distilled water was then added to obtain desired concentrations. All other drugs were mixed in 0.9% saline solution. Nicotine was adjusted to a pH of 7.0±0.2 using a dilute NaOH sol</w:t>
      </w:r>
      <w:r w:rsidR="003A1F81" w:rsidRPr="009200B1">
        <w:rPr>
          <w:rFonts w:ascii="Times New Roman" w:hAnsi="Times New Roman" w:cs="Times New Roman"/>
          <w:color w:val="2B2D38"/>
          <w:sz w:val="18"/>
          <w:szCs w:val="18"/>
          <w:shd w:val="clear" w:color="auto" w:fill="F5F6FB"/>
        </w:rPr>
        <w:t>u</w:t>
      </w:r>
      <w:r w:rsidRPr="009200B1">
        <w:rPr>
          <w:rFonts w:ascii="Times New Roman" w:hAnsi="Times New Roman" w:cs="Times New Roman"/>
          <w:color w:val="2B2D38"/>
          <w:sz w:val="18"/>
          <w:szCs w:val="18"/>
          <w:shd w:val="clear" w:color="auto" w:fill="F5F6FB"/>
        </w:rPr>
        <w:t>tion and injected s.c. 5 min before placement in the chamber.</w:t>
      </w:r>
    </w:p>
    <w:p w14:paraId="295F8390" w14:textId="0DAD4975" w:rsidR="003A1F81" w:rsidRPr="009200B1" w:rsidRDefault="003A1F81" w:rsidP="00001BC9">
      <w:pPr>
        <w:rPr>
          <w:rFonts w:ascii="Times New Roman" w:hAnsi="Times New Roman" w:cs="Times New Roman"/>
          <w:sz w:val="18"/>
          <w:szCs w:val="18"/>
        </w:rPr>
      </w:pPr>
      <w:r w:rsidRPr="009200B1">
        <w:rPr>
          <w:rFonts w:ascii="Times New Roman" w:hAnsi="Times New Roman" w:cs="Times New Roman"/>
          <w:sz w:val="18"/>
          <w:szCs w:val="18"/>
        </w:rPr>
        <w:t>. Treatments in clinical development</w:t>
      </w:r>
    </w:p>
    <w:p w14:paraId="0EC8DC03" w14:textId="1BD1E224" w:rsidR="00B64A21" w:rsidRPr="009200B1" w:rsidRDefault="003A1F81" w:rsidP="00001BC9">
      <w:pPr>
        <w:rPr>
          <w:rFonts w:ascii="Times New Roman" w:hAnsi="Times New Roman" w:cs="Times New Roman"/>
          <w:sz w:val="18"/>
          <w:szCs w:val="18"/>
        </w:rPr>
      </w:pPr>
      <w:r w:rsidRPr="009200B1">
        <w:rPr>
          <w:rFonts w:ascii="Times New Roman" w:hAnsi="Times New Roman" w:cs="Times New Roman"/>
          <w:sz w:val="18"/>
          <w:szCs w:val="18"/>
        </w:rPr>
        <w:t>1 Varenicline</w:t>
      </w:r>
    </w:p>
    <w:p w14:paraId="5DDD50D3" w14:textId="317A1017" w:rsidR="003A1F81" w:rsidRPr="009200B1" w:rsidRDefault="003A1F81" w:rsidP="00001BC9">
      <w:pPr>
        <w:rPr>
          <w:rFonts w:ascii="Times New Roman" w:hAnsi="Times New Roman" w:cs="Times New Roman"/>
          <w:color w:val="2B2D38"/>
          <w:sz w:val="18"/>
          <w:szCs w:val="18"/>
          <w:shd w:val="clear" w:color="auto" w:fill="F5F6FB"/>
        </w:rPr>
      </w:pPr>
      <w:r w:rsidRPr="009200B1">
        <w:rPr>
          <w:rFonts w:ascii="Times New Roman" w:hAnsi="Times New Roman" w:cs="Times New Roman"/>
          <w:color w:val="2B2D38"/>
          <w:sz w:val="18"/>
          <w:szCs w:val="18"/>
          <w:shd w:val="clear" w:color="auto" w:fill="F5F6FB"/>
        </w:rPr>
        <w:t>Varenicline functions as a partial agonist at the α4 and β2 subunit-based subtype of neuronal nicotine receptors [30]. It shares chemical and physiological similarities with cytisine, an alkaloid that has a strong affinity for several distinct nicotinic receptor subtypes and that pharmacologists have utilized to investigate the role of these receptors. In the form of a herbal extract of Cytisus Laborinum L. (Golden Rain acacia), cytisine has been utilized as a tobacco dependence treatment in Eastern Europe [31]. Anecdotal evidence suggests that during the Second World War, this plant was utilized in Germany as a tobacco substitute.</w:t>
      </w:r>
    </w:p>
    <w:p w14:paraId="32C80F15" w14:textId="40336697" w:rsidR="00001BC9" w:rsidRPr="009200B1" w:rsidRDefault="00001BC9" w:rsidP="00001BC9">
      <w:pPr>
        <w:rPr>
          <w:rFonts w:ascii="Times New Roman" w:hAnsi="Times New Roman" w:cs="Times New Roman"/>
          <w:color w:val="2B2D38"/>
          <w:sz w:val="18"/>
          <w:szCs w:val="18"/>
          <w:shd w:val="clear" w:color="auto" w:fill="F5F6FB"/>
        </w:rPr>
      </w:pPr>
      <w:r w:rsidRPr="009200B1">
        <w:rPr>
          <w:rFonts w:ascii="Times New Roman" w:hAnsi="Times New Roman" w:cs="Times New Roman"/>
          <w:color w:val="2B2D38"/>
          <w:sz w:val="18"/>
          <w:szCs w:val="18"/>
          <w:shd w:val="clear" w:color="auto" w:fill="F5F6FB"/>
        </w:rPr>
        <w:t>Clinical Result : There were between 329 and 349 smokers per group, and their ages ranged from 18 to 75. Every participant smoked at least ten cigarettes every day. Table 2 displays the quit rates, which are calculated as total abstinence from week 9 to week 52. In one of the</w:t>
      </w:r>
      <w:r w:rsidRPr="009200B1">
        <w:rPr>
          <w:rFonts w:ascii="Times New Roman" w:hAnsi="Times New Roman" w:cs="Times New Roman"/>
          <w:color w:val="2B2D38"/>
          <w:sz w:val="20"/>
          <w:szCs w:val="20"/>
          <w:shd w:val="clear" w:color="auto" w:fill="F5F6FB"/>
        </w:rPr>
        <w:t xml:space="preserve"> investigations, Varenicline was </w:t>
      </w:r>
      <w:r w:rsidRPr="009200B1">
        <w:rPr>
          <w:rFonts w:ascii="Times New Roman" w:hAnsi="Times New Roman" w:cs="Times New Roman"/>
          <w:color w:val="2B2D38"/>
          <w:sz w:val="18"/>
          <w:szCs w:val="18"/>
          <w:shd w:val="clear" w:color="auto" w:fill="F5F6FB"/>
        </w:rPr>
        <w:t>2.4 times more effective than placebo, considerably better than bupropion, and marginally significant in the other.</w:t>
      </w:r>
    </w:p>
    <w:p w14:paraId="01F8EC31" w14:textId="669127E7" w:rsidR="00001BC9" w:rsidRPr="009200B1" w:rsidRDefault="00001BC9" w:rsidP="00001BC9">
      <w:pPr>
        <w:rPr>
          <w:rFonts w:ascii="Times New Roman" w:hAnsi="Times New Roman" w:cs="Times New Roman"/>
          <w:sz w:val="18"/>
          <w:szCs w:val="18"/>
        </w:rPr>
      </w:pPr>
      <w:r w:rsidRPr="009200B1">
        <w:rPr>
          <w:rFonts w:ascii="Times New Roman" w:hAnsi="Times New Roman" w:cs="Times New Roman"/>
          <w:sz w:val="18"/>
          <w:szCs w:val="18"/>
        </w:rPr>
        <w:t>2 Rimonaban</w:t>
      </w:r>
      <w:r w:rsidR="009B79FC" w:rsidRPr="009200B1">
        <w:rPr>
          <w:rFonts w:ascii="Times New Roman" w:hAnsi="Times New Roman" w:cs="Times New Roman"/>
          <w:sz w:val="18"/>
          <w:szCs w:val="18"/>
        </w:rPr>
        <w:t>t</w:t>
      </w:r>
    </w:p>
    <w:p w14:paraId="0EF38EFE" w14:textId="01D5CBD2" w:rsidR="00001BC9" w:rsidRPr="009200B1" w:rsidRDefault="00001BC9" w:rsidP="00001BC9">
      <w:pPr>
        <w:rPr>
          <w:rFonts w:ascii="Times New Roman" w:hAnsi="Times New Roman" w:cs="Times New Roman"/>
          <w:color w:val="2B2D38"/>
          <w:sz w:val="20"/>
          <w:szCs w:val="20"/>
          <w:shd w:val="clear" w:color="auto" w:fill="F5F6FB"/>
        </w:rPr>
      </w:pPr>
      <w:r w:rsidRPr="009200B1">
        <w:rPr>
          <w:rFonts w:ascii="Times New Roman" w:hAnsi="Times New Roman" w:cs="Times New Roman"/>
          <w:color w:val="2B2D38"/>
          <w:sz w:val="18"/>
          <w:szCs w:val="18"/>
          <w:shd w:val="clear" w:color="auto" w:fill="F5F6FB"/>
        </w:rPr>
        <w:t xml:space="preserve"> Another strategy is to look for non-nicotinic medications that might affect how nicotine affects the brain's neurological pathways linked to nicotine and tobacco dependency. There is increasing interest in determining the physiological functions of these systems as a result of the identification of cannabinoid receptors and their natural ligands, the endocannabinoids, inside the central nervous system [39]. The well-established pharmacological effects of exogenous cannabinoids derived from marijuana, such as tetrahydrocannabinol (THC), provide clues to the potential functions of endocannabinoids.</w:t>
      </w:r>
      <w:r w:rsidRPr="009200B1">
        <w:rPr>
          <w:rFonts w:ascii="Times New Roman" w:hAnsi="Times New Roman" w:cs="Times New Roman"/>
          <w:color w:val="2B2D38"/>
          <w:sz w:val="18"/>
          <w:szCs w:val="18"/>
        </w:rPr>
        <w:br/>
      </w:r>
      <w:r w:rsidRPr="009200B1">
        <w:rPr>
          <w:rFonts w:ascii="Times New Roman" w:hAnsi="Times New Roman" w:cs="Times New Roman"/>
          <w:color w:val="2B2D38"/>
          <w:sz w:val="18"/>
          <w:szCs w:val="18"/>
          <w:shd w:val="clear" w:color="auto" w:fill="F5F6FB"/>
        </w:rPr>
        <w:t>Stimulating feeding behavior is one of its behavioral activities [40]. Following that approach, researchers have demonstrated that using rimonabant to inhibit the cannabinoid CB1 receptors reduces feeding behavior</w:t>
      </w:r>
      <w:r w:rsidRPr="009200B1">
        <w:rPr>
          <w:rFonts w:ascii="Times New Roman" w:hAnsi="Times New Roman" w:cs="Times New Roman"/>
          <w:color w:val="2B2D38"/>
          <w:sz w:val="20"/>
          <w:szCs w:val="20"/>
          <w:shd w:val="clear" w:color="auto" w:fill="F5F6FB"/>
        </w:rPr>
        <w:t>.</w:t>
      </w:r>
    </w:p>
    <w:p w14:paraId="41C11246" w14:textId="21309E38" w:rsidR="00001BC9" w:rsidRPr="009200B1" w:rsidRDefault="00AA28C9" w:rsidP="00001BC9">
      <w:pPr>
        <w:rPr>
          <w:rFonts w:ascii="Times New Roman" w:hAnsi="Times New Roman" w:cs="Times New Roman"/>
          <w:noProof/>
          <w:sz w:val="28"/>
          <w:szCs w:val="28"/>
        </w:rPr>
      </w:pPr>
      <w:r w:rsidRPr="009200B1">
        <w:rPr>
          <w:rFonts w:ascii="Times New Roman" w:hAnsi="Times New Roman" w:cs="Times New Roman"/>
          <w:noProof/>
          <w:sz w:val="28"/>
          <w:szCs w:val="28"/>
        </w:rPr>
        <w:drawing>
          <wp:inline distT="0" distB="0" distL="0" distR="0" wp14:anchorId="1B042585" wp14:editId="02FCCE8D">
            <wp:extent cx="6286500" cy="1736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6302313" cy="1740542"/>
                    </a:xfrm>
                    <a:prstGeom prst="rect">
                      <a:avLst/>
                    </a:prstGeom>
                  </pic:spPr>
                </pic:pic>
              </a:graphicData>
            </a:graphic>
          </wp:inline>
        </w:drawing>
      </w:r>
    </w:p>
    <w:p w14:paraId="61328EE7" w14:textId="25A2833B" w:rsidR="00464357" w:rsidRPr="009200B1" w:rsidRDefault="00464357" w:rsidP="00464357">
      <w:pPr>
        <w:rPr>
          <w:rFonts w:ascii="Times New Roman" w:hAnsi="Times New Roman" w:cs="Times New Roman"/>
          <w:sz w:val="18"/>
          <w:szCs w:val="18"/>
        </w:rPr>
      </w:pPr>
      <w:r w:rsidRPr="009200B1">
        <w:rPr>
          <w:rFonts w:ascii="Times New Roman" w:hAnsi="Times New Roman" w:cs="Times New Roman"/>
          <w:sz w:val="18"/>
          <w:szCs w:val="18"/>
        </w:rPr>
        <w:lastRenderedPageBreak/>
        <w:t>Clinical Result:</w:t>
      </w:r>
      <w:r w:rsidRPr="009200B1">
        <w:rPr>
          <w:rFonts w:ascii="Times New Roman" w:hAnsi="Times New Roman" w:cs="Times New Roman"/>
          <w:color w:val="2B2D38"/>
          <w:sz w:val="18"/>
          <w:szCs w:val="18"/>
          <w:shd w:val="clear" w:color="auto" w:fill="F5F6FB"/>
        </w:rPr>
        <w:t xml:space="preserve"> The two trials' protocols were comparable. Ten weeks of active medication were administered, and tests comparing 5 and 20 mg of</w:t>
      </w:r>
      <w:r w:rsidR="009B79FC" w:rsidRPr="009200B1">
        <w:rPr>
          <w:rFonts w:ascii="Times New Roman" w:hAnsi="Times New Roman" w:cs="Times New Roman"/>
          <w:color w:val="2B2D38"/>
          <w:sz w:val="18"/>
          <w:szCs w:val="18"/>
          <w:shd w:val="clear" w:color="auto" w:fill="F5F6FB"/>
        </w:rPr>
        <w:t xml:space="preserve"> </w:t>
      </w:r>
      <w:r w:rsidRPr="009200B1">
        <w:rPr>
          <w:rFonts w:ascii="Times New Roman" w:hAnsi="Times New Roman" w:cs="Times New Roman"/>
          <w:color w:val="2B2D38"/>
          <w:sz w:val="18"/>
          <w:szCs w:val="18"/>
          <w:shd w:val="clear" w:color="auto" w:fill="F5F6FB"/>
        </w:rPr>
        <w:t>rimonabant to a placebo were conducted. The two trials had varying numbers of subjects (260–267/group). The 10-week stop rates for the 20-mg, 5-mg, and placebo groups in the US research were 28%, 16%, and 16%, respectively [45]. </w:t>
      </w:r>
      <w:r w:rsidRPr="009200B1">
        <w:rPr>
          <w:rFonts w:ascii="Times New Roman" w:hAnsi="Times New Roman" w:cs="Times New Roman"/>
          <w:color w:val="2B2D38"/>
          <w:sz w:val="18"/>
          <w:szCs w:val="18"/>
        </w:rPr>
        <w:br/>
      </w:r>
      <w:r w:rsidRPr="009200B1">
        <w:rPr>
          <w:rFonts w:ascii="Times New Roman" w:hAnsi="Times New Roman" w:cs="Times New Roman"/>
          <w:color w:val="2B2D38"/>
          <w:sz w:val="18"/>
          <w:szCs w:val="18"/>
          <w:shd w:val="clear" w:color="auto" w:fill="F5F6FB"/>
        </w:rPr>
        <w:t>The percentages in the Europe study [103] were, correspondingly, 25, 24, and 20% (not statistically significant). </w:t>
      </w:r>
    </w:p>
    <w:p w14:paraId="54A28684" w14:textId="4F1261F5" w:rsidR="00464357" w:rsidRPr="009200B1" w:rsidRDefault="00464357" w:rsidP="00464357">
      <w:pPr>
        <w:rPr>
          <w:rFonts w:ascii="Times New Roman" w:hAnsi="Times New Roman" w:cs="Times New Roman"/>
          <w:sz w:val="18"/>
          <w:szCs w:val="18"/>
        </w:rPr>
      </w:pPr>
      <w:r w:rsidRPr="009200B1">
        <w:rPr>
          <w:rFonts w:ascii="Times New Roman" w:hAnsi="Times New Roman" w:cs="Times New Roman"/>
          <w:sz w:val="18"/>
          <w:szCs w:val="18"/>
        </w:rPr>
        <w:t>Expert opinion:</w:t>
      </w:r>
    </w:p>
    <w:p w14:paraId="20193317" w14:textId="32DE0332" w:rsidR="009B79FC" w:rsidRPr="009200B1" w:rsidRDefault="00464357" w:rsidP="00464357">
      <w:pPr>
        <w:rPr>
          <w:rFonts w:ascii="Times New Roman" w:hAnsi="Times New Roman" w:cs="Times New Roman"/>
          <w:color w:val="2B2D38"/>
          <w:sz w:val="18"/>
          <w:szCs w:val="18"/>
          <w:shd w:val="clear" w:color="auto" w:fill="F5F6FB"/>
        </w:rPr>
      </w:pPr>
      <w:r w:rsidRPr="009200B1">
        <w:rPr>
          <w:rFonts w:ascii="Times New Roman" w:hAnsi="Times New Roman" w:cs="Times New Roman"/>
          <w:color w:val="2B2D38"/>
          <w:sz w:val="18"/>
          <w:szCs w:val="18"/>
          <w:shd w:val="clear" w:color="auto" w:fill="F5F6FB"/>
        </w:rPr>
        <w:t>In animals, nicotine shares many characteristics with other stimulants that cause dependence. Moreover, withdrawal symptoms are triggered when nicotine delivery is abruptly stopped after a period of long-term treatment. In the nucleus accumbens, nicotine, like other stimulants, promotes DA outflow.</w:t>
      </w:r>
    </w:p>
    <w:p w14:paraId="0A2D68A4" w14:textId="6D6D205D" w:rsidR="009B79FC" w:rsidRPr="009200B1" w:rsidRDefault="009B79FC" w:rsidP="009B79FC">
      <w:pPr>
        <w:rPr>
          <w:rFonts w:ascii="Times New Roman" w:hAnsi="Times New Roman" w:cs="Times New Roman"/>
          <w:color w:val="2B2D38"/>
          <w:sz w:val="18"/>
          <w:szCs w:val="18"/>
          <w:shd w:val="clear" w:color="auto" w:fill="F5F6FB"/>
        </w:rPr>
      </w:pPr>
      <w:r w:rsidRPr="009200B1">
        <w:rPr>
          <w:rFonts w:ascii="Times New Roman" w:hAnsi="Times New Roman" w:cs="Times New Roman"/>
          <w:color w:val="2B2D38"/>
          <w:sz w:val="18"/>
          <w:szCs w:val="18"/>
          <w:shd w:val="clear" w:color="auto" w:fill="F5F6FB"/>
        </w:rPr>
        <w:t>Distinguishing between the functions of the DA projections to the core and shell of the nucleus accumbens in nicotine dependence has been the focus of recent studies.</w:t>
      </w:r>
      <w:r w:rsidRPr="009200B1">
        <w:rPr>
          <w:rFonts w:ascii="Times New Roman" w:hAnsi="Times New Roman" w:cs="Times New Roman"/>
          <w:color w:val="2B2D38"/>
          <w:sz w:val="18"/>
          <w:szCs w:val="18"/>
        </w:rPr>
        <w:br/>
      </w:r>
      <w:r w:rsidRPr="009200B1">
        <w:rPr>
          <w:rFonts w:ascii="Times New Roman" w:hAnsi="Times New Roman" w:cs="Times New Roman"/>
          <w:color w:val="2B2D38"/>
          <w:sz w:val="18"/>
          <w:szCs w:val="18"/>
          <w:shd w:val="clear" w:color="auto" w:fill="F5F6FB"/>
        </w:rPr>
        <w:t>While DA projections to the accumbal core may be implicated in the mechanisms by which conditioned stimuli enhance drug-seeking behavior and encourage relapse in abstinent</w:t>
      </w:r>
      <w:r w:rsidRPr="009200B1">
        <w:rPr>
          <w:rFonts w:ascii="Times New Roman" w:hAnsi="Times New Roman" w:cs="Times New Roman"/>
          <w:color w:val="2B2D38"/>
          <w:sz w:val="20"/>
          <w:szCs w:val="20"/>
          <w:shd w:val="clear" w:color="auto" w:fill="F5F6FB"/>
        </w:rPr>
        <w:t xml:space="preserve"> individuals, increased </w:t>
      </w:r>
      <w:r w:rsidRPr="009200B1">
        <w:rPr>
          <w:rFonts w:ascii="Times New Roman" w:hAnsi="Times New Roman" w:cs="Times New Roman"/>
          <w:color w:val="2B2D38"/>
          <w:sz w:val="18"/>
          <w:szCs w:val="18"/>
          <w:shd w:val="clear" w:color="auto" w:fill="F5F6FB"/>
        </w:rPr>
        <w:t>DA outflow in the accumbal shell is believed to be crucial in the acquisition of drug-seeking behavior.</w:t>
      </w:r>
    </w:p>
    <w:p w14:paraId="0E7F7BC3" w14:textId="35222765" w:rsidR="00B7655D" w:rsidRPr="009200B1" w:rsidRDefault="00B7655D" w:rsidP="009B79FC">
      <w:pPr>
        <w:rPr>
          <w:rFonts w:ascii="Times New Roman" w:hAnsi="Times New Roman" w:cs="Times New Roman"/>
          <w:b/>
          <w:bCs/>
          <w:color w:val="2B2D38"/>
          <w:sz w:val="18"/>
          <w:szCs w:val="18"/>
          <w:shd w:val="clear" w:color="auto" w:fill="F5F6FB"/>
        </w:rPr>
      </w:pPr>
      <w:r w:rsidRPr="009200B1">
        <w:rPr>
          <w:rFonts w:ascii="Times New Roman" w:hAnsi="Times New Roman" w:cs="Times New Roman"/>
          <w:b/>
          <w:bCs/>
          <w:color w:val="2B2D38"/>
          <w:sz w:val="18"/>
          <w:szCs w:val="18"/>
          <w:shd w:val="clear" w:color="auto" w:fill="F5F6FB"/>
        </w:rPr>
        <w:t>CONCLUSION</w:t>
      </w:r>
    </w:p>
    <w:p w14:paraId="4916467C" w14:textId="476EBAAD" w:rsidR="00B7655D" w:rsidRPr="009200B1" w:rsidRDefault="00B7655D" w:rsidP="00B7655D">
      <w:pPr>
        <w:rPr>
          <w:rFonts w:ascii="Times New Roman" w:hAnsi="Times New Roman" w:cs="Times New Roman"/>
          <w:color w:val="2B2D38"/>
          <w:sz w:val="18"/>
          <w:szCs w:val="18"/>
          <w:shd w:val="clear" w:color="auto" w:fill="F5F6FB"/>
        </w:rPr>
      </w:pPr>
      <w:r w:rsidRPr="009200B1">
        <w:rPr>
          <w:rFonts w:ascii="Times New Roman" w:hAnsi="Times New Roman" w:cs="Times New Roman"/>
          <w:color w:val="2B2D38"/>
          <w:sz w:val="18"/>
          <w:szCs w:val="18"/>
          <w:shd w:val="clear" w:color="auto" w:fill="F5F6FB"/>
        </w:rPr>
        <w:t xml:space="preserve">We might be able to create novel treatments for nicotine addiction (Lester et al., 2012; Lester et al., 2009) or neuroprotection against Parkinson's disease (PD) by comprehending the inside-out pharmacology of nicotinic ligands (Srinivasan et al., 2014). Nowadays, the majority of drug development initiatives focus on creating and refining ligands that are specific to AChR subtypes, most likely α6* or α4* </w:t>
      </w:r>
      <w:r w:rsidR="00685A67" w:rsidRPr="009200B1">
        <w:rPr>
          <w:rFonts w:ascii="Times New Roman" w:hAnsi="Times New Roman" w:cs="Times New Roman"/>
          <w:color w:val="2B2D38"/>
          <w:sz w:val="18"/>
          <w:szCs w:val="18"/>
          <w:shd w:val="clear" w:color="auto" w:fill="F5F6FB"/>
        </w:rPr>
        <w:t>A</w:t>
      </w:r>
      <w:r w:rsidRPr="009200B1">
        <w:rPr>
          <w:rFonts w:ascii="Times New Roman" w:hAnsi="Times New Roman" w:cs="Times New Roman"/>
          <w:color w:val="2B2D38"/>
          <w:sz w:val="18"/>
          <w:szCs w:val="18"/>
          <w:shd w:val="clear" w:color="auto" w:fill="F5F6FB"/>
        </w:rPr>
        <w:t>ChR</w:t>
      </w:r>
      <w:r w:rsidR="00685A67" w:rsidRPr="009200B1">
        <w:rPr>
          <w:rFonts w:ascii="Times New Roman" w:hAnsi="Times New Roman" w:cs="Times New Roman"/>
          <w:color w:val="2B2D38"/>
          <w:sz w:val="18"/>
          <w:szCs w:val="18"/>
          <w:shd w:val="clear" w:color="auto" w:fill="F5F6FB"/>
        </w:rPr>
        <w:t>s</w:t>
      </w:r>
      <w:r w:rsidRPr="009200B1">
        <w:rPr>
          <w:rFonts w:ascii="Times New Roman" w:hAnsi="Times New Roman" w:cs="Times New Roman"/>
          <w:color w:val="2B2D38"/>
          <w:sz w:val="18"/>
          <w:szCs w:val="18"/>
          <w:shd w:val="clear" w:color="auto" w:fill="F5F6FB"/>
        </w:rPr>
        <w:t xml:space="preserve">. </w:t>
      </w:r>
    </w:p>
    <w:p w14:paraId="703A544A" w14:textId="77777777" w:rsidR="008D01CA" w:rsidRPr="009200B1" w:rsidRDefault="008D01CA" w:rsidP="00B7655D">
      <w:pPr>
        <w:rPr>
          <w:rFonts w:ascii="Times New Roman" w:hAnsi="Times New Roman" w:cs="Times New Roman"/>
          <w:color w:val="2B2D38"/>
          <w:sz w:val="18"/>
          <w:szCs w:val="18"/>
          <w:shd w:val="clear" w:color="auto" w:fill="F5F6FB"/>
        </w:rPr>
      </w:pPr>
      <w:r w:rsidRPr="009200B1">
        <w:rPr>
          <w:rFonts w:ascii="Times New Roman" w:hAnsi="Times New Roman" w:cs="Times New Roman"/>
          <w:color w:val="2B2D38"/>
          <w:sz w:val="18"/>
          <w:szCs w:val="18"/>
          <w:shd w:val="clear" w:color="auto" w:fill="F5F6FB"/>
        </w:rPr>
        <w:t>Reference</w:t>
      </w:r>
    </w:p>
    <w:p w14:paraId="1BA45AE1" w14:textId="7BF15E03" w:rsidR="000A68DD" w:rsidRPr="009200B1" w:rsidRDefault="00754126" w:rsidP="00B7655D">
      <w:pPr>
        <w:rPr>
          <w:rFonts w:ascii="Times New Roman" w:hAnsi="Times New Roman" w:cs="Times New Roman"/>
          <w:sz w:val="18"/>
          <w:szCs w:val="18"/>
        </w:rPr>
      </w:pPr>
      <w:r w:rsidRPr="009200B1">
        <w:rPr>
          <w:rFonts w:ascii="Times New Roman" w:hAnsi="Times New Roman" w:cs="Times New Roman"/>
          <w:sz w:val="18"/>
          <w:szCs w:val="18"/>
        </w:rPr>
        <w:t xml:space="preserve">Neuropharmacology of the Interoceptive Stimulus Properties of Nicotine Thomas E. Wootersa, Rick A. Bevinsb, and Michael T. Bardo*,a aDepartment of Psychology, BBSRB, University of Kentucky, Lexington, KY 40536-0509 bDepartment of Psychology, 238 Burnett Hall, University of Nebraska-Lincoln, Lincoln, NE 68588-0308 </w:t>
      </w:r>
    </w:p>
    <w:p w14:paraId="354DE65F" w14:textId="71B4937D" w:rsidR="000A68DD" w:rsidRPr="009200B1" w:rsidRDefault="00754126" w:rsidP="00B7655D">
      <w:pPr>
        <w:rPr>
          <w:rFonts w:ascii="Times New Roman" w:hAnsi="Times New Roman" w:cs="Times New Roman"/>
          <w:sz w:val="18"/>
          <w:szCs w:val="18"/>
        </w:rPr>
      </w:pPr>
      <w:r w:rsidRPr="009200B1">
        <w:rPr>
          <w:rFonts w:ascii="Times New Roman" w:hAnsi="Times New Roman" w:cs="Times New Roman"/>
          <w:sz w:val="18"/>
          <w:szCs w:val="18"/>
        </w:rPr>
        <w:t>Neuropharmacology and potential efficacy of new treatments for tobacco dependence Karl Fagerström† &amp; David JK Balfour †Smokers Information Centre and Fagerstrom Consulting, Berga Alle 1, Helsingborg, Sweden</w:t>
      </w:r>
    </w:p>
    <w:p w14:paraId="2FF2C9C2" w14:textId="1E6B8519" w:rsidR="000A68DD" w:rsidRPr="009200B1" w:rsidRDefault="00754126" w:rsidP="00B7655D">
      <w:pPr>
        <w:rPr>
          <w:rFonts w:ascii="Times New Roman" w:hAnsi="Times New Roman" w:cs="Times New Roman"/>
          <w:sz w:val="18"/>
          <w:szCs w:val="18"/>
        </w:rPr>
      </w:pPr>
      <w:r w:rsidRPr="009200B1">
        <w:rPr>
          <w:rFonts w:ascii="Times New Roman" w:hAnsi="Times New Roman" w:cs="Times New Roman"/>
          <w:sz w:val="18"/>
          <w:szCs w:val="18"/>
        </w:rPr>
        <w:t>Behavioral and neuropharmacological characterization of nicotine as a conditional stimulus Jennifer E. Murray and Rick A. Bevins Department of Psychology, University of Nebraska-Lincoln</w:t>
      </w:r>
    </w:p>
    <w:p w14:paraId="1DDDD70B" w14:textId="35AE0AA6" w:rsidR="00754126" w:rsidRPr="009200B1" w:rsidRDefault="00754126" w:rsidP="00754126">
      <w:pPr>
        <w:rPr>
          <w:rFonts w:ascii="Times New Roman" w:hAnsi="Times New Roman" w:cs="Times New Roman"/>
          <w:sz w:val="18"/>
          <w:szCs w:val="18"/>
        </w:rPr>
      </w:pPr>
      <w:r w:rsidRPr="009200B1">
        <w:rPr>
          <w:rFonts w:ascii="Times New Roman" w:hAnsi="Times New Roman" w:cs="Times New Roman"/>
          <w:sz w:val="18"/>
          <w:szCs w:val="18"/>
        </w:rPr>
        <w:t>Inside-out neuropharmacology of nicotinic drugs Brandon J. Henderson1 and Henry A. Lester1 1Division of Biology and Biological Engineering, California Institute of Technology, Pasadena, CA 91125, USA</w:t>
      </w:r>
    </w:p>
    <w:p w14:paraId="70DB5DF0" w14:textId="6F531D2B" w:rsidR="00754126" w:rsidRPr="009200B1" w:rsidRDefault="00754126" w:rsidP="00754126">
      <w:pPr>
        <w:rPr>
          <w:rFonts w:ascii="Times New Roman" w:hAnsi="Times New Roman" w:cs="Times New Roman"/>
          <w:sz w:val="18"/>
          <w:szCs w:val="18"/>
        </w:rPr>
      </w:pPr>
      <w:r w:rsidRPr="009200B1">
        <w:rPr>
          <w:rFonts w:ascii="Times New Roman" w:hAnsi="Times New Roman" w:cs="Times New Roman"/>
          <w:sz w:val="18"/>
          <w:szCs w:val="18"/>
        </w:rPr>
        <w:t>Neuropharmacology and potential efficacy of new treatments for tobacco dependence</w:t>
      </w:r>
      <w:r w:rsidR="00986F41" w:rsidRPr="009200B1">
        <w:rPr>
          <w:rFonts w:ascii="Times New Roman" w:hAnsi="Times New Roman" w:cs="Times New Roman"/>
          <w:sz w:val="18"/>
          <w:szCs w:val="18"/>
        </w:rPr>
        <w:t xml:space="preserve"> </w:t>
      </w:r>
      <w:r w:rsidRPr="009200B1">
        <w:rPr>
          <w:rFonts w:ascii="Times New Roman" w:hAnsi="Times New Roman" w:cs="Times New Roman"/>
          <w:sz w:val="18"/>
          <w:szCs w:val="18"/>
        </w:rPr>
        <w:t>Karl Fagerström, David JK Balfour</w:t>
      </w:r>
      <w:r w:rsidR="00986F41" w:rsidRPr="009200B1">
        <w:rPr>
          <w:rFonts w:ascii="Times New Roman" w:hAnsi="Times New Roman" w:cs="Times New Roman"/>
          <w:sz w:val="18"/>
          <w:szCs w:val="18"/>
        </w:rPr>
        <w:t xml:space="preserve"> </w:t>
      </w:r>
      <w:r w:rsidRPr="009200B1">
        <w:rPr>
          <w:rFonts w:ascii="Times New Roman" w:hAnsi="Times New Roman" w:cs="Times New Roman"/>
          <w:sz w:val="18"/>
          <w:szCs w:val="18"/>
        </w:rPr>
        <w:t>Expert Opinion on Investigational Drugs 15 (2), 107-116, 2006</w:t>
      </w:r>
    </w:p>
    <w:p w14:paraId="38F93A2C" w14:textId="6127C099" w:rsidR="00986F41" w:rsidRPr="009200B1" w:rsidRDefault="00986F41" w:rsidP="00986F41">
      <w:pPr>
        <w:rPr>
          <w:rFonts w:ascii="Times New Roman" w:hAnsi="Times New Roman" w:cs="Times New Roman"/>
          <w:sz w:val="18"/>
          <w:szCs w:val="18"/>
        </w:rPr>
      </w:pPr>
      <w:r w:rsidRPr="009200B1">
        <w:rPr>
          <w:rFonts w:ascii="Times New Roman" w:hAnsi="Times New Roman" w:cs="Times New Roman"/>
          <w:sz w:val="18"/>
          <w:szCs w:val="18"/>
        </w:rPr>
        <w:t>The neuropharmacology of nicotine dependence David JK Balfour, Marcus R Munafò</w:t>
      </w:r>
    </w:p>
    <w:p w14:paraId="4918460D" w14:textId="6292F221" w:rsidR="00986F41" w:rsidRPr="009200B1" w:rsidRDefault="00986F41" w:rsidP="00986F41">
      <w:pPr>
        <w:rPr>
          <w:rFonts w:ascii="Times New Roman" w:hAnsi="Times New Roman" w:cs="Times New Roman"/>
          <w:sz w:val="18"/>
          <w:szCs w:val="18"/>
        </w:rPr>
      </w:pPr>
      <w:r w:rsidRPr="009200B1">
        <w:rPr>
          <w:rFonts w:ascii="Times New Roman" w:hAnsi="Times New Roman" w:cs="Times New Roman"/>
          <w:sz w:val="18"/>
          <w:szCs w:val="18"/>
        </w:rPr>
        <w:t>Springer, 2015</w:t>
      </w:r>
    </w:p>
    <w:p w14:paraId="04A355F0" w14:textId="77777777" w:rsidR="00986F41" w:rsidRPr="009200B1" w:rsidRDefault="00986F41" w:rsidP="00986F41">
      <w:pPr>
        <w:rPr>
          <w:rFonts w:ascii="Times New Roman" w:hAnsi="Times New Roman" w:cs="Times New Roman"/>
          <w:sz w:val="18"/>
          <w:szCs w:val="18"/>
        </w:rPr>
      </w:pPr>
      <w:r w:rsidRPr="009200B1">
        <w:rPr>
          <w:rFonts w:ascii="Times New Roman" w:hAnsi="Times New Roman" w:cs="Times New Roman"/>
          <w:sz w:val="18"/>
          <w:szCs w:val="18"/>
        </w:rPr>
        <w:t>Nicotinic receptors: From protein allostery to computational neuropharmacology</w:t>
      </w:r>
    </w:p>
    <w:p w14:paraId="3A5FD167" w14:textId="0416C2FA" w:rsidR="00986F41" w:rsidRPr="009200B1" w:rsidRDefault="00986F41" w:rsidP="00986F41">
      <w:pPr>
        <w:rPr>
          <w:rFonts w:ascii="Times New Roman" w:hAnsi="Times New Roman" w:cs="Times New Roman"/>
          <w:sz w:val="18"/>
          <w:szCs w:val="18"/>
        </w:rPr>
      </w:pPr>
      <w:r w:rsidRPr="009200B1">
        <w:rPr>
          <w:rFonts w:ascii="Times New Roman" w:hAnsi="Times New Roman" w:cs="Times New Roman"/>
          <w:sz w:val="18"/>
          <w:szCs w:val="18"/>
        </w:rPr>
        <w:t>Marco Cecchini, Jean-Pierre Changeux Molecular Aspects of Medicine 84, 101044, 2022</w:t>
      </w:r>
    </w:p>
    <w:p w14:paraId="7842B5E7" w14:textId="7AA18A4E" w:rsidR="00986F41" w:rsidRPr="009200B1" w:rsidRDefault="00986F41" w:rsidP="00986F41">
      <w:pPr>
        <w:rPr>
          <w:rFonts w:ascii="Times New Roman" w:hAnsi="Times New Roman" w:cs="Times New Roman"/>
          <w:sz w:val="18"/>
          <w:szCs w:val="18"/>
        </w:rPr>
      </w:pPr>
      <w:r w:rsidRPr="009200B1">
        <w:rPr>
          <w:rFonts w:ascii="Times New Roman" w:hAnsi="Times New Roman" w:cs="Times New Roman"/>
          <w:sz w:val="18"/>
          <w:szCs w:val="18"/>
        </w:rPr>
        <w:t>Introduction to neuropharmacology Philip B Bradley Butterworth-Heinemann, 2014</w:t>
      </w:r>
    </w:p>
    <w:p w14:paraId="2243C008" w14:textId="2841473B" w:rsidR="00DA627F" w:rsidRPr="009200B1" w:rsidRDefault="00DA627F" w:rsidP="00DA627F">
      <w:pPr>
        <w:rPr>
          <w:rFonts w:ascii="Times New Roman" w:hAnsi="Times New Roman" w:cs="Times New Roman"/>
          <w:sz w:val="18"/>
          <w:szCs w:val="18"/>
        </w:rPr>
      </w:pPr>
      <w:r w:rsidRPr="009200B1">
        <w:rPr>
          <w:rFonts w:ascii="Times New Roman" w:hAnsi="Times New Roman" w:cs="Times New Roman"/>
          <w:sz w:val="18"/>
          <w:szCs w:val="18"/>
        </w:rPr>
        <w:t>Nicotinic receptors: From protein allostery to computational neuropharmacology Marco Cecchini, Jean-Pierre Changeux Molecular Aspects of Medicine 84, 101044, 2022</w:t>
      </w:r>
    </w:p>
    <w:p w14:paraId="6B566831" w14:textId="260D2A9C" w:rsidR="00DA627F" w:rsidRPr="009200B1" w:rsidRDefault="00DA627F" w:rsidP="00DA627F">
      <w:pPr>
        <w:rPr>
          <w:rFonts w:ascii="Times New Roman" w:hAnsi="Times New Roman" w:cs="Times New Roman"/>
          <w:sz w:val="18"/>
          <w:szCs w:val="18"/>
        </w:rPr>
      </w:pPr>
      <w:r w:rsidRPr="009200B1">
        <w:rPr>
          <w:rFonts w:ascii="Times New Roman" w:hAnsi="Times New Roman" w:cs="Times New Roman"/>
          <w:sz w:val="18"/>
          <w:szCs w:val="18"/>
        </w:rPr>
        <w:t>The neuropharmacological substrates of nicotine reward: reinforcing versus reinforcement-enhancing effects of nicotine Neil E Paterson Behavioural pharmacology 20 (3), 211-225, 2009</w:t>
      </w:r>
    </w:p>
    <w:sectPr w:rsidR="00DA627F" w:rsidRPr="009200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35836" w14:textId="77777777" w:rsidR="00857F0C" w:rsidRDefault="00857F0C" w:rsidP="001E45B5">
      <w:pPr>
        <w:spacing w:after="0" w:line="240" w:lineRule="auto"/>
      </w:pPr>
      <w:r>
        <w:separator/>
      </w:r>
    </w:p>
  </w:endnote>
  <w:endnote w:type="continuationSeparator" w:id="0">
    <w:p w14:paraId="656F7A85" w14:textId="77777777" w:rsidR="00857F0C" w:rsidRDefault="00857F0C" w:rsidP="001E4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C339F" w14:textId="77777777" w:rsidR="00857F0C" w:rsidRDefault="00857F0C" w:rsidP="001E45B5">
      <w:pPr>
        <w:spacing w:after="0" w:line="240" w:lineRule="auto"/>
      </w:pPr>
      <w:r>
        <w:separator/>
      </w:r>
    </w:p>
  </w:footnote>
  <w:footnote w:type="continuationSeparator" w:id="0">
    <w:p w14:paraId="5883EEDD" w14:textId="77777777" w:rsidR="00857F0C" w:rsidRDefault="00857F0C" w:rsidP="001E45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B2B70"/>
    <w:multiLevelType w:val="hybridMultilevel"/>
    <w:tmpl w:val="3FEEF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9A374F"/>
    <w:multiLevelType w:val="hybridMultilevel"/>
    <w:tmpl w:val="2C96F1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D352181"/>
    <w:multiLevelType w:val="hybridMultilevel"/>
    <w:tmpl w:val="3850E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3FC24C2"/>
    <w:multiLevelType w:val="hybridMultilevel"/>
    <w:tmpl w:val="BD40B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F90655"/>
    <w:multiLevelType w:val="hybridMultilevel"/>
    <w:tmpl w:val="A4A4CC8A"/>
    <w:lvl w:ilvl="0" w:tplc="038C8C2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5A1E19"/>
    <w:multiLevelType w:val="hybridMultilevel"/>
    <w:tmpl w:val="ADCCF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8B3AF6"/>
    <w:multiLevelType w:val="hybridMultilevel"/>
    <w:tmpl w:val="6FE886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AC22487"/>
    <w:multiLevelType w:val="hybridMultilevel"/>
    <w:tmpl w:val="D12E5A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7"/>
  </w:num>
  <w:num w:numId="5">
    <w:abstractNumId w:val="2"/>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5B5"/>
    <w:rsid w:val="00001BC9"/>
    <w:rsid w:val="000669E4"/>
    <w:rsid w:val="000A68DD"/>
    <w:rsid w:val="00146393"/>
    <w:rsid w:val="001E45B5"/>
    <w:rsid w:val="002473F1"/>
    <w:rsid w:val="002A600C"/>
    <w:rsid w:val="002B0EEA"/>
    <w:rsid w:val="002B3A19"/>
    <w:rsid w:val="003864AC"/>
    <w:rsid w:val="00391BAC"/>
    <w:rsid w:val="003A1F81"/>
    <w:rsid w:val="003C3D8B"/>
    <w:rsid w:val="00442A4E"/>
    <w:rsid w:val="00464357"/>
    <w:rsid w:val="005A7A27"/>
    <w:rsid w:val="005E6E0C"/>
    <w:rsid w:val="00685A67"/>
    <w:rsid w:val="006C24A8"/>
    <w:rsid w:val="0071711F"/>
    <w:rsid w:val="00754126"/>
    <w:rsid w:val="007D23C4"/>
    <w:rsid w:val="00857F0C"/>
    <w:rsid w:val="008D01CA"/>
    <w:rsid w:val="009200B1"/>
    <w:rsid w:val="009242CC"/>
    <w:rsid w:val="00982C82"/>
    <w:rsid w:val="00986F41"/>
    <w:rsid w:val="009B79FC"/>
    <w:rsid w:val="00AA28C9"/>
    <w:rsid w:val="00AA4ADF"/>
    <w:rsid w:val="00AA6B61"/>
    <w:rsid w:val="00B45ACA"/>
    <w:rsid w:val="00B64A21"/>
    <w:rsid w:val="00B7655D"/>
    <w:rsid w:val="00C0086B"/>
    <w:rsid w:val="00CA07FE"/>
    <w:rsid w:val="00D74390"/>
    <w:rsid w:val="00DA627F"/>
    <w:rsid w:val="00E12DA7"/>
    <w:rsid w:val="00F245AA"/>
    <w:rsid w:val="00FE5E04"/>
    <w:rsid w:val="00FF6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F14CE"/>
  <w15:chartTrackingRefBased/>
  <w15:docId w15:val="{8492BB78-0CD9-4BD8-9701-43FE6A5F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5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45B5"/>
  </w:style>
  <w:style w:type="paragraph" w:styleId="Footer">
    <w:name w:val="footer"/>
    <w:basedOn w:val="Normal"/>
    <w:link w:val="FooterChar"/>
    <w:uiPriority w:val="99"/>
    <w:unhideWhenUsed/>
    <w:rsid w:val="001E45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45B5"/>
  </w:style>
  <w:style w:type="paragraph" w:styleId="ListParagraph">
    <w:name w:val="List Paragraph"/>
    <w:basedOn w:val="Normal"/>
    <w:uiPriority w:val="34"/>
    <w:qFormat/>
    <w:rsid w:val="007D23C4"/>
    <w:pPr>
      <w:ind w:left="720"/>
      <w:contextualSpacing/>
    </w:pPr>
  </w:style>
  <w:style w:type="character" w:customStyle="1" w:styleId="resbgcolor">
    <w:name w:val="res_bg_color"/>
    <w:basedOn w:val="DefaultParagraphFont"/>
    <w:rsid w:val="00464357"/>
  </w:style>
  <w:style w:type="character" w:styleId="Hyperlink">
    <w:name w:val="Hyperlink"/>
    <w:basedOn w:val="DefaultParagraphFont"/>
    <w:uiPriority w:val="99"/>
    <w:unhideWhenUsed/>
    <w:rsid w:val="00B7655D"/>
    <w:rPr>
      <w:color w:val="0563C1" w:themeColor="hyperlink"/>
      <w:u w:val="single"/>
    </w:rPr>
  </w:style>
  <w:style w:type="character" w:styleId="UnresolvedMention">
    <w:name w:val="Unresolved Mention"/>
    <w:basedOn w:val="DefaultParagraphFont"/>
    <w:uiPriority w:val="99"/>
    <w:semiHidden/>
    <w:unhideWhenUsed/>
    <w:rsid w:val="00B76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104509">
      <w:bodyDiv w:val="1"/>
      <w:marLeft w:val="0"/>
      <w:marRight w:val="0"/>
      <w:marTop w:val="0"/>
      <w:marBottom w:val="0"/>
      <w:divBdr>
        <w:top w:val="none" w:sz="0" w:space="0" w:color="auto"/>
        <w:left w:val="none" w:sz="0" w:space="0" w:color="auto"/>
        <w:bottom w:val="none" w:sz="0" w:space="0" w:color="auto"/>
        <w:right w:val="none" w:sz="0" w:space="0" w:color="auto"/>
      </w:divBdr>
    </w:div>
    <w:div w:id="718093549">
      <w:bodyDiv w:val="1"/>
      <w:marLeft w:val="0"/>
      <w:marRight w:val="0"/>
      <w:marTop w:val="0"/>
      <w:marBottom w:val="0"/>
      <w:divBdr>
        <w:top w:val="none" w:sz="0" w:space="0" w:color="auto"/>
        <w:left w:val="none" w:sz="0" w:space="0" w:color="auto"/>
        <w:bottom w:val="none" w:sz="0" w:space="0" w:color="auto"/>
        <w:right w:val="none" w:sz="0" w:space="0" w:color="auto"/>
      </w:divBdr>
    </w:div>
    <w:div w:id="1162813224">
      <w:bodyDiv w:val="1"/>
      <w:marLeft w:val="0"/>
      <w:marRight w:val="0"/>
      <w:marTop w:val="0"/>
      <w:marBottom w:val="0"/>
      <w:divBdr>
        <w:top w:val="none" w:sz="0" w:space="0" w:color="auto"/>
        <w:left w:val="none" w:sz="0" w:space="0" w:color="auto"/>
        <w:bottom w:val="none" w:sz="0" w:space="0" w:color="auto"/>
        <w:right w:val="none" w:sz="0" w:space="0" w:color="auto"/>
      </w:divBdr>
    </w:div>
    <w:div w:id="1267348983">
      <w:bodyDiv w:val="1"/>
      <w:marLeft w:val="0"/>
      <w:marRight w:val="0"/>
      <w:marTop w:val="0"/>
      <w:marBottom w:val="0"/>
      <w:divBdr>
        <w:top w:val="none" w:sz="0" w:space="0" w:color="auto"/>
        <w:left w:val="none" w:sz="0" w:space="0" w:color="auto"/>
        <w:bottom w:val="none" w:sz="0" w:space="0" w:color="auto"/>
        <w:right w:val="none" w:sz="0" w:space="0" w:color="auto"/>
      </w:divBdr>
    </w:div>
    <w:div w:id="1275551968">
      <w:bodyDiv w:val="1"/>
      <w:marLeft w:val="0"/>
      <w:marRight w:val="0"/>
      <w:marTop w:val="0"/>
      <w:marBottom w:val="0"/>
      <w:divBdr>
        <w:top w:val="none" w:sz="0" w:space="0" w:color="auto"/>
        <w:left w:val="none" w:sz="0" w:space="0" w:color="auto"/>
        <w:bottom w:val="none" w:sz="0" w:space="0" w:color="auto"/>
        <w:right w:val="none" w:sz="0" w:space="0" w:color="auto"/>
      </w:divBdr>
    </w:div>
    <w:div w:id="1380206133">
      <w:bodyDiv w:val="1"/>
      <w:marLeft w:val="0"/>
      <w:marRight w:val="0"/>
      <w:marTop w:val="0"/>
      <w:marBottom w:val="0"/>
      <w:divBdr>
        <w:top w:val="none" w:sz="0" w:space="0" w:color="auto"/>
        <w:left w:val="none" w:sz="0" w:space="0" w:color="auto"/>
        <w:bottom w:val="none" w:sz="0" w:space="0" w:color="auto"/>
        <w:right w:val="none" w:sz="0" w:space="0" w:color="auto"/>
      </w:divBdr>
    </w:div>
    <w:div w:id="1597594586">
      <w:bodyDiv w:val="1"/>
      <w:marLeft w:val="0"/>
      <w:marRight w:val="0"/>
      <w:marTop w:val="0"/>
      <w:marBottom w:val="0"/>
      <w:divBdr>
        <w:top w:val="none" w:sz="0" w:space="0" w:color="auto"/>
        <w:left w:val="none" w:sz="0" w:space="0" w:color="auto"/>
        <w:bottom w:val="none" w:sz="0" w:space="0" w:color="auto"/>
        <w:right w:val="none" w:sz="0" w:space="0" w:color="auto"/>
      </w:divBdr>
    </w:div>
    <w:div w:id="162230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f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B927C-0654-4093-9916-2760D7494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2024-11-23T08:53:00Z</dcterms:created>
  <dcterms:modified xsi:type="dcterms:W3CDTF">2024-12-12T09:34:00Z</dcterms:modified>
</cp:coreProperties>
</file>