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D0807" w14:textId="77777777" w:rsidR="0095528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MODIFIED PAG-IBIG II (MP2) SAVINGS  INVESTMENT FRAMEWORK AMONG MILLENNIALS IN DAVAO CITY</w:t>
      </w:r>
    </w:p>
    <w:p w14:paraId="6029BEDF" w14:textId="77777777" w:rsidR="00955283" w:rsidRDefault="00955283">
      <w:pPr>
        <w:spacing w:after="0" w:line="240" w:lineRule="auto"/>
        <w:jc w:val="center"/>
        <w:rPr>
          <w:rFonts w:ascii="Times New Roman" w:eastAsia="Times New Roman" w:hAnsi="Times New Roman" w:cs="Times New Roman"/>
          <w:b/>
        </w:rPr>
      </w:pPr>
    </w:p>
    <w:p w14:paraId="3C8C520B" w14:textId="77777777" w:rsidR="00955283"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Abing, Angel Grace C.</w:t>
      </w:r>
    </w:p>
    <w:p w14:paraId="6E345273"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Rebuelta, Vener Zygmond O.</w:t>
      </w:r>
    </w:p>
    <w:p w14:paraId="684BF98A" w14:textId="77777777" w:rsidR="00955283" w:rsidRDefault="00000000">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Savillo</w:t>
      </w:r>
      <w:proofErr w:type="spellEnd"/>
      <w:r>
        <w:rPr>
          <w:rFonts w:ascii="Times New Roman" w:eastAsia="Times New Roman" w:hAnsi="Times New Roman" w:cs="Times New Roman"/>
          <w:b/>
        </w:rPr>
        <w:t>, Michelle</w:t>
      </w:r>
    </w:p>
    <w:p w14:paraId="45B11566" w14:textId="77777777" w:rsidR="00955283" w:rsidRPr="00886BC8" w:rsidRDefault="00000000">
      <w:pPr>
        <w:spacing w:after="0" w:line="240" w:lineRule="auto"/>
        <w:jc w:val="center"/>
        <w:rPr>
          <w:rFonts w:ascii="Times New Roman" w:eastAsia="Times New Roman" w:hAnsi="Times New Roman" w:cs="Times New Roman"/>
          <w:b/>
          <w:lang w:val="pt-BR"/>
        </w:rPr>
      </w:pPr>
      <w:r w:rsidRPr="00886BC8">
        <w:rPr>
          <w:rFonts w:ascii="Times New Roman" w:eastAsia="Times New Roman" w:hAnsi="Times New Roman" w:cs="Times New Roman"/>
          <w:b/>
          <w:lang w:val="pt-BR"/>
        </w:rPr>
        <w:t>Telanduca, Jezsa</w:t>
      </w:r>
    </w:p>
    <w:p w14:paraId="358EC3F8" w14:textId="77777777" w:rsidR="00955283" w:rsidRPr="00886BC8" w:rsidRDefault="00000000">
      <w:pPr>
        <w:spacing w:after="0"/>
        <w:jc w:val="center"/>
        <w:rPr>
          <w:rFonts w:ascii="Times New Roman" w:eastAsia="Times New Roman" w:hAnsi="Times New Roman" w:cs="Times New Roman"/>
          <w:b/>
          <w:lang w:val="pt-BR"/>
        </w:rPr>
      </w:pPr>
      <w:r w:rsidRPr="00886BC8">
        <w:rPr>
          <w:rFonts w:ascii="Times New Roman" w:eastAsia="Times New Roman" w:hAnsi="Times New Roman" w:cs="Times New Roman"/>
          <w:b/>
          <w:lang w:val="pt-BR"/>
        </w:rPr>
        <w:t>Velasco, Liezl Mae S.</w:t>
      </w:r>
    </w:p>
    <w:p w14:paraId="4100D9BC" w14:textId="77777777" w:rsidR="00955283" w:rsidRDefault="00000000">
      <w:pPr>
        <w:spacing w:after="0"/>
        <w:jc w:val="center"/>
        <w:rPr>
          <w:rFonts w:ascii="Times New Roman" w:eastAsia="Times New Roman" w:hAnsi="Times New Roman" w:cs="Times New Roman"/>
          <w:b/>
        </w:rPr>
      </w:pPr>
      <w:r>
        <w:rPr>
          <w:rFonts w:ascii="Times New Roman" w:eastAsia="Times New Roman" w:hAnsi="Times New Roman" w:cs="Times New Roman"/>
          <w:b/>
        </w:rPr>
        <w:t>Vitor, Shannen Kirsten C.</w:t>
      </w:r>
    </w:p>
    <w:p w14:paraId="58ADD690" w14:textId="77777777" w:rsidR="00955283" w:rsidRDefault="00955283">
      <w:pPr>
        <w:spacing w:after="0" w:line="240" w:lineRule="auto"/>
        <w:jc w:val="center"/>
        <w:rPr>
          <w:rFonts w:ascii="Times New Roman" w:eastAsia="Times New Roman" w:hAnsi="Times New Roman" w:cs="Times New Roman"/>
          <w:b/>
        </w:rPr>
      </w:pPr>
    </w:p>
    <w:p w14:paraId="200D4747"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University of Southeastern Philippines – College of Development Management Graduate Program</w:t>
      </w:r>
    </w:p>
    <w:p w14:paraId="38743706"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Mintal Campus, Davao City</w:t>
      </w:r>
    </w:p>
    <w:p w14:paraId="5D6FBEEA" w14:textId="77777777" w:rsidR="00955283" w:rsidRDefault="00955283">
      <w:pPr>
        <w:pBdr>
          <w:bottom w:val="single" w:sz="6" w:space="1" w:color="000000"/>
        </w:pBdr>
        <w:spacing w:after="0" w:line="240" w:lineRule="auto"/>
        <w:jc w:val="both"/>
        <w:rPr>
          <w:rFonts w:ascii="Times New Roman" w:eastAsia="Times New Roman" w:hAnsi="Times New Roman" w:cs="Times New Roman"/>
          <w:b/>
        </w:rPr>
      </w:pPr>
    </w:p>
    <w:p w14:paraId="22FBF9C4"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ABSTRACT</w:t>
      </w:r>
    </w:p>
    <w:p w14:paraId="37A9971D"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Financial literacy and investment practices among millennials have gained significant attention due to their increasing importance in economic sustainability and individual financial growth. This study was conducted to identify the investment framework guiding millennials in Davao City to engage with the Modified Pag-IBIG II (MP2) savings program. An Exploratory Factor Analysis (EFA) was conducted from the survey among 150 millennial respondents with the MP2 savings program in Davao City. The Kaiser-Meyer-Olkin (KMO) Measure of Sampling Adequacy and Bartlett’s test of Sphericity were used in factor analysis to assess the suitability of the data for factor analysis, and a Scree Plot was used to graphically identify the optimal number of factors that can be extracted from the survey. The findings reveal four main determinants driving millennials’ participation: Ease of Use and Accessibility, Long-Term Financial Goals, Peer Pressure and Social Norms, and Tax Efficiency and Flexibility.</w:t>
      </w:r>
    </w:p>
    <w:p w14:paraId="0017153F" w14:textId="77777777" w:rsidR="00955283" w:rsidRDefault="00955283">
      <w:pPr>
        <w:spacing w:after="0" w:line="240" w:lineRule="auto"/>
        <w:jc w:val="both"/>
        <w:rPr>
          <w:rFonts w:ascii="Times New Roman" w:eastAsia="Times New Roman" w:hAnsi="Times New Roman" w:cs="Times New Roman"/>
          <w:b/>
        </w:rPr>
      </w:pPr>
    </w:p>
    <w:p w14:paraId="1096BFF9"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Keywords: </w:t>
      </w:r>
      <w:r>
        <w:rPr>
          <w:rFonts w:ascii="Times New Roman" w:eastAsia="Times New Roman" w:hAnsi="Times New Roman" w:cs="Times New Roman"/>
        </w:rPr>
        <w:t>MP2, millennials, investment framework, Exploratory Factor Analysis (EFA), Davao City</w:t>
      </w:r>
    </w:p>
    <w:p w14:paraId="024F5BC6" w14:textId="77777777" w:rsidR="00955283" w:rsidRDefault="00955283">
      <w:pPr>
        <w:pBdr>
          <w:bottom w:val="single" w:sz="6" w:space="1" w:color="000000"/>
        </w:pBdr>
        <w:spacing w:after="0" w:line="240" w:lineRule="auto"/>
        <w:jc w:val="both"/>
        <w:rPr>
          <w:rFonts w:ascii="Times New Roman" w:eastAsia="Times New Roman" w:hAnsi="Times New Roman" w:cs="Times New Roman"/>
        </w:rPr>
      </w:pPr>
    </w:p>
    <w:p w14:paraId="3980716C" w14:textId="77777777" w:rsidR="00955283" w:rsidRDefault="00955283">
      <w:pPr>
        <w:spacing w:after="0" w:line="240" w:lineRule="auto"/>
        <w:jc w:val="center"/>
        <w:rPr>
          <w:rFonts w:ascii="Times New Roman" w:eastAsia="Times New Roman" w:hAnsi="Times New Roman" w:cs="Times New Roman"/>
          <w:b/>
        </w:rPr>
      </w:pPr>
    </w:p>
    <w:p w14:paraId="0F8C1041"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INTRODUCTION</w:t>
      </w:r>
    </w:p>
    <w:p w14:paraId="0B58419E" w14:textId="055BF78A"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Every generation has the capacity to influence the economy, but millennials, also known as Generation Y, are positioned to exert a special impact. Financial literacy and investment practices among millennials have gained significant attention due to their increasing importance in economic sustainability and individual financial growth</w:t>
      </w:r>
      <w:r w:rsidR="00886BC8">
        <w:rPr>
          <w:rFonts w:ascii="Times New Roman" w:eastAsia="Times New Roman" w:hAnsi="Times New Roman" w:cs="Times New Roman"/>
        </w:rPr>
        <w:t xml:space="preserve"> </w:t>
      </w:r>
      <w:r w:rsidR="00886BC8">
        <w:rPr>
          <w:rFonts w:ascii="Times New Roman" w:eastAsia="Times New Roman" w:hAnsi="Times New Roman" w:cs="Times New Roman"/>
        </w:rPr>
        <w:t>(Bolognese et. Al 2020)</w:t>
      </w:r>
      <w:r>
        <w:rPr>
          <w:rFonts w:ascii="Times New Roman" w:eastAsia="Times New Roman" w:hAnsi="Times New Roman" w:cs="Times New Roman"/>
        </w:rPr>
        <w:t>. One of the investment opportunities gaining popularity in the Philippines is the Modified Pag-IBIG Savings II (MP2) program, a government-backed savings initiative designed to provide Filipinos with a higher-yielding alternative to traditional savings accounts. While the program has traditionally attracted middle-aged individuals and families seeking stable returns, its appeal to millennials is growing as more young Filipinos begin to understand the value of long-term saving and investing.</w:t>
      </w:r>
    </w:p>
    <w:p w14:paraId="53DA001F" w14:textId="77777777" w:rsidR="00955283" w:rsidRDefault="00955283">
      <w:pPr>
        <w:spacing w:after="0" w:line="240" w:lineRule="auto"/>
        <w:jc w:val="both"/>
        <w:rPr>
          <w:rFonts w:ascii="Times New Roman" w:eastAsia="Times New Roman" w:hAnsi="Times New Roman" w:cs="Times New Roman"/>
        </w:rPr>
      </w:pPr>
    </w:p>
    <w:p w14:paraId="6D43882A"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MP2 program, which offers tax-free dividends, flexible withdrawal options, and a guaranteed return, has become an accessible investment tool for those seeking to build a financial cushion. However, research on the specific investment behavior of millennials in relation to MP2 is still limited, especially considering the unique characteristics of this demographic group. Millennial, defined as individuals born between 1981 and 1996, represent a tech-savvy, value-conscious generation and are increasingly aware of the need for financial planning and investment (Teodoro, 2020; Santiago, 2021). Despite these traits, studies indicate that many millennials still lack sufficient financial literacy, often overlooking opportunities like MP2 in favor of more immediate financial gratification or riskier investment options (Gonzales &amp; Martinez, 2022).</w:t>
      </w:r>
    </w:p>
    <w:p w14:paraId="52CBAA78" w14:textId="77777777" w:rsidR="00955283" w:rsidRDefault="00955283">
      <w:pPr>
        <w:spacing w:after="0" w:line="240" w:lineRule="auto"/>
        <w:jc w:val="both"/>
        <w:rPr>
          <w:rFonts w:ascii="Times New Roman" w:eastAsia="Times New Roman" w:hAnsi="Times New Roman" w:cs="Times New Roman"/>
        </w:rPr>
      </w:pPr>
    </w:p>
    <w:p w14:paraId="6A579721"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Given these dynamics, it is essential to explore the factors influencing the adoption of the MP2 program among millennials. This study aims to develop a comprehensive MP2 investment framework to guide millennials in making informed investment decisions. By examining key variables such as financial literacy, awareness of government-backed savings programs, and attitudes toward long-term financial planning, this research seeks to identify the most effective strategies for engaging millennials in MP2 </w:t>
      </w:r>
      <w:r>
        <w:rPr>
          <w:rFonts w:ascii="Times New Roman" w:eastAsia="Times New Roman" w:hAnsi="Times New Roman" w:cs="Times New Roman"/>
        </w:rPr>
        <w:lastRenderedPageBreak/>
        <w:t>investment. Additionally, this study will assess how the digital landscape, with its wealth of online platforms and mobile applications, influences the appeal and accessibility of MP2 for the younger generation (Bustos &amp; Tan, 2023; de Leon &amp; Reyes, 2022).</w:t>
      </w:r>
    </w:p>
    <w:p w14:paraId="3D4DCF84" w14:textId="77777777" w:rsidR="00955283" w:rsidRDefault="00955283">
      <w:pPr>
        <w:spacing w:after="0" w:line="240" w:lineRule="auto"/>
        <w:jc w:val="both"/>
        <w:rPr>
          <w:rFonts w:ascii="Times New Roman" w:eastAsia="Times New Roman" w:hAnsi="Times New Roman" w:cs="Times New Roman"/>
        </w:rPr>
      </w:pPr>
    </w:p>
    <w:p w14:paraId="4F7DA7F5" w14:textId="60464802"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financial products like MP2 continue to shape Filipinos’ economic </w:t>
      </w:r>
      <w:proofErr w:type="spellStart"/>
      <w:r>
        <w:rPr>
          <w:rFonts w:ascii="Times New Roman" w:eastAsia="Times New Roman" w:hAnsi="Times New Roman" w:cs="Times New Roman"/>
        </w:rPr>
        <w:t>behaviour</w:t>
      </w:r>
      <w:proofErr w:type="spellEnd"/>
      <w:r>
        <w:rPr>
          <w:rFonts w:ascii="Times New Roman" w:eastAsia="Times New Roman" w:hAnsi="Times New Roman" w:cs="Times New Roman"/>
        </w:rPr>
        <w:t>, understanding millennials' preferences and motivations will be crucial for enhancing their participation in structured savings programs and, ultimately, for fostering a culture of saving and investing among the younger population.</w:t>
      </w:r>
    </w:p>
    <w:p w14:paraId="15203FA2" w14:textId="77777777" w:rsidR="006722DD" w:rsidRPr="006722DD" w:rsidRDefault="006722DD">
      <w:pPr>
        <w:spacing w:after="0" w:line="240" w:lineRule="auto"/>
        <w:jc w:val="both"/>
        <w:rPr>
          <w:rFonts w:ascii="Times New Roman" w:eastAsia="Times New Roman" w:hAnsi="Times New Roman" w:cs="Times New Roman"/>
        </w:rPr>
      </w:pPr>
    </w:p>
    <w:p w14:paraId="22A13BD8"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OBJECTIVE</w:t>
      </w:r>
    </w:p>
    <w:p w14:paraId="1E819F25"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study aims to identify the investment framework guiding millennials in Davao City to engage with the Modified Pag-IBIG II (MP2) savings program. </w:t>
      </w:r>
    </w:p>
    <w:p w14:paraId="6DC30177" w14:textId="77777777" w:rsidR="00955283" w:rsidRDefault="00955283">
      <w:pPr>
        <w:spacing w:after="0" w:line="240" w:lineRule="auto"/>
        <w:jc w:val="center"/>
        <w:rPr>
          <w:rFonts w:ascii="Times New Roman" w:eastAsia="Times New Roman" w:hAnsi="Times New Roman" w:cs="Times New Roman"/>
          <w:b/>
        </w:rPr>
      </w:pPr>
    </w:p>
    <w:p w14:paraId="6D1C26D1"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REVIEW OF RELATED LITERATURE</w:t>
      </w:r>
    </w:p>
    <w:p w14:paraId="6C0A120A"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Various studies and literature provide context on what Millennial individuals value most when making informed investment decisions.</w:t>
      </w:r>
    </w:p>
    <w:p w14:paraId="5962FC0C" w14:textId="77777777" w:rsidR="00955283" w:rsidRDefault="00955283">
      <w:pPr>
        <w:spacing w:after="0" w:line="240" w:lineRule="auto"/>
        <w:jc w:val="both"/>
        <w:rPr>
          <w:rFonts w:ascii="Times New Roman" w:eastAsia="Times New Roman" w:hAnsi="Times New Roman" w:cs="Times New Roman"/>
          <w:b/>
        </w:rPr>
      </w:pPr>
    </w:p>
    <w:p w14:paraId="456C4049"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Ease of Use and Accessibility.</w:t>
      </w:r>
      <w:r>
        <w:rPr>
          <w:rFonts w:ascii="Times New Roman" w:eastAsia="Times New Roman" w:hAnsi="Times New Roman" w:cs="Times New Roman"/>
        </w:rPr>
        <w:t xml:space="preserve"> Hamid et al. (2016) perceived ease of use is interpreted as "the degree to which a person believes that using a technology will be effort-free.” This was supported by Wilson et al., 2021 which states that perceived ease of use and perceived security level are very important in providing customer satisfaction and the customer's desire to reuse the product. </w:t>
      </w:r>
    </w:p>
    <w:p w14:paraId="64EB07E2" w14:textId="77777777" w:rsidR="00955283" w:rsidRDefault="00955283">
      <w:pPr>
        <w:spacing w:after="0" w:line="240" w:lineRule="auto"/>
        <w:jc w:val="both"/>
        <w:rPr>
          <w:rFonts w:ascii="Times New Roman" w:eastAsia="Times New Roman" w:hAnsi="Times New Roman" w:cs="Times New Roman"/>
        </w:rPr>
      </w:pPr>
    </w:p>
    <w:p w14:paraId="279A615D" w14:textId="77777777" w:rsidR="00955283" w:rsidRDefault="00000000">
      <w:pPr>
        <w:shd w:val="clear" w:color="auto" w:fill="FFFFFF"/>
        <w:spacing w:after="0"/>
        <w:jc w:val="both"/>
        <w:rPr>
          <w:rFonts w:ascii="Times New Roman" w:eastAsia="Times New Roman" w:hAnsi="Times New Roman" w:cs="Times New Roman"/>
        </w:rPr>
      </w:pPr>
      <w:r>
        <w:rPr>
          <w:rFonts w:ascii="Times New Roman" w:eastAsia="Times New Roman" w:hAnsi="Times New Roman" w:cs="Times New Roman"/>
        </w:rPr>
        <w:t xml:space="preserve">As cited by </w:t>
      </w:r>
      <w:proofErr w:type="spellStart"/>
      <w:r>
        <w:rPr>
          <w:rFonts w:ascii="Times New Roman" w:eastAsia="Times New Roman" w:hAnsi="Times New Roman" w:cs="Times New Roman"/>
        </w:rPr>
        <w:t>Bangko</w:t>
      </w:r>
      <w:proofErr w:type="spellEnd"/>
      <w:r>
        <w:rPr>
          <w:rFonts w:ascii="Times New Roman" w:eastAsia="Times New Roman" w:hAnsi="Times New Roman" w:cs="Times New Roman"/>
        </w:rPr>
        <w:t xml:space="preserve"> Sentral ng </w:t>
      </w:r>
      <w:proofErr w:type="spellStart"/>
      <w:r>
        <w:rPr>
          <w:rFonts w:ascii="Times New Roman" w:eastAsia="Times New Roman" w:hAnsi="Times New Roman" w:cs="Times New Roman"/>
        </w:rPr>
        <w:t>Pilipinas</w:t>
      </w:r>
      <w:proofErr w:type="spellEnd"/>
      <w:r>
        <w:rPr>
          <w:rFonts w:ascii="Times New Roman" w:eastAsia="Times New Roman" w:hAnsi="Times New Roman" w:cs="Times New Roman"/>
        </w:rPr>
        <w:t xml:space="preserve"> (2013), effective access does not only mean that some financial products and services are available. These products and services must be appropriately designed, of good quality, and relevant to benefit those accessing the service.</w:t>
      </w:r>
    </w:p>
    <w:p w14:paraId="6895F4B7" w14:textId="77777777" w:rsidR="00955283" w:rsidRDefault="00955283">
      <w:pPr>
        <w:spacing w:after="0" w:line="240" w:lineRule="auto"/>
        <w:jc w:val="both"/>
        <w:rPr>
          <w:rFonts w:ascii="Times New Roman" w:eastAsia="Times New Roman" w:hAnsi="Times New Roman" w:cs="Times New Roman"/>
        </w:rPr>
      </w:pPr>
    </w:p>
    <w:p w14:paraId="5BD9F8B4" w14:textId="77777777" w:rsidR="00955283"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Long-Term Financial Goals. </w:t>
      </w:r>
      <w:r>
        <w:rPr>
          <w:rFonts w:ascii="Times New Roman" w:eastAsia="Times New Roman" w:hAnsi="Times New Roman" w:cs="Times New Roman"/>
          <w:color w:val="000000"/>
        </w:rPr>
        <w:t>Bugg-Levine &amp; Emerson (2011)</w:t>
      </w:r>
      <w:r>
        <w:rPr>
          <w:rFonts w:ascii="Times New Roman" w:eastAsia="Times New Roman" w:hAnsi="Times New Roman" w:cs="Times New Roman"/>
        </w:rPr>
        <w:t xml:space="preserve"> state that impact investing goes beyond mere financial gain; it seeks</w:t>
      </w:r>
      <w:r>
        <w:rPr>
          <w:rFonts w:ascii="Times New Roman" w:eastAsia="Times New Roman" w:hAnsi="Times New Roman" w:cs="Times New Roman"/>
          <w:color w:val="000000"/>
        </w:rPr>
        <w:t xml:space="preserve"> to create positive societal impacts. This aligns with </w:t>
      </w:r>
      <w:r>
        <w:rPr>
          <w:rFonts w:ascii="Times New Roman" w:eastAsia="Times New Roman" w:hAnsi="Times New Roman" w:cs="Times New Roman"/>
        </w:rPr>
        <w:t xml:space="preserve">the goals of the Global Impact Investing Network (GIIN, 2018), which emphasizes the need for financial products that offer </w:t>
      </w:r>
      <w:r>
        <w:rPr>
          <w:rFonts w:ascii="Times New Roman" w:eastAsia="Times New Roman" w:hAnsi="Times New Roman" w:cs="Times New Roman"/>
          <w:color w:val="000000"/>
        </w:rPr>
        <w:t>security and impact.</w:t>
      </w:r>
    </w:p>
    <w:p w14:paraId="542704A1" w14:textId="77777777" w:rsidR="00955283"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Likewise, previous research shows that financial literacy is strongly connected with individuals’ financial outcomes and money management behavior (Lusardi &amp; Mitchell, 2014).</w:t>
      </w:r>
    </w:p>
    <w:p w14:paraId="77E97C43" w14:textId="77777777" w:rsidR="00955283"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Peer Pressure and Social Norms. </w:t>
      </w:r>
      <w:r>
        <w:rPr>
          <w:rFonts w:ascii="Times New Roman" w:eastAsia="Times New Roman" w:hAnsi="Times New Roman" w:cs="Times New Roman"/>
          <w:color w:val="000000"/>
        </w:rPr>
        <w:t xml:space="preserve">Agrawal &amp; </w:t>
      </w:r>
      <w:proofErr w:type="spellStart"/>
      <w:r>
        <w:rPr>
          <w:rFonts w:ascii="Times New Roman" w:eastAsia="Times New Roman" w:hAnsi="Times New Roman" w:cs="Times New Roman"/>
          <w:color w:val="000000"/>
        </w:rPr>
        <w:t>Hockerts</w:t>
      </w:r>
      <w:proofErr w:type="spellEnd"/>
      <w:r>
        <w:rPr>
          <w:rFonts w:ascii="Times New Roman" w:eastAsia="Times New Roman" w:hAnsi="Times New Roman" w:cs="Times New Roman"/>
          <w:color w:val="000000"/>
        </w:rPr>
        <w:t xml:space="preserve"> (2019) and </w:t>
      </w:r>
      <w:proofErr w:type="spellStart"/>
      <w:r>
        <w:rPr>
          <w:rFonts w:ascii="Times New Roman" w:eastAsia="Times New Roman" w:hAnsi="Times New Roman" w:cs="Times New Roman"/>
          <w:color w:val="000000"/>
        </w:rPr>
        <w:t>Bugglevine</w:t>
      </w:r>
      <w:proofErr w:type="spellEnd"/>
      <w:r>
        <w:rPr>
          <w:rFonts w:ascii="Times New Roman" w:eastAsia="Times New Roman" w:hAnsi="Times New Roman" w:cs="Times New Roman"/>
          <w:color w:val="000000"/>
        </w:rPr>
        <w:t xml:space="preserve"> &amp; Emerson (2011), also emphasize the importance of social influence in promoting social responsibility investment practices. Moreover, the impact of peer pressure and social norms in financial decision-making also aligns with the research of Tekula &amp; Anderson (2019).</w:t>
      </w:r>
    </w:p>
    <w:p w14:paraId="53510622" w14:textId="77777777" w:rsidR="00955283"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Donahue (2012) stated that </w:t>
      </w:r>
      <w:r>
        <w:rPr>
          <w:rFonts w:ascii="Times New Roman" w:eastAsia="Times New Roman" w:hAnsi="Times New Roman" w:cs="Times New Roman"/>
        </w:rPr>
        <w:t>millennials</w:t>
      </w:r>
      <w:r>
        <w:rPr>
          <w:rFonts w:ascii="Times New Roman" w:eastAsia="Times New Roman" w:hAnsi="Times New Roman" w:cs="Times New Roman"/>
          <w:color w:val="000000"/>
        </w:rPr>
        <w:t xml:space="preserve"> were left to their own devices, and Mary Donohue believes it was events like 9/11 that taught </w:t>
      </w:r>
      <w:r>
        <w:rPr>
          <w:rFonts w:ascii="Times New Roman" w:eastAsia="Times New Roman" w:hAnsi="Times New Roman" w:cs="Times New Roman"/>
        </w:rPr>
        <w:t>millennials</w:t>
      </w:r>
      <w:r>
        <w:rPr>
          <w:rFonts w:ascii="Times New Roman" w:eastAsia="Times New Roman" w:hAnsi="Times New Roman" w:cs="Times New Roman"/>
          <w:color w:val="000000"/>
        </w:rPr>
        <w:t xml:space="preserve"> how to use the Internet. Instead of confiding in their one best friend, </w:t>
      </w:r>
      <w:r>
        <w:rPr>
          <w:rFonts w:ascii="Times New Roman" w:eastAsia="Times New Roman" w:hAnsi="Times New Roman" w:cs="Times New Roman"/>
        </w:rPr>
        <w:t>millennials</w:t>
      </w:r>
      <w:r>
        <w:rPr>
          <w:rFonts w:ascii="Times New Roman" w:eastAsia="Times New Roman" w:hAnsi="Times New Roman" w:cs="Times New Roman"/>
          <w:color w:val="000000"/>
        </w:rPr>
        <w:t xml:space="preserve"> went to the Internet and confided in many groups of people that may or may not geographically live near them. </w:t>
      </w:r>
    </w:p>
    <w:p w14:paraId="6665207D" w14:textId="77777777" w:rsidR="00955283"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Tax Efficiency and Flexibility</w:t>
      </w:r>
      <w:r>
        <w:rPr>
          <w:rFonts w:ascii="Times New Roman" w:eastAsia="Times New Roman" w:hAnsi="Times New Roman" w:cs="Times New Roman"/>
          <w:color w:val="000000"/>
          <w:sz w:val="24"/>
          <w:szCs w:val="24"/>
        </w:rPr>
        <w:t>.</w:t>
      </w:r>
      <w:r>
        <w:rPr>
          <w:color w:val="000000"/>
        </w:rPr>
        <w:t xml:space="preserve"> </w:t>
      </w:r>
      <w:r>
        <w:rPr>
          <w:rFonts w:ascii="Times New Roman" w:eastAsia="Times New Roman" w:hAnsi="Times New Roman" w:cs="Times New Roman"/>
          <w:color w:val="000000"/>
        </w:rPr>
        <w:t xml:space="preserve">The literature (Benjamin, 2003; Engen and Gale, 2000) agrees that the saving effect of tax-preferred incentive plans is greater </w:t>
      </w:r>
      <w:r>
        <w:rPr>
          <w:rFonts w:ascii="Times New Roman" w:eastAsia="Times New Roman" w:hAnsi="Times New Roman" w:cs="Times New Roman"/>
        </w:rPr>
        <w:t>in</w:t>
      </w:r>
      <w:r>
        <w:rPr>
          <w:rFonts w:ascii="Times New Roman" w:eastAsia="Times New Roman" w:hAnsi="Times New Roman" w:cs="Times New Roman"/>
          <w:color w:val="000000"/>
        </w:rPr>
        <w:t xml:space="preserve"> moderate-income households. Thus, the greater the share of low and middle-income households participating in </w:t>
      </w:r>
      <w:r>
        <w:rPr>
          <w:rFonts w:ascii="Times New Roman" w:eastAsia="Times New Roman" w:hAnsi="Times New Roman" w:cs="Times New Roman"/>
        </w:rPr>
        <w:t>tax-favored</w:t>
      </w:r>
      <w:r>
        <w:rPr>
          <w:rFonts w:ascii="Times New Roman" w:eastAsia="Times New Roman" w:hAnsi="Times New Roman" w:cs="Times New Roman"/>
          <w:color w:val="000000"/>
        </w:rPr>
        <w:t xml:space="preserve"> accounts, the more likely it is that new </w:t>
      </w:r>
      <w:r>
        <w:rPr>
          <w:rFonts w:ascii="Times New Roman" w:eastAsia="Times New Roman" w:hAnsi="Times New Roman" w:cs="Times New Roman"/>
        </w:rPr>
        <w:t>savings</w:t>
      </w:r>
      <w:r>
        <w:rPr>
          <w:rFonts w:ascii="Times New Roman" w:eastAsia="Times New Roman" w:hAnsi="Times New Roman" w:cs="Times New Roman"/>
          <w:color w:val="000000"/>
        </w:rPr>
        <w:t xml:space="preserve"> </w:t>
      </w:r>
      <w:r>
        <w:rPr>
          <w:rFonts w:ascii="Times New Roman" w:eastAsia="Times New Roman" w:hAnsi="Times New Roman" w:cs="Times New Roman"/>
        </w:rPr>
        <w:t>will be</w:t>
      </w:r>
      <w:r>
        <w:rPr>
          <w:rFonts w:ascii="Times New Roman" w:eastAsia="Times New Roman" w:hAnsi="Times New Roman" w:cs="Times New Roman"/>
          <w:color w:val="000000"/>
        </w:rPr>
        <w:t xml:space="preserve"> created. </w:t>
      </w:r>
    </w:p>
    <w:p w14:paraId="509C48F4" w14:textId="77777777" w:rsidR="00955283" w:rsidRDefault="0000000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Additionally, since </w:t>
      </w:r>
      <w:r>
        <w:rPr>
          <w:rFonts w:ascii="Times New Roman" w:eastAsia="Times New Roman" w:hAnsi="Times New Roman" w:cs="Times New Roman"/>
        </w:rPr>
        <w:t>moderate-income</w:t>
      </w:r>
      <w:r>
        <w:rPr>
          <w:rFonts w:ascii="Times New Roman" w:eastAsia="Times New Roman" w:hAnsi="Times New Roman" w:cs="Times New Roman"/>
          <w:color w:val="000000"/>
        </w:rPr>
        <w:t xml:space="preserve"> individuals face a lower tax rate, the more they participate compared with </w:t>
      </w:r>
      <w:r>
        <w:rPr>
          <w:rFonts w:ascii="Times New Roman" w:eastAsia="Times New Roman" w:hAnsi="Times New Roman" w:cs="Times New Roman"/>
        </w:rPr>
        <w:t>high-income</w:t>
      </w:r>
      <w:r>
        <w:rPr>
          <w:rFonts w:ascii="Times New Roman" w:eastAsia="Times New Roman" w:hAnsi="Times New Roman" w:cs="Times New Roman"/>
          <w:color w:val="000000"/>
        </w:rPr>
        <w:t xml:space="preserve"> individuals, the lower the government’s foregone tax revenues (Antolin, de Serres, de la Maisonneuve, 2004).</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Firms can incorporate flexibility aspects into their investment strategies to help them make wise financial decisions (Islam et al., 2020). Moreover, </w:t>
      </w:r>
    </w:p>
    <w:p w14:paraId="16A7A7E9" w14:textId="77777777" w:rsidR="00955283" w:rsidRDefault="00955283">
      <w:pPr>
        <w:pBdr>
          <w:top w:val="nil"/>
          <w:left w:val="nil"/>
          <w:bottom w:val="nil"/>
          <w:right w:val="nil"/>
          <w:between w:val="nil"/>
        </w:pBdr>
        <w:spacing w:line="240" w:lineRule="auto"/>
        <w:jc w:val="both"/>
        <w:rPr>
          <w:rFonts w:ascii="Times New Roman" w:eastAsia="Times New Roman" w:hAnsi="Times New Roman" w:cs="Times New Roman"/>
        </w:rPr>
      </w:pPr>
    </w:p>
    <w:p w14:paraId="5EAEB7B1" w14:textId="77777777" w:rsidR="006722DD" w:rsidRDefault="006722DD">
      <w:pPr>
        <w:pBdr>
          <w:top w:val="nil"/>
          <w:left w:val="nil"/>
          <w:bottom w:val="nil"/>
          <w:right w:val="nil"/>
          <w:between w:val="nil"/>
        </w:pBdr>
        <w:spacing w:line="240" w:lineRule="auto"/>
        <w:jc w:val="both"/>
        <w:rPr>
          <w:rFonts w:ascii="Times New Roman" w:eastAsia="Times New Roman" w:hAnsi="Times New Roman" w:cs="Times New Roman"/>
        </w:rPr>
      </w:pPr>
    </w:p>
    <w:p w14:paraId="38E1655E"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METHODOLOGY</w:t>
      </w:r>
    </w:p>
    <w:p w14:paraId="39FAAB2E"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study utilized a quantitative research design, specifically exploratory factor analysis (EFA), to examine the investment preferences for the Modified Pag-IBIG II (MP2) program among Filipino millennials. EFA was chosen for its ability to identify underlying factors influencing investment decisions while minimizing the inclusion of irrelevant items. By focusing on a smaller set of key variables, EFA enhances the clarity and interpretability of results by grouping related items into distinct factors (Sürücü et al., 2022).</w:t>
      </w:r>
    </w:p>
    <w:p w14:paraId="6085C9FE" w14:textId="77777777" w:rsidR="00955283" w:rsidRDefault="00955283">
      <w:pPr>
        <w:spacing w:after="0" w:line="240" w:lineRule="auto"/>
        <w:jc w:val="both"/>
        <w:rPr>
          <w:rFonts w:ascii="Times New Roman" w:eastAsia="Times New Roman" w:hAnsi="Times New Roman" w:cs="Times New Roman"/>
        </w:rPr>
      </w:pPr>
    </w:p>
    <w:p w14:paraId="07A2FDA7"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study targeted Filipino millennials, defined as individuals born between 1981 and 1996, who are eligible to invest in the MP2 program. A purposive sampling method was employed, recruiting 150 respondents to ensure adequate representation and account for potential non-responses. This sample size was determined to provide sufficient statistical power, with a 5% margin of error and a 95% confidence level (</w:t>
      </w:r>
      <w:proofErr w:type="spellStart"/>
      <w:r>
        <w:rPr>
          <w:rFonts w:ascii="Times New Roman" w:eastAsia="Times New Roman" w:hAnsi="Times New Roman" w:cs="Times New Roman"/>
        </w:rPr>
        <w:t>Etikan</w:t>
      </w:r>
      <w:proofErr w:type="spellEnd"/>
      <w:r>
        <w:rPr>
          <w:rFonts w:ascii="Times New Roman" w:eastAsia="Times New Roman" w:hAnsi="Times New Roman" w:cs="Times New Roman"/>
        </w:rPr>
        <w:t xml:space="preserve"> et al., 2016). Data were collected through printed and online questionnaires, with the latter distributed via Google Forms, as </w:t>
      </w:r>
      <w:proofErr w:type="spellStart"/>
      <w:r>
        <w:rPr>
          <w:rFonts w:ascii="Times New Roman" w:eastAsia="Times New Roman" w:hAnsi="Times New Roman" w:cs="Times New Roman"/>
        </w:rPr>
        <w:t>Torrentira</w:t>
      </w:r>
      <w:proofErr w:type="spellEnd"/>
      <w:r>
        <w:rPr>
          <w:rFonts w:ascii="Times New Roman" w:eastAsia="Times New Roman" w:hAnsi="Times New Roman" w:cs="Times New Roman"/>
        </w:rPr>
        <w:t xml:space="preserve"> (2020) defined. The responses were gathered, summarized, and analyzed statistically. </w:t>
      </w:r>
    </w:p>
    <w:p w14:paraId="12E9A41F" w14:textId="77777777" w:rsidR="00955283" w:rsidRDefault="00955283">
      <w:pPr>
        <w:spacing w:after="0" w:line="240" w:lineRule="auto"/>
        <w:jc w:val="both"/>
        <w:rPr>
          <w:rFonts w:ascii="Times New Roman" w:eastAsia="Times New Roman" w:hAnsi="Times New Roman" w:cs="Times New Roman"/>
          <w:b/>
        </w:rPr>
      </w:pPr>
    </w:p>
    <w:p w14:paraId="2849F26F"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PRESENTATION, ANALYSIS, AND INTERPRETATION OF DATA</w:t>
      </w:r>
    </w:p>
    <w:p w14:paraId="37E65681"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Presented in this chapter are the results of the Exploratory Factor Analysis (EFA) as well as the interpretation and analysis of the respective results. Tables were used to illustrate the findings of this study, and the discussion and interpretation of tabular and graphical data were made for easy understanding.</w:t>
      </w:r>
    </w:p>
    <w:p w14:paraId="1A9165F6" w14:textId="77777777" w:rsidR="00955283" w:rsidRDefault="00955283">
      <w:pPr>
        <w:spacing w:after="0" w:line="240" w:lineRule="auto"/>
        <w:jc w:val="both"/>
        <w:rPr>
          <w:rFonts w:ascii="Times New Roman" w:eastAsia="Times New Roman" w:hAnsi="Times New Roman" w:cs="Times New Roman"/>
        </w:rPr>
      </w:pPr>
    </w:p>
    <w:p w14:paraId="570152B3"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Sampling Adequacy Requirement. </w:t>
      </w:r>
      <w:r>
        <w:rPr>
          <w:rFonts w:ascii="Times New Roman" w:eastAsia="Times New Roman" w:hAnsi="Times New Roman" w:cs="Times New Roman"/>
        </w:rPr>
        <w:t>This study employed Exploratory Factor Analysis to analyze the data gathered. Table 1 presents the results of the Kaiser-Meyer-Olkin (KMO) Measure of Sampling Adequacy and Bartlett’s test of Sphericity used in factor analysis to assess the suitability of the data for factor analysis.</w:t>
      </w:r>
    </w:p>
    <w:p w14:paraId="68CE900A" w14:textId="77777777" w:rsidR="00955283" w:rsidRDefault="00955283">
      <w:pPr>
        <w:spacing w:after="0" w:line="240" w:lineRule="auto"/>
        <w:jc w:val="both"/>
        <w:rPr>
          <w:rFonts w:ascii="Times New Roman" w:eastAsia="Times New Roman" w:hAnsi="Times New Roman" w:cs="Times New Roman"/>
        </w:rPr>
      </w:pPr>
    </w:p>
    <w:p w14:paraId="5778C8DE"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table shows the KMO Measure of Sampling Adequacy and Bartlett’s Test of Sphericity. The KMO measures 0.907, which implies that the samples are in high correlations, which is appropriate for variable analysis that fits the data. As shown, Bartlett’s test of Sphericity yields a value of 2689.860 and a significance level smaller than .001, which signifies that the data is to be processed to factor in an investment framework among millennials. Moreover, Bartlett's test of Sphericity implies rejecting the null hypothesis and concluding that there are determinants for millennials.</w:t>
      </w:r>
    </w:p>
    <w:p w14:paraId="4FBEC271" w14:textId="77777777" w:rsidR="00955283" w:rsidRDefault="00955283">
      <w:pPr>
        <w:spacing w:after="0" w:line="240" w:lineRule="auto"/>
        <w:jc w:val="both"/>
        <w:rPr>
          <w:rFonts w:ascii="Times New Roman" w:eastAsia="Times New Roman" w:hAnsi="Times New Roman" w:cs="Times New Roman"/>
          <w:b/>
        </w:rPr>
      </w:pPr>
    </w:p>
    <w:tbl>
      <w:tblPr>
        <w:tblStyle w:val="a"/>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55"/>
        <w:gridCol w:w="3543"/>
        <w:gridCol w:w="1642"/>
      </w:tblGrid>
      <w:tr w:rsidR="00955283" w14:paraId="109157ED" w14:textId="77777777">
        <w:trPr>
          <w:cantSplit/>
          <w:trHeight w:val="267"/>
        </w:trPr>
        <w:tc>
          <w:tcPr>
            <w:tcW w:w="8940" w:type="dxa"/>
            <w:gridSpan w:val="3"/>
            <w:tcBorders>
              <w:top w:val="nil"/>
              <w:left w:val="nil"/>
              <w:bottom w:val="single" w:sz="4" w:space="0" w:color="000000"/>
              <w:right w:val="nil"/>
            </w:tcBorders>
            <w:shd w:val="clear" w:color="auto" w:fill="FFFFFF"/>
          </w:tcPr>
          <w:p w14:paraId="64364210" w14:textId="77777777" w:rsidR="00955283" w:rsidRDefault="00000000">
            <w:pPr>
              <w:spacing w:after="0" w:line="240" w:lineRule="auto"/>
              <w:ind w:right="60"/>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1. KMO and Bartlett’s Test</w:t>
            </w:r>
          </w:p>
        </w:tc>
      </w:tr>
      <w:tr w:rsidR="00955283" w14:paraId="2B2165C8" w14:textId="77777777">
        <w:trPr>
          <w:cantSplit/>
          <w:trHeight w:val="180"/>
        </w:trPr>
        <w:tc>
          <w:tcPr>
            <w:tcW w:w="729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E6D918" w14:textId="77777777" w:rsidR="00955283" w:rsidRDefault="00000000">
            <w:pPr>
              <w:spacing w:after="0" w:line="240" w:lineRule="auto"/>
              <w:ind w:left="60" w:right="60"/>
              <w:rPr>
                <w:rFonts w:ascii="Times New Roman" w:eastAsia="Times New Roman" w:hAnsi="Times New Roman" w:cs="Times New Roman"/>
              </w:rPr>
            </w:pPr>
            <w:r>
              <w:rPr>
                <w:rFonts w:ascii="Times New Roman" w:eastAsia="Times New Roman" w:hAnsi="Times New Roman" w:cs="Times New Roman"/>
              </w:rPr>
              <w:t>Kaiser-Meyer-Olkin Measure of Sampling Adequacy.</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5D2337D2"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.907</w:t>
            </w:r>
          </w:p>
        </w:tc>
      </w:tr>
      <w:tr w:rsidR="00955283" w14:paraId="0DE1560B" w14:textId="77777777">
        <w:trPr>
          <w:cantSplit/>
          <w:trHeight w:val="267"/>
        </w:trPr>
        <w:tc>
          <w:tcPr>
            <w:tcW w:w="3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4A721D" w14:textId="77777777" w:rsidR="00955283" w:rsidRDefault="00000000">
            <w:pPr>
              <w:spacing w:after="0" w:line="240" w:lineRule="auto"/>
              <w:ind w:left="60" w:right="60"/>
              <w:rPr>
                <w:rFonts w:ascii="Times New Roman" w:eastAsia="Times New Roman" w:hAnsi="Times New Roman" w:cs="Times New Roman"/>
              </w:rPr>
            </w:pPr>
            <w:r>
              <w:rPr>
                <w:rFonts w:ascii="Times New Roman" w:eastAsia="Times New Roman" w:hAnsi="Times New Roman" w:cs="Times New Roman"/>
              </w:rPr>
              <w:t>Bartlett's Test of Sphericity</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8ED0" w14:textId="77777777" w:rsidR="00955283" w:rsidRDefault="00000000">
            <w:pPr>
              <w:spacing w:after="0" w:line="240" w:lineRule="auto"/>
              <w:ind w:left="60" w:right="60"/>
              <w:rPr>
                <w:rFonts w:ascii="Times New Roman" w:eastAsia="Times New Roman" w:hAnsi="Times New Roman" w:cs="Times New Roman"/>
              </w:rPr>
            </w:pPr>
            <w:r>
              <w:rPr>
                <w:rFonts w:ascii="Times New Roman" w:eastAsia="Times New Roman" w:hAnsi="Times New Roman" w:cs="Times New Roman"/>
              </w:rPr>
              <w:t>Approx. Chi-Square</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0D5B97F5"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2689.860</w:t>
            </w:r>
          </w:p>
        </w:tc>
      </w:tr>
      <w:tr w:rsidR="00955283" w14:paraId="45EC71BD" w14:textId="77777777">
        <w:trPr>
          <w:cantSplit/>
          <w:trHeight w:val="154"/>
        </w:trPr>
        <w:tc>
          <w:tcPr>
            <w:tcW w:w="3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AE94C7" w14:textId="77777777" w:rsidR="00955283" w:rsidRDefault="0095528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E5348" w14:textId="77777777" w:rsidR="00955283" w:rsidRDefault="00000000">
            <w:pPr>
              <w:spacing w:after="0" w:line="240" w:lineRule="auto"/>
              <w:ind w:left="60" w:right="60"/>
              <w:rPr>
                <w:rFonts w:ascii="Times New Roman" w:eastAsia="Times New Roman" w:hAnsi="Times New Roman" w:cs="Times New Roman"/>
              </w:rPr>
            </w:pPr>
            <w:proofErr w:type="spellStart"/>
            <w:r>
              <w:rPr>
                <w:rFonts w:ascii="Times New Roman" w:eastAsia="Times New Roman" w:hAnsi="Times New Roman" w:cs="Times New Roman"/>
              </w:rPr>
              <w:t>df</w:t>
            </w:r>
            <w:proofErr w:type="spellEnd"/>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7B1DEBD0"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435</w:t>
            </w:r>
          </w:p>
        </w:tc>
      </w:tr>
      <w:tr w:rsidR="00955283" w14:paraId="5A39C7AC" w14:textId="77777777">
        <w:trPr>
          <w:cantSplit/>
          <w:trHeight w:val="154"/>
        </w:trPr>
        <w:tc>
          <w:tcPr>
            <w:tcW w:w="3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D43E26" w14:textId="77777777" w:rsidR="00955283" w:rsidRDefault="0095528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0ED27" w14:textId="77777777" w:rsidR="00955283" w:rsidRDefault="00000000">
            <w:pPr>
              <w:spacing w:after="0" w:line="240" w:lineRule="auto"/>
              <w:ind w:left="60" w:right="60"/>
              <w:rPr>
                <w:rFonts w:ascii="Times New Roman" w:eastAsia="Times New Roman" w:hAnsi="Times New Roman" w:cs="Times New Roman"/>
              </w:rPr>
            </w:pPr>
            <w:r>
              <w:rPr>
                <w:rFonts w:ascii="Times New Roman" w:eastAsia="Times New Roman" w:hAnsi="Times New Roman" w:cs="Times New Roman"/>
              </w:rPr>
              <w:t>Sig.</w:t>
            </w:r>
          </w:p>
        </w:tc>
        <w:tc>
          <w:tcPr>
            <w:tcW w:w="1642" w:type="dxa"/>
            <w:tcBorders>
              <w:top w:val="single" w:sz="4" w:space="0" w:color="000000"/>
              <w:left w:val="single" w:sz="4" w:space="0" w:color="000000"/>
              <w:bottom w:val="single" w:sz="4" w:space="0" w:color="000000"/>
              <w:right w:val="single" w:sz="4" w:space="0" w:color="000000"/>
            </w:tcBorders>
            <w:shd w:val="clear" w:color="auto" w:fill="FFFFFF"/>
          </w:tcPr>
          <w:p w14:paraId="3076D799"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.000</w:t>
            </w:r>
          </w:p>
        </w:tc>
      </w:tr>
    </w:tbl>
    <w:p w14:paraId="75ADE913" w14:textId="77777777" w:rsidR="00955283" w:rsidRDefault="00955283">
      <w:pPr>
        <w:spacing w:after="0" w:line="240" w:lineRule="auto"/>
        <w:jc w:val="both"/>
        <w:rPr>
          <w:rFonts w:ascii="Times New Roman" w:eastAsia="Times New Roman" w:hAnsi="Times New Roman" w:cs="Times New Roman"/>
        </w:rPr>
      </w:pPr>
    </w:p>
    <w:p w14:paraId="2BD364B5" w14:textId="77777777" w:rsidR="00955283" w:rsidRDefault="00000000">
      <w:pPr>
        <w:spacing w:after="0" w:line="240" w:lineRule="auto"/>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In Table 2, four factors have been identified by the exploratory factor analysis (EFA) with corresponding eigenvalues of 11.954, 2.286, 1.751, and 1.477. Eigenvalues represent the total amount of variance that can be explained by the identified factors. These values provide insight into how well the factors capture the underlying patterns of variation in the data and serve as an important metric for evaluating the goodness of fit of the EFA model (Yong &amp; Pearce, 2013).</w:t>
      </w:r>
    </w:p>
    <w:p w14:paraId="67CB2F52" w14:textId="77777777" w:rsidR="00955283" w:rsidRDefault="00955283">
      <w:pPr>
        <w:spacing w:after="0" w:line="240" w:lineRule="auto"/>
        <w:jc w:val="both"/>
        <w:rPr>
          <w:rFonts w:ascii="Times New Roman" w:eastAsia="Times New Roman" w:hAnsi="Times New Roman" w:cs="Times New Roman"/>
        </w:rPr>
      </w:pPr>
    </w:p>
    <w:p w14:paraId="78E34623"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By examining the variance percentages in the Total Variance Explained Table, it is observed that the first factor explains 25.064% of the total variance, accounting for a significant portion of the variability in the dataset. The second factor followed closely and explained 17.843% of the variance, the third factor explained 9.118%, and the fourth factor explained 6.202%.  Though the first factor contributes the most to explaining the variance, the other four factors also had a significant impact.</w:t>
      </w:r>
    </w:p>
    <w:p w14:paraId="42069564" w14:textId="77777777" w:rsidR="00955283" w:rsidRDefault="00955283">
      <w:pPr>
        <w:spacing w:after="0" w:line="240" w:lineRule="auto"/>
        <w:jc w:val="both"/>
        <w:rPr>
          <w:rFonts w:ascii="Times New Roman" w:eastAsia="Times New Roman" w:hAnsi="Times New Roman" w:cs="Times New Roman"/>
        </w:rPr>
      </w:pPr>
    </w:p>
    <w:p w14:paraId="119DEDBB" w14:textId="77777777" w:rsidR="00955283" w:rsidRDefault="00955283">
      <w:pPr>
        <w:spacing w:after="0" w:line="240" w:lineRule="auto"/>
        <w:jc w:val="both"/>
        <w:rPr>
          <w:rFonts w:ascii="Times New Roman" w:eastAsia="Times New Roman" w:hAnsi="Times New Roman" w:cs="Times New Roman"/>
        </w:rPr>
      </w:pPr>
    </w:p>
    <w:p w14:paraId="309AA6B7" w14:textId="77777777" w:rsidR="006722DD" w:rsidRDefault="006722DD">
      <w:pPr>
        <w:spacing w:after="0" w:line="240" w:lineRule="auto"/>
        <w:jc w:val="both"/>
        <w:rPr>
          <w:rFonts w:ascii="Times New Roman" w:eastAsia="Times New Roman" w:hAnsi="Times New Roman" w:cs="Times New Roman"/>
        </w:rPr>
      </w:pPr>
    </w:p>
    <w:p w14:paraId="72B5CE96" w14:textId="77777777" w:rsidR="00955283" w:rsidRDefault="0000000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Table 2. Total Variance Explained</w:t>
      </w:r>
    </w:p>
    <w:tbl>
      <w:tblPr>
        <w:tblStyle w:val="a0"/>
        <w:tblW w:w="8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350"/>
        <w:gridCol w:w="960"/>
        <w:gridCol w:w="1110"/>
        <w:gridCol w:w="1350"/>
        <w:gridCol w:w="855"/>
        <w:gridCol w:w="1140"/>
        <w:gridCol w:w="1305"/>
      </w:tblGrid>
      <w:tr w:rsidR="00955283" w14:paraId="597FD82F" w14:textId="77777777">
        <w:trPr>
          <w:cantSplit/>
          <w:trHeight w:val="79"/>
        </w:trPr>
        <w:tc>
          <w:tcPr>
            <w:tcW w:w="900" w:type="dxa"/>
            <w:vMerge w:val="restart"/>
            <w:shd w:val="clear" w:color="auto" w:fill="FFFFFF"/>
          </w:tcPr>
          <w:p w14:paraId="43C33E69" w14:textId="77777777" w:rsidR="00955283" w:rsidRDefault="00955283">
            <w:pPr>
              <w:spacing w:after="0" w:line="240" w:lineRule="auto"/>
              <w:ind w:left="60" w:right="60"/>
              <w:rPr>
                <w:rFonts w:ascii="Times New Roman" w:eastAsia="Times New Roman" w:hAnsi="Times New Roman" w:cs="Times New Roman"/>
              </w:rPr>
            </w:pPr>
          </w:p>
        </w:tc>
        <w:tc>
          <w:tcPr>
            <w:tcW w:w="1350" w:type="dxa"/>
            <w:shd w:val="clear" w:color="auto" w:fill="FFFFFF"/>
          </w:tcPr>
          <w:p w14:paraId="343E2DF8" w14:textId="77777777" w:rsidR="00955283" w:rsidRDefault="00000000">
            <w:pPr>
              <w:spacing w:after="0" w:line="240" w:lineRule="auto"/>
              <w:ind w:left="60" w:right="60"/>
              <w:jc w:val="center"/>
              <w:rPr>
                <w:rFonts w:ascii="Times New Roman" w:eastAsia="Times New Roman" w:hAnsi="Times New Roman" w:cs="Times New Roman"/>
              </w:rPr>
            </w:pPr>
            <w:r>
              <w:rPr>
                <w:rFonts w:ascii="Times New Roman" w:eastAsia="Times New Roman" w:hAnsi="Times New Roman" w:cs="Times New Roman"/>
              </w:rPr>
              <w:t>Eigenvalues</w:t>
            </w:r>
          </w:p>
        </w:tc>
        <w:tc>
          <w:tcPr>
            <w:tcW w:w="3420" w:type="dxa"/>
            <w:gridSpan w:val="3"/>
            <w:shd w:val="clear" w:color="auto" w:fill="FFFFFF"/>
          </w:tcPr>
          <w:p w14:paraId="5076452E" w14:textId="77777777" w:rsidR="00955283" w:rsidRDefault="00000000">
            <w:pPr>
              <w:spacing w:after="0" w:line="240" w:lineRule="auto"/>
              <w:ind w:left="60" w:right="60"/>
              <w:jc w:val="center"/>
              <w:rPr>
                <w:rFonts w:ascii="Times New Roman" w:eastAsia="Times New Roman" w:hAnsi="Times New Roman" w:cs="Times New Roman"/>
              </w:rPr>
            </w:pPr>
            <w:r>
              <w:rPr>
                <w:rFonts w:ascii="Times New Roman" w:eastAsia="Times New Roman" w:hAnsi="Times New Roman" w:cs="Times New Roman"/>
              </w:rPr>
              <w:t>Extraction Sums of Squared Loadings</w:t>
            </w:r>
          </w:p>
        </w:tc>
        <w:tc>
          <w:tcPr>
            <w:tcW w:w="3300" w:type="dxa"/>
            <w:gridSpan w:val="3"/>
            <w:shd w:val="clear" w:color="auto" w:fill="FFFFFF"/>
          </w:tcPr>
          <w:p w14:paraId="6448D77E" w14:textId="77777777" w:rsidR="00955283" w:rsidRDefault="00000000">
            <w:pPr>
              <w:spacing w:after="0" w:line="240" w:lineRule="auto"/>
              <w:ind w:left="60" w:right="60"/>
              <w:jc w:val="center"/>
              <w:rPr>
                <w:rFonts w:ascii="Times New Roman" w:eastAsia="Times New Roman" w:hAnsi="Times New Roman" w:cs="Times New Roman"/>
              </w:rPr>
            </w:pPr>
            <w:r>
              <w:rPr>
                <w:rFonts w:ascii="Times New Roman" w:eastAsia="Times New Roman" w:hAnsi="Times New Roman" w:cs="Times New Roman"/>
              </w:rPr>
              <w:t>Rotation Sums of Squared Loadings</w:t>
            </w:r>
          </w:p>
        </w:tc>
      </w:tr>
      <w:tr w:rsidR="00955283" w14:paraId="5D80FD30" w14:textId="77777777">
        <w:trPr>
          <w:cantSplit/>
          <w:trHeight w:val="22"/>
        </w:trPr>
        <w:tc>
          <w:tcPr>
            <w:tcW w:w="900" w:type="dxa"/>
            <w:vMerge/>
            <w:shd w:val="clear" w:color="auto" w:fill="FFFFFF"/>
          </w:tcPr>
          <w:p w14:paraId="189573FE" w14:textId="77777777" w:rsidR="00955283" w:rsidRDefault="0095528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350" w:type="dxa"/>
            <w:shd w:val="clear" w:color="auto" w:fill="FFFFFF"/>
          </w:tcPr>
          <w:p w14:paraId="388FA6D9" w14:textId="77777777" w:rsidR="00955283" w:rsidRDefault="00000000">
            <w:pPr>
              <w:spacing w:after="0" w:line="240" w:lineRule="auto"/>
              <w:ind w:left="60" w:right="60"/>
              <w:jc w:val="center"/>
              <w:rPr>
                <w:rFonts w:ascii="Times New Roman" w:eastAsia="Times New Roman" w:hAnsi="Times New Roman" w:cs="Times New Roman"/>
              </w:rPr>
            </w:pPr>
            <w:r>
              <w:rPr>
                <w:rFonts w:ascii="Times New Roman" w:eastAsia="Times New Roman" w:hAnsi="Times New Roman" w:cs="Times New Roman"/>
              </w:rPr>
              <w:t>Total</w:t>
            </w:r>
          </w:p>
        </w:tc>
        <w:tc>
          <w:tcPr>
            <w:tcW w:w="960" w:type="dxa"/>
            <w:shd w:val="clear" w:color="auto" w:fill="FFFFFF"/>
          </w:tcPr>
          <w:p w14:paraId="7A00A8EC" w14:textId="77777777" w:rsidR="00955283" w:rsidRDefault="00000000">
            <w:pPr>
              <w:spacing w:after="0" w:line="240" w:lineRule="auto"/>
              <w:ind w:left="60" w:right="60"/>
              <w:jc w:val="center"/>
              <w:rPr>
                <w:rFonts w:ascii="Times New Roman" w:eastAsia="Times New Roman" w:hAnsi="Times New Roman" w:cs="Times New Roman"/>
              </w:rPr>
            </w:pPr>
            <w:r>
              <w:rPr>
                <w:rFonts w:ascii="Times New Roman" w:eastAsia="Times New Roman" w:hAnsi="Times New Roman" w:cs="Times New Roman"/>
              </w:rPr>
              <w:t>Total</w:t>
            </w:r>
          </w:p>
        </w:tc>
        <w:tc>
          <w:tcPr>
            <w:tcW w:w="1110" w:type="dxa"/>
            <w:shd w:val="clear" w:color="auto" w:fill="FFFFFF"/>
          </w:tcPr>
          <w:p w14:paraId="065D5AA0" w14:textId="77777777" w:rsidR="00955283" w:rsidRDefault="00000000">
            <w:pPr>
              <w:spacing w:after="0" w:line="240" w:lineRule="auto"/>
              <w:ind w:left="60" w:right="60"/>
              <w:jc w:val="center"/>
              <w:rPr>
                <w:rFonts w:ascii="Times New Roman" w:eastAsia="Times New Roman" w:hAnsi="Times New Roman" w:cs="Times New Roman"/>
              </w:rPr>
            </w:pPr>
            <w:r>
              <w:rPr>
                <w:rFonts w:ascii="Times New Roman" w:eastAsia="Times New Roman" w:hAnsi="Times New Roman" w:cs="Times New Roman"/>
              </w:rPr>
              <w:t>% of Variance</w:t>
            </w:r>
          </w:p>
        </w:tc>
        <w:tc>
          <w:tcPr>
            <w:tcW w:w="1350" w:type="dxa"/>
            <w:shd w:val="clear" w:color="auto" w:fill="FFFFFF"/>
          </w:tcPr>
          <w:p w14:paraId="466A6D63" w14:textId="77777777" w:rsidR="00955283" w:rsidRDefault="00000000">
            <w:pPr>
              <w:spacing w:after="0" w:line="240" w:lineRule="auto"/>
              <w:ind w:left="60" w:right="60"/>
              <w:jc w:val="center"/>
              <w:rPr>
                <w:rFonts w:ascii="Times New Roman" w:eastAsia="Times New Roman" w:hAnsi="Times New Roman" w:cs="Times New Roman"/>
              </w:rPr>
            </w:pPr>
            <w:r>
              <w:rPr>
                <w:rFonts w:ascii="Times New Roman" w:eastAsia="Times New Roman" w:hAnsi="Times New Roman" w:cs="Times New Roman"/>
              </w:rPr>
              <w:t>Cumulative %</w:t>
            </w:r>
          </w:p>
        </w:tc>
        <w:tc>
          <w:tcPr>
            <w:tcW w:w="855" w:type="dxa"/>
            <w:shd w:val="clear" w:color="auto" w:fill="FFFFFF"/>
          </w:tcPr>
          <w:p w14:paraId="7BF350D1" w14:textId="77777777" w:rsidR="00955283" w:rsidRDefault="00000000">
            <w:pPr>
              <w:spacing w:after="0" w:line="240" w:lineRule="auto"/>
              <w:ind w:left="60" w:right="60"/>
              <w:jc w:val="center"/>
              <w:rPr>
                <w:rFonts w:ascii="Times New Roman" w:eastAsia="Times New Roman" w:hAnsi="Times New Roman" w:cs="Times New Roman"/>
              </w:rPr>
            </w:pPr>
            <w:r>
              <w:rPr>
                <w:rFonts w:ascii="Times New Roman" w:eastAsia="Times New Roman" w:hAnsi="Times New Roman" w:cs="Times New Roman"/>
              </w:rPr>
              <w:t>Total</w:t>
            </w:r>
          </w:p>
        </w:tc>
        <w:tc>
          <w:tcPr>
            <w:tcW w:w="1140" w:type="dxa"/>
            <w:shd w:val="clear" w:color="auto" w:fill="FFFFFF"/>
          </w:tcPr>
          <w:p w14:paraId="40706AAC" w14:textId="77777777" w:rsidR="00955283" w:rsidRDefault="00000000">
            <w:pPr>
              <w:spacing w:after="0" w:line="240" w:lineRule="auto"/>
              <w:ind w:left="60" w:right="60"/>
              <w:jc w:val="center"/>
              <w:rPr>
                <w:rFonts w:ascii="Times New Roman" w:eastAsia="Times New Roman" w:hAnsi="Times New Roman" w:cs="Times New Roman"/>
              </w:rPr>
            </w:pPr>
            <w:r>
              <w:rPr>
                <w:rFonts w:ascii="Times New Roman" w:eastAsia="Times New Roman" w:hAnsi="Times New Roman" w:cs="Times New Roman"/>
              </w:rPr>
              <w:t>% of Variance</w:t>
            </w:r>
          </w:p>
        </w:tc>
        <w:tc>
          <w:tcPr>
            <w:tcW w:w="1305" w:type="dxa"/>
            <w:shd w:val="clear" w:color="auto" w:fill="FFFFFF"/>
          </w:tcPr>
          <w:p w14:paraId="33B90EFE" w14:textId="77777777" w:rsidR="00955283" w:rsidRDefault="00000000">
            <w:pPr>
              <w:spacing w:after="0" w:line="240" w:lineRule="auto"/>
              <w:ind w:left="60" w:right="60"/>
              <w:jc w:val="center"/>
              <w:rPr>
                <w:rFonts w:ascii="Times New Roman" w:eastAsia="Times New Roman" w:hAnsi="Times New Roman" w:cs="Times New Roman"/>
              </w:rPr>
            </w:pPr>
            <w:r>
              <w:rPr>
                <w:rFonts w:ascii="Times New Roman" w:eastAsia="Times New Roman" w:hAnsi="Times New Roman" w:cs="Times New Roman"/>
              </w:rPr>
              <w:t>Cumulative %</w:t>
            </w:r>
          </w:p>
        </w:tc>
      </w:tr>
      <w:tr w:rsidR="00955283" w14:paraId="03AF744D" w14:textId="77777777">
        <w:trPr>
          <w:cantSplit/>
          <w:trHeight w:val="77"/>
        </w:trPr>
        <w:tc>
          <w:tcPr>
            <w:tcW w:w="900" w:type="dxa"/>
            <w:shd w:val="clear" w:color="auto" w:fill="FFFFFF"/>
            <w:vAlign w:val="center"/>
          </w:tcPr>
          <w:p w14:paraId="387E0F40" w14:textId="77777777" w:rsidR="00955283" w:rsidRDefault="00000000">
            <w:pPr>
              <w:spacing w:after="0" w:line="240" w:lineRule="auto"/>
              <w:ind w:left="60" w:right="60"/>
              <w:rPr>
                <w:rFonts w:ascii="Times New Roman" w:eastAsia="Times New Roman" w:hAnsi="Times New Roman" w:cs="Times New Roman"/>
              </w:rPr>
            </w:pPr>
            <w:r>
              <w:rPr>
                <w:rFonts w:ascii="Times New Roman" w:eastAsia="Times New Roman" w:hAnsi="Times New Roman" w:cs="Times New Roman"/>
              </w:rPr>
              <w:t>1</w:t>
            </w:r>
          </w:p>
        </w:tc>
        <w:tc>
          <w:tcPr>
            <w:tcW w:w="1350" w:type="dxa"/>
            <w:shd w:val="clear" w:color="auto" w:fill="FFFFFF"/>
          </w:tcPr>
          <w:p w14:paraId="571BEAE8"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11.954</w:t>
            </w:r>
          </w:p>
        </w:tc>
        <w:tc>
          <w:tcPr>
            <w:tcW w:w="960" w:type="dxa"/>
            <w:shd w:val="clear" w:color="auto" w:fill="FFFFFF"/>
          </w:tcPr>
          <w:p w14:paraId="650FAC42"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11.954</w:t>
            </w:r>
          </w:p>
        </w:tc>
        <w:tc>
          <w:tcPr>
            <w:tcW w:w="1110" w:type="dxa"/>
            <w:shd w:val="clear" w:color="auto" w:fill="FFFFFF"/>
          </w:tcPr>
          <w:p w14:paraId="255041FC"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39.848</w:t>
            </w:r>
          </w:p>
        </w:tc>
        <w:tc>
          <w:tcPr>
            <w:tcW w:w="1350" w:type="dxa"/>
            <w:shd w:val="clear" w:color="auto" w:fill="FFFFFF"/>
          </w:tcPr>
          <w:p w14:paraId="13002A81"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39.848</w:t>
            </w:r>
          </w:p>
        </w:tc>
        <w:tc>
          <w:tcPr>
            <w:tcW w:w="855" w:type="dxa"/>
            <w:shd w:val="clear" w:color="auto" w:fill="FFFFFF"/>
          </w:tcPr>
          <w:p w14:paraId="086B550F"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7.519</w:t>
            </w:r>
          </w:p>
        </w:tc>
        <w:tc>
          <w:tcPr>
            <w:tcW w:w="1140" w:type="dxa"/>
            <w:shd w:val="clear" w:color="auto" w:fill="FFFFFF"/>
          </w:tcPr>
          <w:p w14:paraId="18AACAC9"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25.064</w:t>
            </w:r>
          </w:p>
        </w:tc>
        <w:tc>
          <w:tcPr>
            <w:tcW w:w="1305" w:type="dxa"/>
            <w:shd w:val="clear" w:color="auto" w:fill="FFFFFF"/>
          </w:tcPr>
          <w:p w14:paraId="6B324C8C"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25.064</w:t>
            </w:r>
          </w:p>
        </w:tc>
      </w:tr>
      <w:tr w:rsidR="00955283" w14:paraId="231926FB" w14:textId="77777777">
        <w:trPr>
          <w:cantSplit/>
          <w:trHeight w:val="79"/>
        </w:trPr>
        <w:tc>
          <w:tcPr>
            <w:tcW w:w="900" w:type="dxa"/>
            <w:shd w:val="clear" w:color="auto" w:fill="FFFFFF"/>
            <w:vAlign w:val="center"/>
          </w:tcPr>
          <w:p w14:paraId="7D0D4E90" w14:textId="77777777" w:rsidR="00955283" w:rsidRDefault="00000000">
            <w:pPr>
              <w:spacing w:after="0" w:line="240" w:lineRule="auto"/>
              <w:ind w:left="60" w:right="60"/>
              <w:rPr>
                <w:rFonts w:ascii="Times New Roman" w:eastAsia="Times New Roman" w:hAnsi="Times New Roman" w:cs="Times New Roman"/>
              </w:rPr>
            </w:pPr>
            <w:r>
              <w:rPr>
                <w:rFonts w:ascii="Times New Roman" w:eastAsia="Times New Roman" w:hAnsi="Times New Roman" w:cs="Times New Roman"/>
              </w:rPr>
              <w:t>2</w:t>
            </w:r>
          </w:p>
        </w:tc>
        <w:tc>
          <w:tcPr>
            <w:tcW w:w="1350" w:type="dxa"/>
            <w:shd w:val="clear" w:color="auto" w:fill="FFFFFF"/>
          </w:tcPr>
          <w:p w14:paraId="028BEB0B"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2.286</w:t>
            </w:r>
          </w:p>
        </w:tc>
        <w:tc>
          <w:tcPr>
            <w:tcW w:w="960" w:type="dxa"/>
            <w:shd w:val="clear" w:color="auto" w:fill="FFFFFF"/>
          </w:tcPr>
          <w:p w14:paraId="4CC4BAB8"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2.286</w:t>
            </w:r>
          </w:p>
        </w:tc>
        <w:tc>
          <w:tcPr>
            <w:tcW w:w="1110" w:type="dxa"/>
            <w:shd w:val="clear" w:color="auto" w:fill="FFFFFF"/>
          </w:tcPr>
          <w:p w14:paraId="323C07C1"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7.619</w:t>
            </w:r>
          </w:p>
        </w:tc>
        <w:tc>
          <w:tcPr>
            <w:tcW w:w="1350" w:type="dxa"/>
            <w:shd w:val="clear" w:color="auto" w:fill="FFFFFF"/>
          </w:tcPr>
          <w:p w14:paraId="4402389A"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47.467</w:t>
            </w:r>
          </w:p>
        </w:tc>
        <w:tc>
          <w:tcPr>
            <w:tcW w:w="855" w:type="dxa"/>
            <w:shd w:val="clear" w:color="auto" w:fill="FFFFFF"/>
          </w:tcPr>
          <w:p w14:paraId="24423C58"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5.353</w:t>
            </w:r>
          </w:p>
        </w:tc>
        <w:tc>
          <w:tcPr>
            <w:tcW w:w="1140" w:type="dxa"/>
            <w:shd w:val="clear" w:color="auto" w:fill="FFFFFF"/>
          </w:tcPr>
          <w:p w14:paraId="1C11D1FD"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17.843</w:t>
            </w:r>
          </w:p>
        </w:tc>
        <w:tc>
          <w:tcPr>
            <w:tcW w:w="1305" w:type="dxa"/>
            <w:shd w:val="clear" w:color="auto" w:fill="FFFFFF"/>
          </w:tcPr>
          <w:p w14:paraId="72B19E77"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42.907</w:t>
            </w:r>
          </w:p>
        </w:tc>
      </w:tr>
      <w:tr w:rsidR="00955283" w14:paraId="2FC07712" w14:textId="77777777">
        <w:trPr>
          <w:cantSplit/>
          <w:trHeight w:val="79"/>
        </w:trPr>
        <w:tc>
          <w:tcPr>
            <w:tcW w:w="900" w:type="dxa"/>
            <w:shd w:val="clear" w:color="auto" w:fill="FFFFFF"/>
            <w:vAlign w:val="center"/>
          </w:tcPr>
          <w:p w14:paraId="16F9264E" w14:textId="77777777" w:rsidR="00955283" w:rsidRDefault="00000000">
            <w:pPr>
              <w:spacing w:after="0" w:line="240" w:lineRule="auto"/>
              <w:ind w:left="60" w:right="60"/>
              <w:rPr>
                <w:rFonts w:ascii="Times New Roman" w:eastAsia="Times New Roman" w:hAnsi="Times New Roman" w:cs="Times New Roman"/>
              </w:rPr>
            </w:pPr>
            <w:r>
              <w:rPr>
                <w:rFonts w:ascii="Times New Roman" w:eastAsia="Times New Roman" w:hAnsi="Times New Roman" w:cs="Times New Roman"/>
              </w:rPr>
              <w:t>3</w:t>
            </w:r>
          </w:p>
        </w:tc>
        <w:tc>
          <w:tcPr>
            <w:tcW w:w="1350" w:type="dxa"/>
            <w:shd w:val="clear" w:color="auto" w:fill="FFFFFF"/>
          </w:tcPr>
          <w:p w14:paraId="6F3F3DDF"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1.751</w:t>
            </w:r>
          </w:p>
        </w:tc>
        <w:tc>
          <w:tcPr>
            <w:tcW w:w="960" w:type="dxa"/>
            <w:shd w:val="clear" w:color="auto" w:fill="FFFFFF"/>
          </w:tcPr>
          <w:p w14:paraId="68359569"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1.751</w:t>
            </w:r>
          </w:p>
        </w:tc>
        <w:tc>
          <w:tcPr>
            <w:tcW w:w="1110" w:type="dxa"/>
            <w:shd w:val="clear" w:color="auto" w:fill="FFFFFF"/>
          </w:tcPr>
          <w:p w14:paraId="6AB1D1A8"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5.837</w:t>
            </w:r>
          </w:p>
        </w:tc>
        <w:tc>
          <w:tcPr>
            <w:tcW w:w="1350" w:type="dxa"/>
            <w:shd w:val="clear" w:color="auto" w:fill="FFFFFF"/>
          </w:tcPr>
          <w:p w14:paraId="42C5052E"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53.303</w:t>
            </w:r>
          </w:p>
        </w:tc>
        <w:tc>
          <w:tcPr>
            <w:tcW w:w="855" w:type="dxa"/>
            <w:shd w:val="clear" w:color="auto" w:fill="FFFFFF"/>
          </w:tcPr>
          <w:p w14:paraId="1B6485D0"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2.735</w:t>
            </w:r>
          </w:p>
        </w:tc>
        <w:tc>
          <w:tcPr>
            <w:tcW w:w="1140" w:type="dxa"/>
            <w:shd w:val="clear" w:color="auto" w:fill="FFFFFF"/>
          </w:tcPr>
          <w:p w14:paraId="7A6E36B4"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9.118</w:t>
            </w:r>
          </w:p>
        </w:tc>
        <w:tc>
          <w:tcPr>
            <w:tcW w:w="1305" w:type="dxa"/>
            <w:shd w:val="clear" w:color="auto" w:fill="FFFFFF"/>
          </w:tcPr>
          <w:p w14:paraId="713595CB"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52.026</w:t>
            </w:r>
          </w:p>
        </w:tc>
      </w:tr>
      <w:tr w:rsidR="00955283" w14:paraId="642C1A4E" w14:textId="77777777">
        <w:trPr>
          <w:cantSplit/>
          <w:trHeight w:val="79"/>
        </w:trPr>
        <w:tc>
          <w:tcPr>
            <w:tcW w:w="900" w:type="dxa"/>
            <w:shd w:val="clear" w:color="auto" w:fill="FFFFFF"/>
            <w:vAlign w:val="center"/>
          </w:tcPr>
          <w:p w14:paraId="05A4BDCB" w14:textId="77777777" w:rsidR="00955283" w:rsidRDefault="00000000">
            <w:pPr>
              <w:spacing w:after="0" w:line="240" w:lineRule="auto"/>
              <w:ind w:left="60" w:right="60"/>
              <w:rPr>
                <w:rFonts w:ascii="Times New Roman" w:eastAsia="Times New Roman" w:hAnsi="Times New Roman" w:cs="Times New Roman"/>
              </w:rPr>
            </w:pPr>
            <w:r>
              <w:rPr>
                <w:rFonts w:ascii="Times New Roman" w:eastAsia="Times New Roman" w:hAnsi="Times New Roman" w:cs="Times New Roman"/>
              </w:rPr>
              <w:t>4</w:t>
            </w:r>
          </w:p>
        </w:tc>
        <w:tc>
          <w:tcPr>
            <w:tcW w:w="1350" w:type="dxa"/>
            <w:shd w:val="clear" w:color="auto" w:fill="FFFFFF"/>
          </w:tcPr>
          <w:p w14:paraId="1C11B677"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1.477</w:t>
            </w:r>
          </w:p>
        </w:tc>
        <w:tc>
          <w:tcPr>
            <w:tcW w:w="960" w:type="dxa"/>
            <w:shd w:val="clear" w:color="auto" w:fill="FFFFFF"/>
          </w:tcPr>
          <w:p w14:paraId="6E91C307"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1.477</w:t>
            </w:r>
          </w:p>
        </w:tc>
        <w:tc>
          <w:tcPr>
            <w:tcW w:w="1110" w:type="dxa"/>
            <w:shd w:val="clear" w:color="auto" w:fill="FFFFFF"/>
          </w:tcPr>
          <w:p w14:paraId="68F3CE8A"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4.924</w:t>
            </w:r>
          </w:p>
        </w:tc>
        <w:tc>
          <w:tcPr>
            <w:tcW w:w="1350" w:type="dxa"/>
            <w:shd w:val="clear" w:color="auto" w:fill="FFFFFF"/>
          </w:tcPr>
          <w:p w14:paraId="6C476CA8"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58.228</w:t>
            </w:r>
          </w:p>
        </w:tc>
        <w:tc>
          <w:tcPr>
            <w:tcW w:w="855" w:type="dxa"/>
            <w:shd w:val="clear" w:color="auto" w:fill="FFFFFF"/>
          </w:tcPr>
          <w:p w14:paraId="0B2051C9"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1.861</w:t>
            </w:r>
          </w:p>
        </w:tc>
        <w:tc>
          <w:tcPr>
            <w:tcW w:w="1140" w:type="dxa"/>
            <w:shd w:val="clear" w:color="auto" w:fill="FFFFFF"/>
          </w:tcPr>
          <w:p w14:paraId="71EE3CF2"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6.202</w:t>
            </w:r>
          </w:p>
        </w:tc>
        <w:tc>
          <w:tcPr>
            <w:tcW w:w="1305" w:type="dxa"/>
            <w:shd w:val="clear" w:color="auto" w:fill="FFFFFF"/>
          </w:tcPr>
          <w:p w14:paraId="5BA50134" w14:textId="77777777" w:rsidR="00955283" w:rsidRDefault="00000000">
            <w:pPr>
              <w:spacing w:after="0" w:line="240" w:lineRule="auto"/>
              <w:ind w:left="60" w:right="60"/>
              <w:jc w:val="right"/>
              <w:rPr>
                <w:rFonts w:ascii="Times New Roman" w:eastAsia="Times New Roman" w:hAnsi="Times New Roman" w:cs="Times New Roman"/>
              </w:rPr>
            </w:pPr>
            <w:r>
              <w:rPr>
                <w:rFonts w:ascii="Times New Roman" w:eastAsia="Times New Roman" w:hAnsi="Times New Roman" w:cs="Times New Roman"/>
              </w:rPr>
              <w:t>58.228</w:t>
            </w:r>
          </w:p>
        </w:tc>
      </w:tr>
    </w:tbl>
    <w:p w14:paraId="0AFA0A31" w14:textId="77777777" w:rsidR="00955283" w:rsidRDefault="00955283">
      <w:pPr>
        <w:spacing w:after="0" w:line="240" w:lineRule="auto"/>
        <w:rPr>
          <w:rFonts w:ascii="Times New Roman" w:eastAsia="Times New Roman" w:hAnsi="Times New Roman" w:cs="Times New Roman"/>
          <w:b/>
        </w:rPr>
      </w:pPr>
    </w:p>
    <w:p w14:paraId="3565A3D6"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collective consideration of the four identified factors, they accounted for a total variance of 58.228%, as indicated in the table. This means that these four factors capture the majority of the underlying variation in the dataset, presenting a significant representation of the data’s structure. </w:t>
      </w:r>
    </w:p>
    <w:p w14:paraId="174B1EC3" w14:textId="77777777" w:rsidR="00955283" w:rsidRDefault="00000000">
      <w:pPr>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b/>
        </w:rPr>
        <w:t>Scree Plot</w:t>
      </w:r>
      <w:r>
        <w:rPr>
          <w:rFonts w:ascii="Times New Roman" w:eastAsia="Times New Roman" w:hAnsi="Times New Roman" w:cs="Times New Roman"/>
        </w:rPr>
        <w:t xml:space="preserve"> </w:t>
      </w:r>
    </w:p>
    <w:p w14:paraId="37E7E666" w14:textId="77777777" w:rsidR="00955283" w:rsidRDefault="00000000">
      <w:pPr>
        <w:spacing w:before="240" w:after="0" w:line="276" w:lineRule="auto"/>
        <w:jc w:val="both"/>
        <w:rPr>
          <w:rFonts w:ascii="Times New Roman" w:eastAsia="Times New Roman" w:hAnsi="Times New Roman" w:cs="Times New Roman"/>
        </w:rPr>
      </w:pPr>
      <w:r>
        <w:rPr>
          <w:rFonts w:ascii="Times New Roman" w:eastAsia="Times New Roman" w:hAnsi="Times New Roman" w:cs="Times New Roman"/>
        </w:rPr>
        <w:t>Figure 1 illustrates the graphical representation of the total variance explained and the graph of Eigenvalues against all the factors. It shows the gradual training of Eigenvalues and identifies the relative fit of each component based on its relative importance. The graph is handy for determining how many factors will be retained. The point of interest is where the curve flattens. As observed, the curve gets flatter as it reaches component number 12 since it is where the Eigenvalues less than 1 begin. If the items of each dimension are less than the minimum, the dimension will be discarded. Thus, only four factors considered as determinants were retained.</w:t>
      </w:r>
      <w:r>
        <w:rPr>
          <w:noProof/>
        </w:rPr>
        <w:drawing>
          <wp:anchor distT="114300" distB="114300" distL="114300" distR="114300" simplePos="0" relativeHeight="251658240" behindDoc="1" locked="0" layoutInCell="1" hidden="0" allowOverlap="1" wp14:anchorId="13E3D03E" wp14:editId="25B89F29">
            <wp:simplePos x="0" y="0"/>
            <wp:positionH relativeFrom="column">
              <wp:posOffset>466725</wp:posOffset>
            </wp:positionH>
            <wp:positionV relativeFrom="paragraph">
              <wp:posOffset>1530004</wp:posOffset>
            </wp:positionV>
            <wp:extent cx="4919663" cy="293751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919663" cy="2937512"/>
                    </a:xfrm>
                    <a:prstGeom prst="rect">
                      <a:avLst/>
                    </a:prstGeom>
                    <a:ln/>
                  </pic:spPr>
                </pic:pic>
              </a:graphicData>
            </a:graphic>
          </wp:anchor>
        </w:drawing>
      </w:r>
    </w:p>
    <w:p w14:paraId="567E9C70" w14:textId="77777777" w:rsidR="00955283" w:rsidRDefault="00955283">
      <w:pPr>
        <w:spacing w:after="0" w:line="240" w:lineRule="auto"/>
        <w:rPr>
          <w:rFonts w:ascii="Times New Roman" w:eastAsia="Times New Roman" w:hAnsi="Times New Roman" w:cs="Times New Roman"/>
        </w:rPr>
      </w:pPr>
    </w:p>
    <w:p w14:paraId="5244562B" w14:textId="77777777" w:rsidR="00955283" w:rsidRDefault="00955283">
      <w:pPr>
        <w:spacing w:after="0" w:line="240" w:lineRule="auto"/>
        <w:rPr>
          <w:rFonts w:ascii="Times New Roman" w:eastAsia="Times New Roman" w:hAnsi="Times New Roman" w:cs="Times New Roman"/>
        </w:rPr>
      </w:pPr>
    </w:p>
    <w:p w14:paraId="22AA9587" w14:textId="77777777" w:rsidR="00955283" w:rsidRDefault="00955283">
      <w:pPr>
        <w:spacing w:after="0" w:line="240" w:lineRule="auto"/>
        <w:rPr>
          <w:rFonts w:ascii="Times New Roman" w:eastAsia="Times New Roman" w:hAnsi="Times New Roman" w:cs="Times New Roman"/>
        </w:rPr>
      </w:pPr>
    </w:p>
    <w:p w14:paraId="053710B9" w14:textId="77777777" w:rsidR="00955283" w:rsidRDefault="00955283">
      <w:pPr>
        <w:spacing w:after="0" w:line="240" w:lineRule="auto"/>
        <w:rPr>
          <w:rFonts w:ascii="Times New Roman" w:eastAsia="Times New Roman" w:hAnsi="Times New Roman" w:cs="Times New Roman"/>
        </w:rPr>
      </w:pPr>
    </w:p>
    <w:p w14:paraId="2C8930EC" w14:textId="77777777" w:rsidR="00955283" w:rsidRDefault="00955283">
      <w:pPr>
        <w:spacing w:after="0" w:line="240" w:lineRule="auto"/>
        <w:rPr>
          <w:rFonts w:ascii="Times New Roman" w:eastAsia="Times New Roman" w:hAnsi="Times New Roman" w:cs="Times New Roman"/>
        </w:rPr>
      </w:pPr>
    </w:p>
    <w:p w14:paraId="26268B8D" w14:textId="77777777" w:rsidR="00955283" w:rsidRDefault="00955283">
      <w:pPr>
        <w:spacing w:after="0" w:line="240" w:lineRule="auto"/>
        <w:rPr>
          <w:rFonts w:ascii="Times New Roman" w:eastAsia="Times New Roman" w:hAnsi="Times New Roman" w:cs="Times New Roman"/>
        </w:rPr>
      </w:pPr>
    </w:p>
    <w:p w14:paraId="2FC47472" w14:textId="77777777" w:rsidR="00955283" w:rsidRDefault="00955283">
      <w:pPr>
        <w:spacing w:after="0" w:line="240" w:lineRule="auto"/>
        <w:rPr>
          <w:rFonts w:ascii="Times New Roman" w:eastAsia="Times New Roman" w:hAnsi="Times New Roman" w:cs="Times New Roman"/>
        </w:rPr>
      </w:pPr>
    </w:p>
    <w:p w14:paraId="1EB3F330" w14:textId="77777777" w:rsidR="00955283" w:rsidRDefault="00955283">
      <w:pPr>
        <w:spacing w:after="0" w:line="240" w:lineRule="auto"/>
        <w:rPr>
          <w:rFonts w:ascii="Times New Roman" w:eastAsia="Times New Roman" w:hAnsi="Times New Roman" w:cs="Times New Roman"/>
        </w:rPr>
      </w:pPr>
    </w:p>
    <w:p w14:paraId="78852DA2" w14:textId="77777777" w:rsidR="00955283" w:rsidRDefault="00955283">
      <w:pPr>
        <w:spacing w:after="0" w:line="240" w:lineRule="auto"/>
        <w:rPr>
          <w:rFonts w:ascii="Times New Roman" w:eastAsia="Times New Roman" w:hAnsi="Times New Roman" w:cs="Times New Roman"/>
        </w:rPr>
      </w:pPr>
    </w:p>
    <w:p w14:paraId="28349EB5" w14:textId="77777777" w:rsidR="00955283" w:rsidRDefault="00955283">
      <w:pPr>
        <w:spacing w:after="0" w:line="240" w:lineRule="auto"/>
        <w:rPr>
          <w:rFonts w:ascii="Times New Roman" w:eastAsia="Times New Roman" w:hAnsi="Times New Roman" w:cs="Times New Roman"/>
        </w:rPr>
      </w:pPr>
    </w:p>
    <w:p w14:paraId="05B94D2A" w14:textId="77777777" w:rsidR="00955283" w:rsidRDefault="00955283">
      <w:pPr>
        <w:spacing w:after="0" w:line="240" w:lineRule="auto"/>
        <w:rPr>
          <w:rFonts w:ascii="Times New Roman" w:eastAsia="Times New Roman" w:hAnsi="Times New Roman" w:cs="Times New Roman"/>
        </w:rPr>
      </w:pPr>
    </w:p>
    <w:p w14:paraId="30D1FBB5" w14:textId="77777777" w:rsidR="00955283" w:rsidRDefault="00955283">
      <w:pPr>
        <w:spacing w:after="0" w:line="240" w:lineRule="auto"/>
        <w:rPr>
          <w:rFonts w:ascii="Times New Roman" w:eastAsia="Times New Roman" w:hAnsi="Times New Roman" w:cs="Times New Roman"/>
        </w:rPr>
      </w:pPr>
    </w:p>
    <w:p w14:paraId="02B2121E" w14:textId="77777777" w:rsidR="00955283" w:rsidRDefault="00955283">
      <w:pPr>
        <w:spacing w:after="0" w:line="240" w:lineRule="auto"/>
        <w:rPr>
          <w:rFonts w:ascii="Times New Roman" w:eastAsia="Times New Roman" w:hAnsi="Times New Roman" w:cs="Times New Roman"/>
        </w:rPr>
      </w:pPr>
    </w:p>
    <w:p w14:paraId="046DC7B1" w14:textId="77777777" w:rsidR="00955283" w:rsidRDefault="00955283">
      <w:pPr>
        <w:spacing w:after="0" w:line="240" w:lineRule="auto"/>
        <w:rPr>
          <w:rFonts w:ascii="Times New Roman" w:eastAsia="Times New Roman" w:hAnsi="Times New Roman" w:cs="Times New Roman"/>
        </w:rPr>
      </w:pPr>
    </w:p>
    <w:p w14:paraId="02928D06" w14:textId="77777777" w:rsidR="00955283" w:rsidRDefault="00955283">
      <w:pPr>
        <w:spacing w:after="0" w:line="240" w:lineRule="auto"/>
        <w:rPr>
          <w:rFonts w:ascii="Times New Roman" w:eastAsia="Times New Roman" w:hAnsi="Times New Roman" w:cs="Times New Roman"/>
        </w:rPr>
      </w:pPr>
    </w:p>
    <w:p w14:paraId="4B38E0BD" w14:textId="77777777" w:rsidR="00955283" w:rsidRDefault="00955283">
      <w:pPr>
        <w:spacing w:after="0" w:line="240" w:lineRule="auto"/>
        <w:rPr>
          <w:rFonts w:ascii="Times New Roman" w:eastAsia="Times New Roman" w:hAnsi="Times New Roman" w:cs="Times New Roman"/>
        </w:rPr>
      </w:pPr>
    </w:p>
    <w:p w14:paraId="60128266" w14:textId="77777777" w:rsidR="00955283" w:rsidRDefault="00955283">
      <w:pPr>
        <w:spacing w:after="0" w:line="240" w:lineRule="auto"/>
        <w:rPr>
          <w:rFonts w:ascii="Times New Roman" w:eastAsia="Times New Roman" w:hAnsi="Times New Roman" w:cs="Times New Roman"/>
        </w:rPr>
      </w:pPr>
    </w:p>
    <w:p w14:paraId="41216E94" w14:textId="77777777" w:rsidR="00955283" w:rsidRDefault="00955283">
      <w:pPr>
        <w:spacing w:after="0" w:line="240" w:lineRule="auto"/>
        <w:rPr>
          <w:rFonts w:ascii="Times New Roman" w:eastAsia="Times New Roman" w:hAnsi="Times New Roman" w:cs="Times New Roman"/>
        </w:rPr>
      </w:pPr>
    </w:p>
    <w:p w14:paraId="3A9BF058" w14:textId="77777777" w:rsidR="00955283" w:rsidRDefault="00955283">
      <w:pPr>
        <w:spacing w:after="0" w:line="240" w:lineRule="auto"/>
        <w:jc w:val="both"/>
        <w:rPr>
          <w:rFonts w:ascii="Times New Roman" w:eastAsia="Times New Roman" w:hAnsi="Times New Roman" w:cs="Times New Roman"/>
          <w:b/>
          <w:color w:val="FF0000"/>
        </w:rPr>
      </w:pPr>
    </w:p>
    <w:p w14:paraId="0B602BE0" w14:textId="77777777" w:rsidR="00955283" w:rsidRDefault="00000000">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rPr>
        <w:t xml:space="preserve">Figure 1. </w:t>
      </w:r>
      <w:r>
        <w:rPr>
          <w:rFonts w:ascii="Times New Roman" w:eastAsia="Times New Roman" w:hAnsi="Times New Roman" w:cs="Times New Roman"/>
        </w:rPr>
        <w:t>Scree Plot</w:t>
      </w:r>
    </w:p>
    <w:p w14:paraId="037FE3EE" w14:textId="77777777" w:rsidR="00955283" w:rsidRDefault="00955283">
      <w:pPr>
        <w:spacing w:after="0" w:line="240" w:lineRule="auto"/>
        <w:jc w:val="both"/>
        <w:rPr>
          <w:rFonts w:ascii="Times New Roman" w:eastAsia="Times New Roman" w:hAnsi="Times New Roman" w:cs="Times New Roman"/>
          <w:b/>
          <w:color w:val="FF0000"/>
        </w:rPr>
      </w:pPr>
    </w:p>
    <w:p w14:paraId="5C57D3BD"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study was conducted to explore the factors that motivate millennials to pursue Modified Pag-</w:t>
      </w:r>
      <w:proofErr w:type="spellStart"/>
      <w:r>
        <w:rPr>
          <w:rFonts w:ascii="Times New Roman" w:eastAsia="Times New Roman" w:hAnsi="Times New Roman" w:cs="Times New Roman"/>
        </w:rPr>
        <w:t>Ibig</w:t>
      </w:r>
      <w:proofErr w:type="spellEnd"/>
      <w:r>
        <w:rPr>
          <w:rFonts w:ascii="Times New Roman" w:eastAsia="Times New Roman" w:hAnsi="Times New Roman" w:cs="Times New Roman"/>
        </w:rPr>
        <w:t xml:space="preserve"> II (MP2) investment framework. In relation, the first objective is to identify the different factors. By employing Exploratory Factor Analysis (EFA), four dimensions were extracted from the data collected through a 30-item survey questionnaire given to the respondents of the study.</w:t>
      </w:r>
    </w:p>
    <w:p w14:paraId="3062CEEE" w14:textId="77777777" w:rsidR="00955283" w:rsidRDefault="00955283">
      <w:pPr>
        <w:spacing w:after="0" w:line="240" w:lineRule="auto"/>
        <w:jc w:val="both"/>
        <w:rPr>
          <w:rFonts w:ascii="Times New Roman" w:eastAsia="Times New Roman" w:hAnsi="Times New Roman" w:cs="Times New Roman"/>
        </w:rPr>
      </w:pPr>
    </w:p>
    <w:p w14:paraId="59A94F0F" w14:textId="77777777" w:rsidR="00955283" w:rsidRDefault="00955283">
      <w:pPr>
        <w:spacing w:after="0" w:line="240" w:lineRule="auto"/>
        <w:jc w:val="both"/>
        <w:rPr>
          <w:rFonts w:ascii="Times New Roman" w:eastAsia="Times New Roman" w:hAnsi="Times New Roman" w:cs="Times New Roman"/>
        </w:rPr>
      </w:pPr>
    </w:p>
    <w:p w14:paraId="4F4AE10B" w14:textId="77777777" w:rsidR="00955283" w:rsidRDefault="00955283">
      <w:pPr>
        <w:spacing w:after="0" w:line="240" w:lineRule="auto"/>
        <w:jc w:val="both"/>
        <w:rPr>
          <w:rFonts w:ascii="Times New Roman" w:eastAsia="Times New Roman" w:hAnsi="Times New Roman" w:cs="Times New Roman"/>
        </w:rPr>
      </w:pPr>
    </w:p>
    <w:p w14:paraId="06A840BC" w14:textId="77777777" w:rsidR="00955283" w:rsidRDefault="00955283">
      <w:pPr>
        <w:spacing w:after="0" w:line="240" w:lineRule="auto"/>
        <w:jc w:val="both"/>
        <w:rPr>
          <w:rFonts w:ascii="Times New Roman" w:eastAsia="Times New Roman" w:hAnsi="Times New Roman" w:cs="Times New Roman"/>
        </w:rPr>
      </w:pPr>
    </w:p>
    <w:p w14:paraId="7FC828AF"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Ease of Use and Accessibility.</w:t>
      </w:r>
      <w:r>
        <w:rPr>
          <w:rFonts w:ascii="Times New Roman" w:eastAsia="Times New Roman" w:hAnsi="Times New Roman" w:cs="Times New Roman"/>
          <w:b/>
          <w:color w:val="FF0000"/>
        </w:rPr>
        <w:t xml:space="preserve"> </w:t>
      </w:r>
      <w:r>
        <w:rPr>
          <w:rFonts w:ascii="Times New Roman" w:eastAsia="Times New Roman" w:hAnsi="Times New Roman" w:cs="Times New Roman"/>
        </w:rPr>
        <w:t>Table 3 shows the 15 items that fall under the first factor, the ease of use and accessibility, and their corresponding coefficients.</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As shown, the item </w:t>
      </w:r>
      <w:r>
        <w:rPr>
          <w:rFonts w:ascii="Times New Roman" w:eastAsia="Times New Roman" w:hAnsi="Times New Roman" w:cs="Times New Roman"/>
          <w:i/>
        </w:rPr>
        <w:t>‘The document requirements are more accessible to comply with compared to other financial and banking institutions’</w:t>
      </w:r>
      <w:r>
        <w:rPr>
          <w:rFonts w:ascii="Times New Roman" w:eastAsia="Times New Roman" w:hAnsi="Times New Roman" w:cs="Times New Roman"/>
        </w:rPr>
        <w:t xml:space="preserve"> </w:t>
      </w:r>
      <w:r>
        <w:rPr>
          <w:rFonts w:ascii="Times New Roman" w:eastAsia="Times New Roman" w:hAnsi="Times New Roman" w:cs="Times New Roman"/>
          <w:i/>
        </w:rPr>
        <w:t xml:space="preserve"> </w:t>
      </w:r>
      <w:r>
        <w:rPr>
          <w:rFonts w:ascii="Times New Roman" w:eastAsia="Times New Roman" w:hAnsi="Times New Roman" w:cs="Times New Roman"/>
        </w:rPr>
        <w:t xml:space="preserve">obtained the highest loading coefficient of 0.793. The item </w:t>
      </w:r>
      <w:r>
        <w:rPr>
          <w:rFonts w:ascii="Times New Roman" w:eastAsia="Times New Roman" w:hAnsi="Times New Roman" w:cs="Times New Roman"/>
          <w:i/>
        </w:rPr>
        <w:t xml:space="preserve">‘It has a clear and straightforward application process’ </w:t>
      </w:r>
      <w:r>
        <w:rPr>
          <w:rFonts w:ascii="Times New Roman" w:eastAsia="Times New Roman" w:hAnsi="Times New Roman" w:cs="Times New Roman"/>
        </w:rPr>
        <w:t xml:space="preserve">obtained a loading coefficient of 0.747. The item </w:t>
      </w:r>
      <w:r>
        <w:rPr>
          <w:rFonts w:ascii="Times New Roman" w:eastAsia="Times New Roman" w:hAnsi="Times New Roman" w:cs="Times New Roman"/>
          <w:i/>
        </w:rPr>
        <w:t>‘It offers low minimum monthly contributions compared with other financial service companies (Ex. insurance companies)’</w:t>
      </w:r>
      <w:r>
        <w:rPr>
          <w:rFonts w:ascii="Times New Roman" w:eastAsia="Times New Roman" w:hAnsi="Times New Roman" w:cs="Times New Roman"/>
        </w:rPr>
        <w:t xml:space="preserve"> obtained a loading coefficient of 0.740. The item </w:t>
      </w:r>
      <w:r>
        <w:rPr>
          <w:rFonts w:ascii="Times New Roman" w:eastAsia="Times New Roman" w:hAnsi="Times New Roman" w:cs="Times New Roman"/>
          <w:i/>
        </w:rPr>
        <w:t>‘It has superior digital accessibility, allowing easy navigation, online application, and convenient online deposits’</w:t>
      </w:r>
      <w:r>
        <w:rPr>
          <w:rFonts w:ascii="Times New Roman" w:eastAsia="Times New Roman" w:hAnsi="Times New Roman" w:cs="Times New Roman"/>
        </w:rPr>
        <w:t xml:space="preserve"> obtained a loading coefficient of 0.722. The item </w:t>
      </w:r>
      <w:r>
        <w:rPr>
          <w:rFonts w:ascii="Times New Roman" w:eastAsia="Times New Roman" w:hAnsi="Times New Roman" w:cs="Times New Roman"/>
          <w:i/>
        </w:rPr>
        <w:t>‘I understand the difference between the Pag-IBIG MP2 fund and other investment products offered by banks and other financial institutions’</w:t>
      </w:r>
      <w:r>
        <w:rPr>
          <w:rFonts w:ascii="Times New Roman" w:eastAsia="Times New Roman" w:hAnsi="Times New Roman" w:cs="Times New Roman"/>
        </w:rPr>
        <w:t xml:space="preserve"> obtained a loading coefficient of 0.646. The item </w:t>
      </w:r>
      <w:r>
        <w:rPr>
          <w:rFonts w:ascii="Times New Roman" w:eastAsia="Times New Roman" w:hAnsi="Times New Roman" w:cs="Times New Roman"/>
          <w:i/>
        </w:rPr>
        <w:t>‘Its monthly contribution amount is flexible (monthly payment is not required)’</w:t>
      </w:r>
      <w:r>
        <w:rPr>
          <w:rFonts w:ascii="Times New Roman" w:eastAsia="Times New Roman" w:hAnsi="Times New Roman" w:cs="Times New Roman"/>
        </w:rPr>
        <w:t xml:space="preserve"> obtained a loading coefficient 0.627. The item </w:t>
      </w:r>
      <w:r>
        <w:rPr>
          <w:rFonts w:ascii="Times New Roman" w:eastAsia="Times New Roman" w:hAnsi="Times New Roman" w:cs="Times New Roman"/>
          <w:i/>
        </w:rPr>
        <w:t>‘It has positive reviews and feedback from other investors’</w:t>
      </w:r>
      <w:r>
        <w:rPr>
          <w:rFonts w:ascii="Times New Roman" w:eastAsia="Times New Roman" w:hAnsi="Times New Roman" w:cs="Times New Roman"/>
        </w:rPr>
        <w:t xml:space="preserve"> obtained a loading coefficient of 0.617. The item </w:t>
      </w:r>
      <w:r>
        <w:rPr>
          <w:rFonts w:ascii="Times New Roman" w:eastAsia="Times New Roman" w:hAnsi="Times New Roman" w:cs="Times New Roman"/>
          <w:i/>
        </w:rPr>
        <w:t>‘It carries a lower risk compared to investment fund companies that may have exposure to volatile markets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obtained a loading coefficient of 0.614. The item </w:t>
      </w:r>
      <w:r>
        <w:rPr>
          <w:rFonts w:ascii="Times New Roman" w:eastAsia="Times New Roman" w:hAnsi="Times New Roman" w:cs="Times New Roman"/>
          <w:i/>
        </w:rPr>
        <w:t>‘Pag-IBIG has a strong reputation and integrity as a government organization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obtained a loading coefficient of 0.612. The item </w:t>
      </w:r>
      <w:r>
        <w:rPr>
          <w:rFonts w:ascii="Times New Roman" w:eastAsia="Times New Roman" w:hAnsi="Times New Roman" w:cs="Times New Roman"/>
          <w:i/>
        </w:rPr>
        <w:t>‘It offers the convenient option of salary deduction</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obtained a loading coefficient of 0.610. The item </w:t>
      </w:r>
      <w:r>
        <w:rPr>
          <w:rFonts w:ascii="Times New Roman" w:eastAsia="Times New Roman" w:hAnsi="Times New Roman" w:cs="Times New Roman"/>
          <w:i/>
        </w:rPr>
        <w:t>‘Investment security is more important than high returns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obtained a loading coefficient of 0.594. The item </w:t>
      </w:r>
      <w:r>
        <w:rPr>
          <w:rFonts w:ascii="Times New Roman" w:eastAsia="Times New Roman" w:hAnsi="Times New Roman" w:cs="Times New Roman"/>
          <w:i/>
        </w:rPr>
        <w:t>‘To adapt to the current savings trend</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obtained a loading coefficient of 0.585. The item </w:t>
      </w:r>
      <w:r>
        <w:rPr>
          <w:rFonts w:ascii="Times New Roman" w:eastAsia="Times New Roman" w:hAnsi="Times New Roman" w:cs="Times New Roman"/>
          <w:i/>
        </w:rPr>
        <w:t>‘It has a pre-termination/withdrawal option before its 5-year maturity</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obtained a loading coefficient of 0.569. The item </w:t>
      </w:r>
      <w:r>
        <w:rPr>
          <w:rFonts w:ascii="Times New Roman" w:eastAsia="Times New Roman" w:hAnsi="Times New Roman" w:cs="Times New Roman"/>
          <w:i/>
        </w:rPr>
        <w:t>‘I know how Pag-IBIG MP2 Savings Program works, including its terms and conditions and dividend computations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obtained a loading coefficient of 0.530. Furthermore, the item </w:t>
      </w:r>
      <w:r>
        <w:rPr>
          <w:rFonts w:ascii="Times New Roman" w:eastAsia="Times New Roman" w:hAnsi="Times New Roman" w:cs="Times New Roman"/>
          <w:i/>
        </w:rPr>
        <w:t xml:space="preserve">‘I trust this savings program’ </w:t>
      </w:r>
      <w:r>
        <w:rPr>
          <w:rFonts w:ascii="Times New Roman" w:eastAsia="Times New Roman" w:hAnsi="Times New Roman" w:cs="Times New Roman"/>
        </w:rPr>
        <w:t>obtained a loading coefficient of 0.509.</w:t>
      </w:r>
    </w:p>
    <w:p w14:paraId="3CCDD136" w14:textId="77777777" w:rsidR="00955283" w:rsidRDefault="00955283">
      <w:pPr>
        <w:spacing w:after="0" w:line="240" w:lineRule="auto"/>
        <w:jc w:val="both"/>
        <w:rPr>
          <w:rFonts w:ascii="Times New Roman" w:eastAsia="Times New Roman" w:hAnsi="Times New Roman" w:cs="Times New Roman"/>
        </w:rPr>
      </w:pPr>
    </w:p>
    <w:p w14:paraId="3EDFE666"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attributes that characterize the MP2 program: clear documentation, a straightforward application process, low contribution requirements, flexible payment terms and solid digital accessibility are the significant elements that enhance its appeal to millennials, who prioritize convenience and flexibility in their financial decisions. These characteristics also resonate with the goals of impact investing, which emphasizes both financial returns and social benefits as the impact investing industry continues to evolve; integrating accessible and user-friendly financial products like MP2 could contribute to fostering greater financial inclusion, particularly in emerging markets. </w:t>
      </w:r>
    </w:p>
    <w:p w14:paraId="2E96B278" w14:textId="77777777" w:rsidR="00955283" w:rsidRDefault="00955283">
      <w:pPr>
        <w:spacing w:after="0" w:line="240" w:lineRule="auto"/>
        <w:jc w:val="both"/>
        <w:rPr>
          <w:rFonts w:ascii="Times New Roman" w:eastAsia="Times New Roman" w:hAnsi="Times New Roman" w:cs="Times New Roman"/>
        </w:rPr>
      </w:pPr>
    </w:p>
    <w:p w14:paraId="66497025" w14:textId="77777777" w:rsidR="00955283" w:rsidRDefault="00000000">
      <w:pPr>
        <w:spacing w:after="0" w:line="240" w:lineRule="auto"/>
        <w:jc w:val="both"/>
        <w:rPr>
          <w:rFonts w:ascii="Times New Roman" w:eastAsia="Times New Roman" w:hAnsi="Times New Roman" w:cs="Times New Roman"/>
        </w:rPr>
      </w:pPr>
      <w:bookmarkStart w:id="1" w:name="_30j0zll" w:colFirst="0" w:colLast="0"/>
      <w:bookmarkEnd w:id="1"/>
      <w:r>
        <w:rPr>
          <w:rFonts w:ascii="Times New Roman" w:eastAsia="Times New Roman" w:hAnsi="Times New Roman" w:cs="Times New Roman"/>
        </w:rPr>
        <w:t xml:space="preserve">This finding corroborates the conclusions drawn by Hamid et al. (2016) perceived ease of use is interpreted as "the degree to which a person believes by using a technology will be effort-free". This was supported by Wilson et al., 2021 which states that perceived ease of use and perceived security level are very important in providing customer satisfaction and the customer's desire to reuse the product. Furthermore, as cited by </w:t>
      </w:r>
      <w:proofErr w:type="spellStart"/>
      <w:r>
        <w:rPr>
          <w:rFonts w:ascii="Times New Roman" w:eastAsia="Times New Roman" w:hAnsi="Times New Roman" w:cs="Times New Roman"/>
        </w:rPr>
        <w:t>Bangko</w:t>
      </w:r>
      <w:proofErr w:type="spellEnd"/>
      <w:r>
        <w:rPr>
          <w:rFonts w:ascii="Times New Roman" w:eastAsia="Times New Roman" w:hAnsi="Times New Roman" w:cs="Times New Roman"/>
        </w:rPr>
        <w:t xml:space="preserve"> Sentral ng </w:t>
      </w:r>
      <w:proofErr w:type="spellStart"/>
      <w:r>
        <w:rPr>
          <w:rFonts w:ascii="Times New Roman" w:eastAsia="Times New Roman" w:hAnsi="Times New Roman" w:cs="Times New Roman"/>
        </w:rPr>
        <w:t>Pilipinas</w:t>
      </w:r>
      <w:proofErr w:type="spellEnd"/>
      <w:r>
        <w:rPr>
          <w:rFonts w:ascii="Times New Roman" w:eastAsia="Times New Roman" w:hAnsi="Times New Roman" w:cs="Times New Roman"/>
        </w:rPr>
        <w:t xml:space="preserve"> (2013), effective access does not only mean that some financial products and services are available. These products and services must be appropriately designed, of good quality, and relevant to the person accessing the said service.</w:t>
      </w:r>
    </w:p>
    <w:p w14:paraId="2A603161" w14:textId="77777777" w:rsidR="00955283" w:rsidRDefault="00955283">
      <w:pPr>
        <w:spacing w:after="0" w:line="240" w:lineRule="auto"/>
        <w:jc w:val="both"/>
        <w:rPr>
          <w:rFonts w:ascii="Times New Roman" w:eastAsia="Times New Roman" w:hAnsi="Times New Roman" w:cs="Times New Roman"/>
        </w:rPr>
      </w:pPr>
      <w:bookmarkStart w:id="2" w:name="_anuc6amei6q2" w:colFirst="0" w:colLast="0"/>
      <w:bookmarkEnd w:id="2"/>
    </w:p>
    <w:p w14:paraId="47532C55" w14:textId="77777777" w:rsidR="00955283" w:rsidRDefault="00955283">
      <w:pPr>
        <w:spacing w:after="0" w:line="240" w:lineRule="auto"/>
        <w:jc w:val="both"/>
        <w:rPr>
          <w:rFonts w:ascii="Times New Roman" w:eastAsia="Times New Roman" w:hAnsi="Times New Roman" w:cs="Times New Roman"/>
        </w:rPr>
      </w:pPr>
      <w:bookmarkStart w:id="3" w:name="_5r5lsm5dxusk" w:colFirst="0" w:colLast="0"/>
      <w:bookmarkEnd w:id="3"/>
    </w:p>
    <w:p w14:paraId="5CD88767" w14:textId="77777777" w:rsidR="00955283" w:rsidRDefault="00955283">
      <w:pPr>
        <w:spacing w:after="0" w:line="240" w:lineRule="auto"/>
        <w:jc w:val="both"/>
        <w:rPr>
          <w:rFonts w:ascii="Times New Roman" w:eastAsia="Times New Roman" w:hAnsi="Times New Roman" w:cs="Times New Roman"/>
        </w:rPr>
      </w:pPr>
      <w:bookmarkStart w:id="4" w:name="_3xy9ywg097go" w:colFirst="0" w:colLast="0"/>
      <w:bookmarkEnd w:id="4"/>
    </w:p>
    <w:p w14:paraId="79CF620A" w14:textId="77777777" w:rsidR="00955283" w:rsidRDefault="00955283">
      <w:pPr>
        <w:spacing w:after="0" w:line="240" w:lineRule="auto"/>
        <w:jc w:val="both"/>
        <w:rPr>
          <w:rFonts w:ascii="Times New Roman" w:eastAsia="Times New Roman" w:hAnsi="Times New Roman" w:cs="Times New Roman"/>
        </w:rPr>
      </w:pPr>
      <w:bookmarkStart w:id="5" w:name="_etyo0aoi6gbe" w:colFirst="0" w:colLast="0"/>
      <w:bookmarkEnd w:id="5"/>
    </w:p>
    <w:p w14:paraId="23F121DB" w14:textId="77777777" w:rsidR="00955283" w:rsidRDefault="00955283">
      <w:pPr>
        <w:spacing w:after="0" w:line="240" w:lineRule="auto"/>
        <w:jc w:val="both"/>
        <w:rPr>
          <w:rFonts w:ascii="Times New Roman" w:eastAsia="Times New Roman" w:hAnsi="Times New Roman" w:cs="Times New Roman"/>
        </w:rPr>
      </w:pPr>
      <w:bookmarkStart w:id="6" w:name="_34yu5jyd1axv" w:colFirst="0" w:colLast="0"/>
      <w:bookmarkEnd w:id="6"/>
    </w:p>
    <w:p w14:paraId="74AC8A93" w14:textId="77777777" w:rsidR="00955283" w:rsidRDefault="00955283">
      <w:pPr>
        <w:spacing w:after="0" w:line="240" w:lineRule="auto"/>
        <w:jc w:val="both"/>
        <w:rPr>
          <w:rFonts w:ascii="Times New Roman" w:eastAsia="Times New Roman" w:hAnsi="Times New Roman" w:cs="Times New Roman"/>
        </w:rPr>
      </w:pPr>
      <w:bookmarkStart w:id="7" w:name="_ytp6294cuhqe" w:colFirst="0" w:colLast="0"/>
      <w:bookmarkEnd w:id="7"/>
    </w:p>
    <w:p w14:paraId="1A4D1633" w14:textId="77777777" w:rsidR="00955283" w:rsidRDefault="00955283">
      <w:pPr>
        <w:spacing w:after="0" w:line="240" w:lineRule="auto"/>
        <w:jc w:val="both"/>
        <w:rPr>
          <w:rFonts w:ascii="Times New Roman" w:eastAsia="Times New Roman" w:hAnsi="Times New Roman" w:cs="Times New Roman"/>
        </w:rPr>
      </w:pPr>
      <w:bookmarkStart w:id="8" w:name="_4e589cvy1zxf" w:colFirst="0" w:colLast="0"/>
      <w:bookmarkEnd w:id="8"/>
    </w:p>
    <w:p w14:paraId="1A59727A" w14:textId="77777777" w:rsidR="00955283" w:rsidRDefault="00955283">
      <w:pPr>
        <w:spacing w:after="0" w:line="240" w:lineRule="auto"/>
        <w:jc w:val="both"/>
        <w:rPr>
          <w:rFonts w:ascii="Times New Roman" w:eastAsia="Times New Roman" w:hAnsi="Times New Roman" w:cs="Times New Roman"/>
        </w:rPr>
      </w:pPr>
      <w:bookmarkStart w:id="9" w:name="_obb9a53n3eg1" w:colFirst="0" w:colLast="0"/>
      <w:bookmarkEnd w:id="9"/>
    </w:p>
    <w:p w14:paraId="748984E3" w14:textId="77777777" w:rsidR="00955283" w:rsidRDefault="00955283">
      <w:pPr>
        <w:spacing w:after="0" w:line="240" w:lineRule="auto"/>
        <w:jc w:val="both"/>
        <w:rPr>
          <w:rFonts w:ascii="Times New Roman" w:eastAsia="Times New Roman" w:hAnsi="Times New Roman" w:cs="Times New Roman"/>
        </w:rPr>
      </w:pPr>
      <w:bookmarkStart w:id="10" w:name="_ry3uzb8h05xz" w:colFirst="0" w:colLast="0"/>
      <w:bookmarkEnd w:id="10"/>
    </w:p>
    <w:p w14:paraId="0E80FEE2" w14:textId="77777777" w:rsidR="006722DD" w:rsidRDefault="006722DD">
      <w:pPr>
        <w:spacing w:after="0" w:line="240" w:lineRule="auto"/>
        <w:jc w:val="both"/>
        <w:rPr>
          <w:rFonts w:ascii="Times New Roman" w:eastAsia="Times New Roman" w:hAnsi="Times New Roman" w:cs="Times New Roman"/>
        </w:rPr>
      </w:pPr>
    </w:p>
    <w:p w14:paraId="04D160E8" w14:textId="77777777" w:rsidR="006722DD" w:rsidRDefault="006722DD">
      <w:pPr>
        <w:spacing w:after="0" w:line="240" w:lineRule="auto"/>
        <w:jc w:val="both"/>
        <w:rPr>
          <w:rFonts w:ascii="Times New Roman" w:eastAsia="Times New Roman" w:hAnsi="Times New Roman" w:cs="Times New Roman"/>
        </w:rPr>
      </w:pPr>
    </w:p>
    <w:p w14:paraId="5ABBFF1C" w14:textId="77777777" w:rsidR="00955283" w:rsidRDefault="00955283">
      <w:pPr>
        <w:spacing w:after="0" w:line="240" w:lineRule="auto"/>
        <w:jc w:val="both"/>
        <w:rPr>
          <w:rFonts w:ascii="Times New Roman" w:eastAsia="Times New Roman" w:hAnsi="Times New Roman" w:cs="Times New Roman"/>
        </w:rPr>
      </w:pPr>
      <w:bookmarkStart w:id="11" w:name="_knrjpn31ofei" w:colFirst="0" w:colLast="0"/>
      <w:bookmarkEnd w:id="11"/>
    </w:p>
    <w:p w14:paraId="7936BEBE" w14:textId="77777777" w:rsidR="00955283" w:rsidRDefault="00955283">
      <w:pPr>
        <w:spacing w:after="0" w:line="240" w:lineRule="auto"/>
        <w:jc w:val="both"/>
        <w:rPr>
          <w:rFonts w:ascii="Times New Roman" w:eastAsia="Times New Roman" w:hAnsi="Times New Roman" w:cs="Times New Roman"/>
        </w:rPr>
      </w:pPr>
      <w:bookmarkStart w:id="12" w:name="_mcojbfbptnxy" w:colFirst="0" w:colLast="0"/>
      <w:bookmarkEnd w:id="12"/>
    </w:p>
    <w:p w14:paraId="44407C9A" w14:textId="77777777" w:rsidR="00955283" w:rsidRDefault="00955283">
      <w:pPr>
        <w:spacing w:after="0" w:line="240" w:lineRule="auto"/>
        <w:jc w:val="both"/>
        <w:rPr>
          <w:rFonts w:ascii="Times New Roman" w:eastAsia="Times New Roman" w:hAnsi="Times New Roman" w:cs="Times New Roman"/>
        </w:rPr>
      </w:pPr>
      <w:bookmarkStart w:id="13" w:name="_lktv2dm0m3lj" w:colFirst="0" w:colLast="0"/>
      <w:bookmarkEnd w:id="13"/>
    </w:p>
    <w:p w14:paraId="78F90A44" w14:textId="77777777" w:rsidR="00955283" w:rsidRDefault="00955283">
      <w:pPr>
        <w:spacing w:after="0" w:line="240" w:lineRule="auto"/>
        <w:rPr>
          <w:rFonts w:ascii="Times New Roman" w:eastAsia="Times New Roman" w:hAnsi="Times New Roman" w:cs="Times New Roman"/>
          <w:color w:val="FF0000"/>
        </w:rPr>
      </w:pPr>
    </w:p>
    <w:p w14:paraId="050BC93E"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lastRenderedPageBreak/>
        <w:t>Table 3. Rotated Component Matrix with Grouped Attributes to Ease of Use and Accessibility of MP2 Savings Investment Framework among Millennials</w:t>
      </w:r>
    </w:p>
    <w:tbl>
      <w:tblPr>
        <w:tblStyle w:val="a1"/>
        <w:tblW w:w="9000" w:type="dxa"/>
        <w:tblLayout w:type="fixed"/>
        <w:tblLook w:val="0400" w:firstRow="0" w:lastRow="0" w:firstColumn="0" w:lastColumn="0" w:noHBand="0" w:noVBand="1"/>
      </w:tblPr>
      <w:tblGrid>
        <w:gridCol w:w="795"/>
        <w:gridCol w:w="5280"/>
        <w:gridCol w:w="1350"/>
        <w:gridCol w:w="1575"/>
      </w:tblGrid>
      <w:tr w:rsidR="00955283" w14:paraId="7E58DEDA" w14:textId="77777777">
        <w:trPr>
          <w:trHeight w:val="513"/>
        </w:trPr>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410A3"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Item </w:t>
            </w:r>
          </w:p>
        </w:tc>
        <w:tc>
          <w:tcPr>
            <w:tcW w:w="5280" w:type="dxa"/>
            <w:tcBorders>
              <w:top w:val="single" w:sz="4" w:space="0" w:color="000000"/>
              <w:left w:val="nil"/>
              <w:bottom w:val="single" w:sz="4" w:space="0" w:color="000000"/>
              <w:right w:val="single" w:sz="4" w:space="0" w:color="000000"/>
            </w:tcBorders>
            <w:shd w:val="clear" w:color="auto" w:fill="auto"/>
            <w:vAlign w:val="center"/>
          </w:tcPr>
          <w:p w14:paraId="586F1122"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Attributes</w:t>
            </w:r>
          </w:p>
        </w:tc>
        <w:tc>
          <w:tcPr>
            <w:tcW w:w="1350" w:type="dxa"/>
            <w:tcBorders>
              <w:top w:val="single" w:sz="4" w:space="0" w:color="000000"/>
              <w:left w:val="nil"/>
              <w:bottom w:val="single" w:sz="4" w:space="0" w:color="000000"/>
              <w:right w:val="single" w:sz="4" w:space="0" w:color="000000"/>
            </w:tcBorders>
            <w:shd w:val="clear" w:color="auto" w:fill="auto"/>
            <w:vAlign w:val="center"/>
          </w:tcPr>
          <w:p w14:paraId="37F12FFA"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Factor Score</w:t>
            </w:r>
          </w:p>
        </w:tc>
        <w:tc>
          <w:tcPr>
            <w:tcW w:w="1575" w:type="dxa"/>
            <w:tcBorders>
              <w:top w:val="single" w:sz="4" w:space="0" w:color="000000"/>
              <w:left w:val="nil"/>
              <w:bottom w:val="single" w:sz="4" w:space="0" w:color="000000"/>
              <w:right w:val="single" w:sz="4" w:space="0" w:color="000000"/>
            </w:tcBorders>
            <w:shd w:val="clear" w:color="auto" w:fill="auto"/>
            <w:vAlign w:val="center"/>
          </w:tcPr>
          <w:p w14:paraId="3ACA4F81"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Factor</w:t>
            </w:r>
          </w:p>
        </w:tc>
      </w:tr>
      <w:tr w:rsidR="00955283" w14:paraId="788F2A33"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326A4CFA"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w:t>
            </w:r>
          </w:p>
        </w:tc>
        <w:tc>
          <w:tcPr>
            <w:tcW w:w="5280" w:type="dxa"/>
            <w:tcBorders>
              <w:top w:val="nil"/>
              <w:left w:val="nil"/>
              <w:bottom w:val="single" w:sz="4" w:space="0" w:color="000000"/>
              <w:right w:val="single" w:sz="4" w:space="0" w:color="000000"/>
            </w:tcBorders>
            <w:shd w:val="clear" w:color="auto" w:fill="auto"/>
            <w:vAlign w:val="center"/>
          </w:tcPr>
          <w:p w14:paraId="3317EF5C"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document requirements are more accessible to comply with compared to other financial and banking institutions. </w:t>
            </w:r>
          </w:p>
        </w:tc>
        <w:tc>
          <w:tcPr>
            <w:tcW w:w="1350" w:type="dxa"/>
            <w:tcBorders>
              <w:top w:val="nil"/>
              <w:left w:val="nil"/>
              <w:bottom w:val="single" w:sz="4" w:space="0" w:color="000000"/>
              <w:right w:val="single" w:sz="4" w:space="0" w:color="000000"/>
            </w:tcBorders>
            <w:shd w:val="clear" w:color="auto" w:fill="auto"/>
            <w:vAlign w:val="center"/>
          </w:tcPr>
          <w:p w14:paraId="38465C69"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.793</w:t>
            </w:r>
          </w:p>
        </w:tc>
        <w:tc>
          <w:tcPr>
            <w:tcW w:w="1575" w:type="dxa"/>
            <w:vMerge w:val="restart"/>
            <w:tcBorders>
              <w:top w:val="nil"/>
              <w:left w:val="single" w:sz="4" w:space="0" w:color="000000"/>
              <w:bottom w:val="single" w:sz="4" w:space="0" w:color="000000"/>
              <w:right w:val="single" w:sz="4" w:space="0" w:color="000000"/>
            </w:tcBorders>
            <w:shd w:val="clear" w:color="auto" w:fill="auto"/>
            <w:vAlign w:val="center"/>
          </w:tcPr>
          <w:p w14:paraId="7E5406A0" w14:textId="77777777" w:rsidR="00955283" w:rsidRDefault="00000000">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b/>
              </w:rPr>
              <w:t>Ease of Use and Accessibility</w:t>
            </w:r>
          </w:p>
        </w:tc>
      </w:tr>
      <w:tr w:rsidR="00955283" w14:paraId="6DE2D3A2"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2752CCF5"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17</w:t>
            </w:r>
          </w:p>
        </w:tc>
        <w:tc>
          <w:tcPr>
            <w:tcW w:w="5280" w:type="dxa"/>
            <w:tcBorders>
              <w:top w:val="nil"/>
              <w:left w:val="nil"/>
              <w:bottom w:val="single" w:sz="4" w:space="0" w:color="000000"/>
              <w:right w:val="single" w:sz="4" w:space="0" w:color="000000"/>
            </w:tcBorders>
            <w:shd w:val="clear" w:color="auto" w:fill="auto"/>
            <w:vAlign w:val="center"/>
          </w:tcPr>
          <w:p w14:paraId="2E8D922B"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It has a clear and straightforward application process.</w:t>
            </w:r>
          </w:p>
        </w:tc>
        <w:tc>
          <w:tcPr>
            <w:tcW w:w="1350" w:type="dxa"/>
            <w:tcBorders>
              <w:top w:val="nil"/>
              <w:left w:val="nil"/>
              <w:bottom w:val="single" w:sz="4" w:space="0" w:color="000000"/>
              <w:right w:val="single" w:sz="4" w:space="0" w:color="000000"/>
            </w:tcBorders>
            <w:shd w:val="clear" w:color="auto" w:fill="auto"/>
            <w:vAlign w:val="center"/>
          </w:tcPr>
          <w:p w14:paraId="082D5A2F"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.747</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4EE97964"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202F7872"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31DDD3AE"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5280" w:type="dxa"/>
            <w:tcBorders>
              <w:top w:val="nil"/>
              <w:left w:val="nil"/>
              <w:bottom w:val="single" w:sz="4" w:space="0" w:color="000000"/>
              <w:right w:val="single" w:sz="4" w:space="0" w:color="000000"/>
            </w:tcBorders>
            <w:shd w:val="clear" w:color="auto" w:fill="auto"/>
            <w:vAlign w:val="center"/>
          </w:tcPr>
          <w:p w14:paraId="260E8E5B"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It offers low minimum monthly contributions compared with other financial service companies (Ex. insurance companies)</w:t>
            </w:r>
          </w:p>
        </w:tc>
        <w:tc>
          <w:tcPr>
            <w:tcW w:w="1350" w:type="dxa"/>
            <w:tcBorders>
              <w:top w:val="nil"/>
              <w:left w:val="nil"/>
              <w:bottom w:val="single" w:sz="4" w:space="0" w:color="000000"/>
              <w:right w:val="single" w:sz="4" w:space="0" w:color="000000"/>
            </w:tcBorders>
            <w:shd w:val="clear" w:color="auto" w:fill="auto"/>
            <w:vAlign w:val="center"/>
          </w:tcPr>
          <w:p w14:paraId="1778123A"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.740</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745FF463"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7A119FF6"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582C7844"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5280" w:type="dxa"/>
            <w:tcBorders>
              <w:top w:val="nil"/>
              <w:left w:val="nil"/>
              <w:bottom w:val="single" w:sz="4" w:space="0" w:color="000000"/>
              <w:right w:val="single" w:sz="4" w:space="0" w:color="000000"/>
            </w:tcBorders>
            <w:shd w:val="clear" w:color="auto" w:fill="auto"/>
            <w:vAlign w:val="center"/>
          </w:tcPr>
          <w:p w14:paraId="3D0EB427"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It has superior digital accessibility, allowing easy navigation, online application, and convenient online deposits.</w:t>
            </w:r>
          </w:p>
        </w:tc>
        <w:tc>
          <w:tcPr>
            <w:tcW w:w="1350" w:type="dxa"/>
            <w:tcBorders>
              <w:top w:val="nil"/>
              <w:left w:val="nil"/>
              <w:bottom w:val="single" w:sz="4" w:space="0" w:color="000000"/>
              <w:right w:val="single" w:sz="4" w:space="0" w:color="000000"/>
            </w:tcBorders>
            <w:shd w:val="clear" w:color="auto" w:fill="auto"/>
            <w:vAlign w:val="center"/>
          </w:tcPr>
          <w:p w14:paraId="782201C6"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.722</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4BAAFF51"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61FE3855"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1132A2E5"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5280" w:type="dxa"/>
            <w:tcBorders>
              <w:top w:val="nil"/>
              <w:left w:val="nil"/>
              <w:bottom w:val="single" w:sz="4" w:space="0" w:color="000000"/>
              <w:right w:val="single" w:sz="4" w:space="0" w:color="000000"/>
            </w:tcBorders>
            <w:shd w:val="clear" w:color="auto" w:fill="auto"/>
            <w:vAlign w:val="center"/>
          </w:tcPr>
          <w:p w14:paraId="5E9FEEB3"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 understand the difference between the Pag-IBIG MP2 fund and other investment products offered by banks and other financial institutions.</w:t>
            </w:r>
          </w:p>
        </w:tc>
        <w:tc>
          <w:tcPr>
            <w:tcW w:w="1350" w:type="dxa"/>
            <w:tcBorders>
              <w:top w:val="nil"/>
              <w:left w:val="nil"/>
              <w:bottom w:val="single" w:sz="4" w:space="0" w:color="000000"/>
              <w:right w:val="single" w:sz="4" w:space="0" w:color="000000"/>
            </w:tcBorders>
            <w:shd w:val="clear" w:color="auto" w:fill="auto"/>
            <w:vAlign w:val="center"/>
          </w:tcPr>
          <w:p w14:paraId="38953C1E"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.646</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503024BD"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50912EB4"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70C3EE44"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5280" w:type="dxa"/>
            <w:tcBorders>
              <w:top w:val="nil"/>
              <w:left w:val="nil"/>
              <w:bottom w:val="single" w:sz="4" w:space="0" w:color="000000"/>
              <w:right w:val="single" w:sz="4" w:space="0" w:color="000000"/>
            </w:tcBorders>
            <w:shd w:val="clear" w:color="auto" w:fill="auto"/>
            <w:vAlign w:val="center"/>
          </w:tcPr>
          <w:p w14:paraId="27989B4B"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Its monthly contribution amount is flexible (monthly payment is not required). </w:t>
            </w:r>
          </w:p>
        </w:tc>
        <w:tc>
          <w:tcPr>
            <w:tcW w:w="1350" w:type="dxa"/>
            <w:tcBorders>
              <w:top w:val="nil"/>
              <w:left w:val="nil"/>
              <w:bottom w:val="single" w:sz="4" w:space="0" w:color="000000"/>
              <w:right w:val="single" w:sz="4" w:space="0" w:color="000000"/>
            </w:tcBorders>
            <w:shd w:val="clear" w:color="auto" w:fill="auto"/>
            <w:vAlign w:val="center"/>
          </w:tcPr>
          <w:p w14:paraId="248A5800"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.627</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6A5EC3FA"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6E8EC38E"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6CB983E8"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14</w:t>
            </w:r>
          </w:p>
        </w:tc>
        <w:tc>
          <w:tcPr>
            <w:tcW w:w="5280" w:type="dxa"/>
            <w:tcBorders>
              <w:top w:val="nil"/>
              <w:left w:val="nil"/>
              <w:bottom w:val="single" w:sz="4" w:space="0" w:color="000000"/>
              <w:right w:val="single" w:sz="4" w:space="0" w:color="000000"/>
            </w:tcBorders>
            <w:shd w:val="clear" w:color="auto" w:fill="auto"/>
            <w:vAlign w:val="center"/>
          </w:tcPr>
          <w:p w14:paraId="2406574A"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It has positive reviews and feedback from other investors.</w:t>
            </w:r>
          </w:p>
        </w:tc>
        <w:tc>
          <w:tcPr>
            <w:tcW w:w="1350" w:type="dxa"/>
            <w:tcBorders>
              <w:top w:val="nil"/>
              <w:left w:val="nil"/>
              <w:bottom w:val="single" w:sz="4" w:space="0" w:color="000000"/>
              <w:right w:val="single" w:sz="4" w:space="0" w:color="000000"/>
            </w:tcBorders>
            <w:shd w:val="clear" w:color="auto" w:fill="auto"/>
            <w:vAlign w:val="center"/>
          </w:tcPr>
          <w:p w14:paraId="224F7D0A"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.617</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5E7CA33A"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2A5ABF8C"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75F11678"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w:t>
            </w:r>
          </w:p>
        </w:tc>
        <w:tc>
          <w:tcPr>
            <w:tcW w:w="5280" w:type="dxa"/>
            <w:tcBorders>
              <w:top w:val="nil"/>
              <w:left w:val="nil"/>
              <w:bottom w:val="single" w:sz="4" w:space="0" w:color="000000"/>
              <w:right w:val="single" w:sz="4" w:space="0" w:color="000000"/>
            </w:tcBorders>
            <w:shd w:val="clear" w:color="auto" w:fill="auto"/>
            <w:vAlign w:val="center"/>
          </w:tcPr>
          <w:p w14:paraId="3CF7EB69" w14:textId="77777777" w:rsidR="0095528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It carries a lower risk compared to investment fund companies that may have exposure to volatile markets.</w:t>
            </w:r>
          </w:p>
        </w:tc>
        <w:tc>
          <w:tcPr>
            <w:tcW w:w="1350" w:type="dxa"/>
            <w:tcBorders>
              <w:top w:val="nil"/>
              <w:left w:val="nil"/>
              <w:bottom w:val="single" w:sz="4" w:space="0" w:color="000000"/>
              <w:right w:val="single" w:sz="4" w:space="0" w:color="000000"/>
            </w:tcBorders>
            <w:shd w:val="clear" w:color="auto" w:fill="auto"/>
            <w:vAlign w:val="center"/>
          </w:tcPr>
          <w:p w14:paraId="0E0EF1B1"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.614</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6E5ABEE8"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18B328D5"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76731BAC"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5280" w:type="dxa"/>
            <w:tcBorders>
              <w:top w:val="nil"/>
              <w:left w:val="nil"/>
              <w:bottom w:val="single" w:sz="4" w:space="0" w:color="000000"/>
              <w:right w:val="single" w:sz="4" w:space="0" w:color="000000"/>
            </w:tcBorders>
            <w:shd w:val="clear" w:color="auto" w:fill="auto"/>
            <w:vAlign w:val="center"/>
          </w:tcPr>
          <w:p w14:paraId="38F99011"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Pag-IBIG has a strong reputation and integrity as a government organization.</w:t>
            </w:r>
          </w:p>
        </w:tc>
        <w:tc>
          <w:tcPr>
            <w:tcW w:w="1350" w:type="dxa"/>
            <w:tcBorders>
              <w:top w:val="nil"/>
              <w:left w:val="nil"/>
              <w:bottom w:val="single" w:sz="4" w:space="0" w:color="000000"/>
              <w:right w:val="single" w:sz="4" w:space="0" w:color="000000"/>
            </w:tcBorders>
            <w:shd w:val="clear" w:color="auto" w:fill="auto"/>
            <w:vAlign w:val="center"/>
          </w:tcPr>
          <w:p w14:paraId="5918BC4F"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.612</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24FCFE43"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1047155A"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2C323AB6"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5280" w:type="dxa"/>
            <w:tcBorders>
              <w:top w:val="nil"/>
              <w:left w:val="nil"/>
              <w:bottom w:val="single" w:sz="4" w:space="0" w:color="000000"/>
              <w:right w:val="single" w:sz="4" w:space="0" w:color="000000"/>
            </w:tcBorders>
            <w:shd w:val="clear" w:color="auto" w:fill="auto"/>
            <w:vAlign w:val="center"/>
          </w:tcPr>
          <w:p w14:paraId="1E032EF6"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It offers the convenient option of salary deduction.</w:t>
            </w:r>
          </w:p>
        </w:tc>
        <w:tc>
          <w:tcPr>
            <w:tcW w:w="1350" w:type="dxa"/>
            <w:tcBorders>
              <w:top w:val="nil"/>
              <w:left w:val="nil"/>
              <w:bottom w:val="single" w:sz="4" w:space="0" w:color="000000"/>
              <w:right w:val="single" w:sz="4" w:space="0" w:color="000000"/>
            </w:tcBorders>
            <w:shd w:val="clear" w:color="auto" w:fill="auto"/>
            <w:vAlign w:val="center"/>
          </w:tcPr>
          <w:p w14:paraId="7B2D5AD8"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.610</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16031B9D"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03434281"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120AE3D5"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c>
          <w:tcPr>
            <w:tcW w:w="5280" w:type="dxa"/>
            <w:tcBorders>
              <w:top w:val="nil"/>
              <w:left w:val="nil"/>
              <w:bottom w:val="single" w:sz="4" w:space="0" w:color="000000"/>
              <w:right w:val="single" w:sz="4" w:space="0" w:color="000000"/>
            </w:tcBorders>
            <w:shd w:val="clear" w:color="auto" w:fill="auto"/>
            <w:vAlign w:val="center"/>
          </w:tcPr>
          <w:p w14:paraId="46D31674"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Investment security is more important than high returns.</w:t>
            </w:r>
          </w:p>
        </w:tc>
        <w:tc>
          <w:tcPr>
            <w:tcW w:w="1350" w:type="dxa"/>
            <w:tcBorders>
              <w:top w:val="nil"/>
              <w:left w:val="nil"/>
              <w:bottom w:val="single" w:sz="4" w:space="0" w:color="000000"/>
              <w:right w:val="single" w:sz="4" w:space="0" w:color="000000"/>
            </w:tcBorders>
            <w:shd w:val="clear" w:color="auto" w:fill="auto"/>
            <w:vAlign w:val="center"/>
          </w:tcPr>
          <w:p w14:paraId="2B114333"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.594</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504BB3F3"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32B775F9"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465AFE71"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21</w:t>
            </w:r>
          </w:p>
        </w:tc>
        <w:tc>
          <w:tcPr>
            <w:tcW w:w="5280" w:type="dxa"/>
            <w:tcBorders>
              <w:top w:val="nil"/>
              <w:left w:val="nil"/>
              <w:bottom w:val="single" w:sz="4" w:space="0" w:color="000000"/>
              <w:right w:val="single" w:sz="4" w:space="0" w:color="000000"/>
            </w:tcBorders>
            <w:shd w:val="clear" w:color="auto" w:fill="auto"/>
            <w:vAlign w:val="center"/>
          </w:tcPr>
          <w:p w14:paraId="2BE01C02"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To adapt to the current savings trend.</w:t>
            </w:r>
          </w:p>
        </w:tc>
        <w:tc>
          <w:tcPr>
            <w:tcW w:w="1350" w:type="dxa"/>
            <w:tcBorders>
              <w:top w:val="nil"/>
              <w:left w:val="nil"/>
              <w:bottom w:val="single" w:sz="4" w:space="0" w:color="000000"/>
              <w:right w:val="single" w:sz="4" w:space="0" w:color="000000"/>
            </w:tcBorders>
            <w:shd w:val="clear" w:color="auto" w:fill="auto"/>
            <w:vAlign w:val="center"/>
          </w:tcPr>
          <w:p w14:paraId="4F9F32DF"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.585</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296F6D0E"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0718D7B4"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43359AA9"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5280" w:type="dxa"/>
            <w:tcBorders>
              <w:top w:val="nil"/>
              <w:left w:val="nil"/>
              <w:bottom w:val="single" w:sz="4" w:space="0" w:color="000000"/>
              <w:right w:val="single" w:sz="4" w:space="0" w:color="000000"/>
            </w:tcBorders>
            <w:shd w:val="clear" w:color="auto" w:fill="auto"/>
            <w:vAlign w:val="center"/>
          </w:tcPr>
          <w:p w14:paraId="7A7B30FD"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It has a pre-termination/withdrawal option before its 5-year maturity.</w:t>
            </w:r>
          </w:p>
        </w:tc>
        <w:tc>
          <w:tcPr>
            <w:tcW w:w="1350" w:type="dxa"/>
            <w:tcBorders>
              <w:top w:val="nil"/>
              <w:left w:val="nil"/>
              <w:bottom w:val="single" w:sz="4" w:space="0" w:color="000000"/>
              <w:right w:val="single" w:sz="4" w:space="0" w:color="000000"/>
            </w:tcBorders>
            <w:shd w:val="clear" w:color="auto" w:fill="auto"/>
            <w:vAlign w:val="center"/>
          </w:tcPr>
          <w:p w14:paraId="631353D1"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.569</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77836724"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00C58767"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5F17BF06"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5280" w:type="dxa"/>
            <w:tcBorders>
              <w:top w:val="nil"/>
              <w:left w:val="nil"/>
              <w:bottom w:val="single" w:sz="4" w:space="0" w:color="000000"/>
              <w:right w:val="single" w:sz="4" w:space="0" w:color="000000"/>
            </w:tcBorders>
            <w:shd w:val="clear" w:color="auto" w:fill="auto"/>
            <w:vAlign w:val="center"/>
          </w:tcPr>
          <w:p w14:paraId="2D083095"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It has a pre-termination/withdrawal option before its 5-year maturity.</w:t>
            </w:r>
          </w:p>
        </w:tc>
        <w:tc>
          <w:tcPr>
            <w:tcW w:w="1350" w:type="dxa"/>
            <w:tcBorders>
              <w:top w:val="nil"/>
              <w:left w:val="nil"/>
              <w:bottom w:val="single" w:sz="4" w:space="0" w:color="000000"/>
              <w:right w:val="single" w:sz="4" w:space="0" w:color="000000"/>
            </w:tcBorders>
            <w:shd w:val="clear" w:color="auto" w:fill="auto"/>
            <w:vAlign w:val="center"/>
          </w:tcPr>
          <w:p w14:paraId="2E3C9115"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.530</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64969B02"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3E5A6A21" w14:textId="77777777">
        <w:trPr>
          <w:trHeight w:val="246"/>
        </w:trPr>
        <w:tc>
          <w:tcPr>
            <w:tcW w:w="795" w:type="dxa"/>
            <w:tcBorders>
              <w:top w:val="nil"/>
              <w:left w:val="single" w:sz="4" w:space="0" w:color="000000"/>
              <w:bottom w:val="single" w:sz="4" w:space="0" w:color="000000"/>
              <w:right w:val="single" w:sz="4" w:space="0" w:color="000000"/>
            </w:tcBorders>
            <w:shd w:val="clear" w:color="auto" w:fill="auto"/>
            <w:vAlign w:val="center"/>
          </w:tcPr>
          <w:p w14:paraId="34E82E92"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5280" w:type="dxa"/>
            <w:tcBorders>
              <w:top w:val="nil"/>
              <w:left w:val="nil"/>
              <w:bottom w:val="single" w:sz="4" w:space="0" w:color="000000"/>
              <w:right w:val="single" w:sz="4" w:space="0" w:color="000000"/>
            </w:tcBorders>
            <w:shd w:val="clear" w:color="auto" w:fill="auto"/>
            <w:vAlign w:val="center"/>
          </w:tcPr>
          <w:p w14:paraId="4A4F5AB3" w14:textId="77777777" w:rsidR="00955283" w:rsidRDefault="00000000">
            <w:pPr>
              <w:spacing w:after="0" w:line="240" w:lineRule="auto"/>
              <w:rPr>
                <w:rFonts w:ascii="Times New Roman" w:eastAsia="Times New Roman" w:hAnsi="Times New Roman" w:cs="Times New Roman"/>
              </w:rPr>
            </w:pPr>
            <w:bookmarkStart w:id="14" w:name="_3dy6vkm" w:colFirst="0" w:colLast="0"/>
            <w:bookmarkEnd w:id="14"/>
            <w:r>
              <w:rPr>
                <w:rFonts w:ascii="Times New Roman" w:eastAsia="Times New Roman" w:hAnsi="Times New Roman" w:cs="Times New Roman"/>
              </w:rPr>
              <w:t>I trust this savings program.</w:t>
            </w:r>
          </w:p>
        </w:tc>
        <w:tc>
          <w:tcPr>
            <w:tcW w:w="1350" w:type="dxa"/>
            <w:tcBorders>
              <w:top w:val="nil"/>
              <w:left w:val="nil"/>
              <w:bottom w:val="single" w:sz="4" w:space="0" w:color="000000"/>
              <w:right w:val="single" w:sz="4" w:space="0" w:color="000000"/>
            </w:tcBorders>
            <w:shd w:val="clear" w:color="auto" w:fill="auto"/>
            <w:vAlign w:val="center"/>
          </w:tcPr>
          <w:p w14:paraId="61576B31"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.509</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71B81715"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bl>
    <w:p w14:paraId="2DA6443D" w14:textId="77777777" w:rsidR="00955283" w:rsidRDefault="00955283">
      <w:pPr>
        <w:spacing w:after="0" w:line="240" w:lineRule="auto"/>
        <w:rPr>
          <w:rFonts w:ascii="Times New Roman" w:eastAsia="Times New Roman" w:hAnsi="Times New Roman" w:cs="Times New Roman"/>
          <w:b/>
          <w:color w:val="FF0000"/>
        </w:rPr>
      </w:pPr>
    </w:p>
    <w:p w14:paraId="5E94A03D" w14:textId="77777777" w:rsidR="00955283" w:rsidRDefault="0000000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Long-Term Financial Goals. </w:t>
      </w:r>
      <w:r>
        <w:rPr>
          <w:rFonts w:ascii="Times New Roman" w:eastAsia="Times New Roman" w:hAnsi="Times New Roman" w:cs="Times New Roman"/>
        </w:rPr>
        <w:t xml:space="preserve">Table 4 shows the eight items that fall under the long-term financial goals, and their corresponding coefficients. As shown, the item </w:t>
      </w:r>
      <w:r>
        <w:rPr>
          <w:rFonts w:ascii="Times New Roman" w:eastAsia="Times New Roman" w:hAnsi="Times New Roman" w:cs="Times New Roman"/>
          <w:i/>
        </w:rPr>
        <w:t xml:space="preserve">“It challenges me to save consistently” </w:t>
      </w:r>
      <w:r>
        <w:rPr>
          <w:rFonts w:ascii="Times New Roman" w:eastAsia="Times New Roman" w:hAnsi="Times New Roman" w:cs="Times New Roman"/>
        </w:rPr>
        <w:t xml:space="preserve">obtained the highest loading coefficient of 0.783. The item </w:t>
      </w:r>
      <w:r>
        <w:rPr>
          <w:rFonts w:ascii="Times New Roman" w:eastAsia="Times New Roman" w:hAnsi="Times New Roman" w:cs="Times New Roman"/>
          <w:i/>
        </w:rPr>
        <w:t xml:space="preserve">“I want to develop a disciplined savings habit” </w:t>
      </w:r>
      <w:r>
        <w:rPr>
          <w:rFonts w:ascii="Times New Roman" w:eastAsia="Times New Roman" w:hAnsi="Times New Roman" w:cs="Times New Roman"/>
        </w:rPr>
        <w:t xml:space="preserve">obtained a loading coefficient of 0.734. The item </w:t>
      </w:r>
      <w:r>
        <w:rPr>
          <w:rFonts w:ascii="Times New Roman" w:eastAsia="Times New Roman" w:hAnsi="Times New Roman" w:cs="Times New Roman"/>
          <w:i/>
        </w:rPr>
        <w:t>“It is my step toward achieving financial independence”</w:t>
      </w:r>
      <w:r>
        <w:rPr>
          <w:rFonts w:ascii="Times New Roman" w:eastAsia="Times New Roman" w:hAnsi="Times New Roman" w:cs="Times New Roman"/>
        </w:rPr>
        <w:t xml:space="preserve"> obtained a loading coefficient of 0.721. The item </w:t>
      </w:r>
      <w:r>
        <w:rPr>
          <w:rFonts w:ascii="Times New Roman" w:eastAsia="Times New Roman" w:hAnsi="Times New Roman" w:cs="Times New Roman"/>
          <w:i/>
        </w:rPr>
        <w:t>“I prefer to have a lot of savings accounts”</w:t>
      </w:r>
      <w:r>
        <w:rPr>
          <w:rFonts w:ascii="Times New Roman" w:eastAsia="Times New Roman" w:hAnsi="Times New Roman" w:cs="Times New Roman"/>
        </w:rPr>
        <w:t xml:space="preserve"> obtained a loading coefficient of 0.705. The item </w:t>
      </w:r>
      <w:r>
        <w:rPr>
          <w:rFonts w:ascii="Times New Roman" w:eastAsia="Times New Roman" w:hAnsi="Times New Roman" w:cs="Times New Roman"/>
          <w:i/>
        </w:rPr>
        <w:t>“This is part of my long-term retirement strategy”</w:t>
      </w:r>
      <w:r>
        <w:rPr>
          <w:rFonts w:ascii="Times New Roman" w:eastAsia="Times New Roman" w:hAnsi="Times New Roman" w:cs="Times New Roman"/>
        </w:rPr>
        <w:t xml:space="preserve"> obtained a loading coefficient of 0.629. The item </w:t>
      </w:r>
      <w:r>
        <w:rPr>
          <w:rFonts w:ascii="Times New Roman" w:eastAsia="Times New Roman" w:hAnsi="Times New Roman" w:cs="Times New Roman"/>
          <w:i/>
        </w:rPr>
        <w:t>“To diversify my financial portfolio in a safer, government-guaranteed investment option”</w:t>
      </w:r>
      <w:r>
        <w:rPr>
          <w:rFonts w:ascii="Times New Roman" w:eastAsia="Times New Roman" w:hAnsi="Times New Roman" w:cs="Times New Roman"/>
        </w:rPr>
        <w:t xml:space="preserve"> obtained a loading coefficient of 0.612. The item </w:t>
      </w:r>
      <w:r>
        <w:rPr>
          <w:rFonts w:ascii="Times New Roman" w:eastAsia="Times New Roman" w:hAnsi="Times New Roman" w:cs="Times New Roman"/>
          <w:i/>
        </w:rPr>
        <w:t>“I want to grow my savings over time and achieve my future financial goals”</w:t>
      </w:r>
      <w:r>
        <w:rPr>
          <w:rFonts w:ascii="Times New Roman" w:eastAsia="Times New Roman" w:hAnsi="Times New Roman" w:cs="Times New Roman"/>
        </w:rPr>
        <w:t xml:space="preserve"> obtained a loading coefficient of 0.526. Furthermore, the item </w:t>
      </w:r>
      <w:r>
        <w:rPr>
          <w:rFonts w:ascii="Times New Roman" w:eastAsia="Times New Roman" w:hAnsi="Times New Roman" w:cs="Times New Roman"/>
          <w:i/>
        </w:rPr>
        <w:t xml:space="preserve">“It is easy to contact their personnel when assistance is needed” </w:t>
      </w:r>
      <w:r>
        <w:rPr>
          <w:rFonts w:ascii="Times New Roman" w:eastAsia="Times New Roman" w:hAnsi="Times New Roman" w:cs="Times New Roman"/>
        </w:rPr>
        <w:t>obtained a loading coefficient of 0.516.</w:t>
      </w:r>
    </w:p>
    <w:p w14:paraId="06D43A53" w14:textId="77777777" w:rsidR="00955283" w:rsidRDefault="00000000">
      <w:pPr>
        <w:pBdr>
          <w:top w:val="nil"/>
          <w:left w:val="nil"/>
          <w:bottom w:val="nil"/>
          <w:right w:val="nil"/>
          <w:between w:val="nil"/>
        </w:pBdr>
        <w:spacing w:line="240" w:lineRule="auto"/>
        <w:jc w:val="both"/>
        <w:rPr>
          <w:rFonts w:ascii="Times New Roman" w:eastAsia="Times New Roman" w:hAnsi="Times New Roman" w:cs="Times New Roman"/>
        </w:rPr>
      </w:pPr>
      <w:bookmarkStart w:id="15" w:name="_4d34og8" w:colFirst="0" w:colLast="0"/>
      <w:bookmarkEnd w:id="15"/>
      <w:r>
        <w:rPr>
          <w:rFonts w:ascii="Times New Roman" w:eastAsia="Times New Roman" w:hAnsi="Times New Roman" w:cs="Times New Roman"/>
        </w:rPr>
        <w:t>The findings of the study imply that millennials, those born between the early 1980s and early 2000s, are a powerful force in the global economy. Influenced by technological advancements, economic shifts, and societal changes, this generation has unique perspectives on long-term financial goals. While challenges like student loan debt and economic uncertainty persist, millennials are actively working toward financial security and independence.</w:t>
      </w:r>
    </w:p>
    <w:p w14:paraId="16CE46CA" w14:textId="77777777" w:rsidR="00955283" w:rsidRDefault="00000000">
      <w:pPr>
        <w:pBdr>
          <w:top w:val="nil"/>
          <w:left w:val="nil"/>
          <w:bottom w:val="nil"/>
          <w:right w:val="nil"/>
          <w:between w:val="nil"/>
        </w:pBdr>
        <w:spacing w:line="240" w:lineRule="auto"/>
        <w:jc w:val="both"/>
        <w:rPr>
          <w:rFonts w:ascii="Times New Roman" w:eastAsia="Times New Roman" w:hAnsi="Times New Roman" w:cs="Times New Roman"/>
          <w:b/>
          <w:sz w:val="20"/>
          <w:szCs w:val="20"/>
        </w:rPr>
      </w:pPr>
      <w:bookmarkStart w:id="16" w:name="_2s8eyo1" w:colFirst="0" w:colLast="0"/>
      <w:bookmarkEnd w:id="16"/>
      <w:r>
        <w:rPr>
          <w:rFonts w:ascii="Times New Roman" w:eastAsia="Times New Roman" w:hAnsi="Times New Roman" w:cs="Times New Roman"/>
        </w:rPr>
        <w:t xml:space="preserve">This affirms the study (Caldwell, 2017) that millennials consider saving and investing more as a concrete means to financially prepare for the future. Insurance seems more of a side note perceived as important but less linked to long-term financial preparation. Perhaps, respondents did not see health, </w:t>
      </w:r>
      <w:r>
        <w:rPr>
          <w:rFonts w:ascii="Times New Roman" w:eastAsia="Times New Roman" w:hAnsi="Times New Roman" w:cs="Times New Roman"/>
        </w:rPr>
        <w:lastRenderedPageBreak/>
        <w:t>disability, death, or other risks as the type of matters that could affect their future financially. It is human to consider positive actions, such as saving money for yourself, as self-dependent means to prepare for the future. The money saved can also serve as an emergency fund, but it can also be a catalyst for a better livelihood.</w:t>
      </w:r>
    </w:p>
    <w:p w14:paraId="027E758C" w14:textId="77777777" w:rsidR="00955283" w:rsidRDefault="00000000">
      <w:pPr>
        <w:pBdr>
          <w:top w:val="nil"/>
          <w:left w:val="nil"/>
          <w:bottom w:val="nil"/>
          <w:right w:val="nil"/>
          <w:between w:val="nil"/>
        </w:pBdr>
        <w:spacing w:line="240" w:lineRule="auto"/>
        <w:jc w:val="both"/>
        <w:rPr>
          <w:rFonts w:ascii="Times New Roman" w:eastAsia="Times New Roman" w:hAnsi="Times New Roman" w:cs="Times New Roman"/>
          <w:b/>
          <w:sz w:val="20"/>
          <w:szCs w:val="20"/>
        </w:rPr>
      </w:pPr>
      <w:bookmarkStart w:id="17" w:name="_vnaqhx9nc19z" w:colFirst="0" w:colLast="0"/>
      <w:bookmarkEnd w:id="17"/>
      <w:r>
        <w:rPr>
          <w:rFonts w:ascii="Times New Roman" w:eastAsia="Times New Roman" w:hAnsi="Times New Roman" w:cs="Times New Roman"/>
          <w:b/>
          <w:sz w:val="20"/>
          <w:szCs w:val="20"/>
        </w:rPr>
        <w:t>Table 4. Rotated Matrix with Group Attributes under Long-Term Financial Goals</w:t>
      </w:r>
    </w:p>
    <w:tbl>
      <w:tblPr>
        <w:tblStyle w:val="a2"/>
        <w:tblW w:w="9255" w:type="dxa"/>
        <w:tblLayout w:type="fixed"/>
        <w:tblLook w:val="0400" w:firstRow="0" w:lastRow="0" w:firstColumn="0" w:lastColumn="0" w:noHBand="0" w:noVBand="1"/>
      </w:tblPr>
      <w:tblGrid>
        <w:gridCol w:w="810"/>
        <w:gridCol w:w="5730"/>
        <w:gridCol w:w="1035"/>
        <w:gridCol w:w="1680"/>
      </w:tblGrid>
      <w:tr w:rsidR="00955283" w14:paraId="722EF4C5" w14:textId="77777777">
        <w:trPr>
          <w:trHeight w:val="565"/>
        </w:trPr>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03E3F"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Item</w:t>
            </w:r>
          </w:p>
        </w:tc>
        <w:tc>
          <w:tcPr>
            <w:tcW w:w="5730" w:type="dxa"/>
            <w:tcBorders>
              <w:top w:val="single" w:sz="4" w:space="0" w:color="000000"/>
              <w:left w:val="nil"/>
              <w:bottom w:val="single" w:sz="4" w:space="0" w:color="000000"/>
              <w:right w:val="single" w:sz="4" w:space="0" w:color="000000"/>
            </w:tcBorders>
            <w:shd w:val="clear" w:color="auto" w:fill="auto"/>
            <w:vAlign w:val="center"/>
          </w:tcPr>
          <w:p w14:paraId="1510CE2F"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Attributes</w:t>
            </w:r>
          </w:p>
        </w:tc>
        <w:tc>
          <w:tcPr>
            <w:tcW w:w="1035" w:type="dxa"/>
            <w:tcBorders>
              <w:top w:val="single" w:sz="4" w:space="0" w:color="000000"/>
              <w:left w:val="nil"/>
              <w:bottom w:val="single" w:sz="4" w:space="0" w:color="000000"/>
              <w:right w:val="single" w:sz="4" w:space="0" w:color="000000"/>
            </w:tcBorders>
            <w:shd w:val="clear" w:color="auto" w:fill="auto"/>
            <w:vAlign w:val="center"/>
          </w:tcPr>
          <w:p w14:paraId="40C29CA4"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Factor Score</w:t>
            </w:r>
          </w:p>
        </w:tc>
        <w:tc>
          <w:tcPr>
            <w:tcW w:w="1680" w:type="dxa"/>
            <w:tcBorders>
              <w:top w:val="single" w:sz="4" w:space="0" w:color="000000"/>
              <w:left w:val="nil"/>
              <w:bottom w:val="single" w:sz="4" w:space="0" w:color="000000"/>
              <w:right w:val="single" w:sz="4" w:space="0" w:color="000000"/>
            </w:tcBorders>
            <w:shd w:val="clear" w:color="auto" w:fill="auto"/>
            <w:vAlign w:val="center"/>
          </w:tcPr>
          <w:p w14:paraId="050028EE"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Factor</w:t>
            </w:r>
          </w:p>
        </w:tc>
      </w:tr>
      <w:tr w:rsidR="00955283" w14:paraId="3BDAD3AB" w14:textId="77777777">
        <w:trPr>
          <w:trHeight w:val="543"/>
        </w:trPr>
        <w:tc>
          <w:tcPr>
            <w:tcW w:w="810" w:type="dxa"/>
            <w:tcBorders>
              <w:top w:val="nil"/>
              <w:left w:val="single" w:sz="4" w:space="0" w:color="000000"/>
              <w:bottom w:val="single" w:sz="4" w:space="0" w:color="000000"/>
              <w:right w:val="single" w:sz="4" w:space="0" w:color="000000"/>
            </w:tcBorders>
            <w:shd w:val="clear" w:color="auto" w:fill="auto"/>
            <w:vAlign w:val="center"/>
          </w:tcPr>
          <w:p w14:paraId="0E712042"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5730" w:type="dxa"/>
            <w:tcBorders>
              <w:top w:val="nil"/>
              <w:left w:val="nil"/>
              <w:bottom w:val="single" w:sz="4" w:space="0" w:color="000000"/>
              <w:right w:val="single" w:sz="4" w:space="0" w:color="000000"/>
            </w:tcBorders>
            <w:shd w:val="clear" w:color="auto" w:fill="auto"/>
            <w:vAlign w:val="center"/>
          </w:tcPr>
          <w:p w14:paraId="24EF2CAA" w14:textId="77777777" w:rsidR="00955283"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It challenges me to save consistently.</w:t>
            </w:r>
          </w:p>
        </w:tc>
        <w:tc>
          <w:tcPr>
            <w:tcW w:w="1035" w:type="dxa"/>
            <w:tcBorders>
              <w:top w:val="nil"/>
              <w:left w:val="nil"/>
              <w:bottom w:val="single" w:sz="4" w:space="0" w:color="000000"/>
              <w:right w:val="single" w:sz="4" w:space="0" w:color="000000"/>
            </w:tcBorders>
            <w:shd w:val="clear" w:color="auto" w:fill="auto"/>
            <w:vAlign w:val="center"/>
          </w:tcPr>
          <w:p w14:paraId="06914170"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0.783</w:t>
            </w:r>
          </w:p>
        </w:tc>
        <w:tc>
          <w:tcPr>
            <w:tcW w:w="1680" w:type="dxa"/>
            <w:vMerge w:val="restart"/>
            <w:tcBorders>
              <w:top w:val="nil"/>
              <w:left w:val="single" w:sz="4" w:space="0" w:color="000000"/>
              <w:bottom w:val="single" w:sz="4" w:space="0" w:color="000000"/>
              <w:right w:val="single" w:sz="4" w:space="0" w:color="000000"/>
            </w:tcBorders>
            <w:shd w:val="clear" w:color="auto" w:fill="auto"/>
            <w:vAlign w:val="center"/>
          </w:tcPr>
          <w:p w14:paraId="0D882AB3"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Long-Term Financial Goals</w:t>
            </w:r>
          </w:p>
        </w:tc>
      </w:tr>
      <w:tr w:rsidR="00955283" w14:paraId="1E59417E" w14:textId="77777777">
        <w:trPr>
          <w:trHeight w:val="543"/>
        </w:trPr>
        <w:tc>
          <w:tcPr>
            <w:tcW w:w="810" w:type="dxa"/>
            <w:tcBorders>
              <w:top w:val="nil"/>
              <w:left w:val="single" w:sz="4" w:space="0" w:color="000000"/>
              <w:bottom w:val="single" w:sz="4" w:space="0" w:color="000000"/>
              <w:right w:val="single" w:sz="4" w:space="0" w:color="000000"/>
            </w:tcBorders>
            <w:shd w:val="clear" w:color="auto" w:fill="auto"/>
            <w:vAlign w:val="center"/>
          </w:tcPr>
          <w:p w14:paraId="54F71B44"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p>
        </w:tc>
        <w:tc>
          <w:tcPr>
            <w:tcW w:w="5730" w:type="dxa"/>
            <w:tcBorders>
              <w:top w:val="nil"/>
              <w:left w:val="nil"/>
              <w:bottom w:val="single" w:sz="4" w:space="0" w:color="000000"/>
              <w:right w:val="single" w:sz="4" w:space="0" w:color="000000"/>
            </w:tcBorders>
            <w:shd w:val="clear" w:color="auto" w:fill="auto"/>
            <w:vAlign w:val="center"/>
          </w:tcPr>
          <w:p w14:paraId="26DDD8DF" w14:textId="77777777" w:rsidR="00955283"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I want to develop a disciplined savings habit.</w:t>
            </w:r>
          </w:p>
        </w:tc>
        <w:tc>
          <w:tcPr>
            <w:tcW w:w="1035" w:type="dxa"/>
            <w:tcBorders>
              <w:top w:val="nil"/>
              <w:left w:val="nil"/>
              <w:bottom w:val="single" w:sz="4" w:space="0" w:color="000000"/>
              <w:right w:val="single" w:sz="4" w:space="0" w:color="000000"/>
            </w:tcBorders>
            <w:shd w:val="clear" w:color="auto" w:fill="auto"/>
            <w:vAlign w:val="center"/>
          </w:tcPr>
          <w:p w14:paraId="27D59C55"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0.734</w:t>
            </w:r>
          </w:p>
        </w:tc>
        <w:tc>
          <w:tcPr>
            <w:tcW w:w="1680" w:type="dxa"/>
            <w:vMerge/>
            <w:tcBorders>
              <w:top w:val="nil"/>
              <w:left w:val="single" w:sz="4" w:space="0" w:color="000000"/>
              <w:bottom w:val="single" w:sz="4" w:space="0" w:color="000000"/>
              <w:right w:val="single" w:sz="4" w:space="0" w:color="000000"/>
            </w:tcBorders>
            <w:shd w:val="clear" w:color="auto" w:fill="auto"/>
            <w:vAlign w:val="center"/>
          </w:tcPr>
          <w:p w14:paraId="48DB40FF"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2A2CC8AA" w14:textId="77777777">
        <w:trPr>
          <w:trHeight w:val="543"/>
        </w:trPr>
        <w:tc>
          <w:tcPr>
            <w:tcW w:w="810" w:type="dxa"/>
            <w:tcBorders>
              <w:top w:val="nil"/>
              <w:left w:val="single" w:sz="4" w:space="0" w:color="000000"/>
              <w:bottom w:val="single" w:sz="4" w:space="0" w:color="000000"/>
              <w:right w:val="single" w:sz="4" w:space="0" w:color="000000"/>
            </w:tcBorders>
            <w:shd w:val="clear" w:color="auto" w:fill="auto"/>
            <w:vAlign w:val="center"/>
          </w:tcPr>
          <w:p w14:paraId="613243DB"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p>
        </w:tc>
        <w:tc>
          <w:tcPr>
            <w:tcW w:w="5730" w:type="dxa"/>
            <w:tcBorders>
              <w:top w:val="nil"/>
              <w:left w:val="nil"/>
              <w:bottom w:val="single" w:sz="4" w:space="0" w:color="000000"/>
              <w:right w:val="single" w:sz="4" w:space="0" w:color="000000"/>
            </w:tcBorders>
            <w:shd w:val="clear" w:color="auto" w:fill="auto"/>
            <w:vAlign w:val="center"/>
          </w:tcPr>
          <w:p w14:paraId="60621487" w14:textId="77777777" w:rsidR="00955283"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It is my step toward achieving financial independence.</w:t>
            </w:r>
          </w:p>
        </w:tc>
        <w:tc>
          <w:tcPr>
            <w:tcW w:w="1035" w:type="dxa"/>
            <w:tcBorders>
              <w:top w:val="nil"/>
              <w:left w:val="nil"/>
              <w:bottom w:val="single" w:sz="4" w:space="0" w:color="000000"/>
              <w:right w:val="single" w:sz="4" w:space="0" w:color="000000"/>
            </w:tcBorders>
            <w:shd w:val="clear" w:color="auto" w:fill="auto"/>
            <w:vAlign w:val="center"/>
          </w:tcPr>
          <w:p w14:paraId="2DBA756E"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0.721</w:t>
            </w:r>
          </w:p>
        </w:tc>
        <w:tc>
          <w:tcPr>
            <w:tcW w:w="1680" w:type="dxa"/>
            <w:vMerge/>
            <w:tcBorders>
              <w:top w:val="nil"/>
              <w:left w:val="single" w:sz="4" w:space="0" w:color="000000"/>
              <w:bottom w:val="single" w:sz="4" w:space="0" w:color="000000"/>
              <w:right w:val="single" w:sz="4" w:space="0" w:color="000000"/>
            </w:tcBorders>
            <w:shd w:val="clear" w:color="auto" w:fill="auto"/>
            <w:vAlign w:val="center"/>
          </w:tcPr>
          <w:p w14:paraId="6537D680"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74FB91A5" w14:textId="77777777">
        <w:trPr>
          <w:trHeight w:val="543"/>
        </w:trPr>
        <w:tc>
          <w:tcPr>
            <w:tcW w:w="810" w:type="dxa"/>
            <w:tcBorders>
              <w:top w:val="nil"/>
              <w:left w:val="single" w:sz="4" w:space="0" w:color="000000"/>
              <w:bottom w:val="single" w:sz="4" w:space="0" w:color="000000"/>
              <w:right w:val="single" w:sz="4" w:space="0" w:color="000000"/>
            </w:tcBorders>
            <w:shd w:val="clear" w:color="auto" w:fill="auto"/>
            <w:vAlign w:val="center"/>
          </w:tcPr>
          <w:p w14:paraId="131AE545"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28</w:t>
            </w:r>
          </w:p>
        </w:tc>
        <w:tc>
          <w:tcPr>
            <w:tcW w:w="5730" w:type="dxa"/>
            <w:tcBorders>
              <w:top w:val="nil"/>
              <w:left w:val="nil"/>
              <w:bottom w:val="single" w:sz="4" w:space="0" w:color="000000"/>
              <w:right w:val="single" w:sz="4" w:space="0" w:color="000000"/>
            </w:tcBorders>
            <w:shd w:val="clear" w:color="auto" w:fill="auto"/>
            <w:vAlign w:val="center"/>
          </w:tcPr>
          <w:p w14:paraId="09DA54CC" w14:textId="77777777" w:rsidR="00955283"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I prefer to have a lot of savings accounts.</w:t>
            </w:r>
          </w:p>
        </w:tc>
        <w:tc>
          <w:tcPr>
            <w:tcW w:w="1035" w:type="dxa"/>
            <w:tcBorders>
              <w:top w:val="nil"/>
              <w:left w:val="nil"/>
              <w:bottom w:val="single" w:sz="4" w:space="0" w:color="000000"/>
              <w:right w:val="single" w:sz="4" w:space="0" w:color="000000"/>
            </w:tcBorders>
            <w:shd w:val="clear" w:color="auto" w:fill="auto"/>
            <w:vAlign w:val="center"/>
          </w:tcPr>
          <w:p w14:paraId="17F3C996"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0.705</w:t>
            </w:r>
          </w:p>
        </w:tc>
        <w:tc>
          <w:tcPr>
            <w:tcW w:w="1680" w:type="dxa"/>
            <w:vMerge/>
            <w:tcBorders>
              <w:top w:val="nil"/>
              <w:left w:val="single" w:sz="4" w:space="0" w:color="000000"/>
              <w:bottom w:val="single" w:sz="4" w:space="0" w:color="000000"/>
              <w:right w:val="single" w:sz="4" w:space="0" w:color="000000"/>
            </w:tcBorders>
            <w:shd w:val="clear" w:color="auto" w:fill="auto"/>
            <w:vAlign w:val="center"/>
          </w:tcPr>
          <w:p w14:paraId="7E895129"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5558922C" w14:textId="77777777">
        <w:trPr>
          <w:trHeight w:val="543"/>
        </w:trPr>
        <w:tc>
          <w:tcPr>
            <w:tcW w:w="810" w:type="dxa"/>
            <w:tcBorders>
              <w:top w:val="nil"/>
              <w:left w:val="single" w:sz="4" w:space="0" w:color="000000"/>
              <w:bottom w:val="single" w:sz="4" w:space="0" w:color="000000"/>
              <w:right w:val="single" w:sz="4" w:space="0" w:color="000000"/>
            </w:tcBorders>
            <w:shd w:val="clear" w:color="auto" w:fill="auto"/>
            <w:vAlign w:val="center"/>
          </w:tcPr>
          <w:p w14:paraId="720F5B9A"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23</w:t>
            </w:r>
          </w:p>
        </w:tc>
        <w:tc>
          <w:tcPr>
            <w:tcW w:w="5730" w:type="dxa"/>
            <w:tcBorders>
              <w:top w:val="nil"/>
              <w:left w:val="nil"/>
              <w:bottom w:val="single" w:sz="4" w:space="0" w:color="000000"/>
              <w:right w:val="single" w:sz="4" w:space="0" w:color="000000"/>
            </w:tcBorders>
            <w:shd w:val="clear" w:color="auto" w:fill="auto"/>
            <w:vAlign w:val="center"/>
          </w:tcPr>
          <w:p w14:paraId="523A1C1B" w14:textId="77777777" w:rsidR="00955283"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This is part of my long-term retirement strategy.</w:t>
            </w:r>
          </w:p>
        </w:tc>
        <w:tc>
          <w:tcPr>
            <w:tcW w:w="1035" w:type="dxa"/>
            <w:tcBorders>
              <w:top w:val="nil"/>
              <w:left w:val="nil"/>
              <w:bottom w:val="single" w:sz="4" w:space="0" w:color="000000"/>
              <w:right w:val="single" w:sz="4" w:space="0" w:color="000000"/>
            </w:tcBorders>
            <w:shd w:val="clear" w:color="auto" w:fill="auto"/>
            <w:vAlign w:val="center"/>
          </w:tcPr>
          <w:p w14:paraId="1A5506B6"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0.629</w:t>
            </w:r>
          </w:p>
        </w:tc>
        <w:tc>
          <w:tcPr>
            <w:tcW w:w="1680" w:type="dxa"/>
            <w:vMerge/>
            <w:tcBorders>
              <w:top w:val="nil"/>
              <w:left w:val="single" w:sz="4" w:space="0" w:color="000000"/>
              <w:bottom w:val="single" w:sz="4" w:space="0" w:color="000000"/>
              <w:right w:val="single" w:sz="4" w:space="0" w:color="000000"/>
            </w:tcBorders>
            <w:shd w:val="clear" w:color="auto" w:fill="auto"/>
            <w:vAlign w:val="center"/>
          </w:tcPr>
          <w:p w14:paraId="4AEF31DC"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color w:val="FF0000"/>
              </w:rPr>
            </w:pPr>
          </w:p>
        </w:tc>
      </w:tr>
      <w:tr w:rsidR="00955283" w14:paraId="1C29DF58" w14:textId="77777777">
        <w:trPr>
          <w:trHeight w:val="543"/>
        </w:trPr>
        <w:tc>
          <w:tcPr>
            <w:tcW w:w="810" w:type="dxa"/>
            <w:tcBorders>
              <w:top w:val="nil"/>
              <w:left w:val="single" w:sz="4" w:space="0" w:color="000000"/>
              <w:bottom w:val="single" w:sz="4" w:space="0" w:color="000000"/>
              <w:right w:val="single" w:sz="4" w:space="0" w:color="000000"/>
            </w:tcBorders>
            <w:shd w:val="clear" w:color="auto" w:fill="auto"/>
            <w:vAlign w:val="center"/>
          </w:tcPr>
          <w:p w14:paraId="41EC863D"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26</w:t>
            </w:r>
          </w:p>
        </w:tc>
        <w:tc>
          <w:tcPr>
            <w:tcW w:w="5730" w:type="dxa"/>
            <w:tcBorders>
              <w:top w:val="nil"/>
              <w:left w:val="nil"/>
              <w:bottom w:val="single" w:sz="4" w:space="0" w:color="000000"/>
              <w:right w:val="single" w:sz="4" w:space="0" w:color="000000"/>
            </w:tcBorders>
            <w:shd w:val="clear" w:color="auto" w:fill="auto"/>
            <w:vAlign w:val="center"/>
          </w:tcPr>
          <w:p w14:paraId="29E6AD59" w14:textId="77777777" w:rsidR="00955283"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To diversify my financial portfolio in a safer, government-guaranteed</w:t>
            </w:r>
          </w:p>
          <w:p w14:paraId="11950B59" w14:textId="77777777" w:rsidR="00955283"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investment option. </w:t>
            </w:r>
          </w:p>
        </w:tc>
        <w:tc>
          <w:tcPr>
            <w:tcW w:w="1035" w:type="dxa"/>
            <w:tcBorders>
              <w:top w:val="nil"/>
              <w:left w:val="nil"/>
              <w:bottom w:val="single" w:sz="4" w:space="0" w:color="000000"/>
              <w:right w:val="single" w:sz="4" w:space="0" w:color="000000"/>
            </w:tcBorders>
            <w:shd w:val="clear" w:color="auto" w:fill="auto"/>
            <w:vAlign w:val="center"/>
          </w:tcPr>
          <w:p w14:paraId="1DE10AE8"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0.612</w:t>
            </w:r>
          </w:p>
        </w:tc>
        <w:tc>
          <w:tcPr>
            <w:tcW w:w="1680" w:type="dxa"/>
            <w:vMerge/>
            <w:tcBorders>
              <w:top w:val="nil"/>
              <w:left w:val="single" w:sz="4" w:space="0" w:color="000000"/>
              <w:bottom w:val="single" w:sz="4" w:space="0" w:color="000000"/>
              <w:right w:val="single" w:sz="4" w:space="0" w:color="000000"/>
            </w:tcBorders>
            <w:shd w:val="clear" w:color="auto" w:fill="auto"/>
            <w:vAlign w:val="center"/>
          </w:tcPr>
          <w:p w14:paraId="5D6C3B40"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55283" w14:paraId="0354B13D" w14:textId="77777777">
        <w:trPr>
          <w:trHeight w:val="543"/>
        </w:trPr>
        <w:tc>
          <w:tcPr>
            <w:tcW w:w="810" w:type="dxa"/>
            <w:tcBorders>
              <w:top w:val="nil"/>
              <w:left w:val="single" w:sz="4" w:space="0" w:color="000000"/>
              <w:bottom w:val="single" w:sz="4" w:space="0" w:color="000000"/>
              <w:right w:val="single" w:sz="4" w:space="0" w:color="000000"/>
            </w:tcBorders>
            <w:shd w:val="clear" w:color="auto" w:fill="auto"/>
            <w:vAlign w:val="center"/>
          </w:tcPr>
          <w:p w14:paraId="0D69E553"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p>
        </w:tc>
        <w:tc>
          <w:tcPr>
            <w:tcW w:w="5730" w:type="dxa"/>
            <w:tcBorders>
              <w:top w:val="nil"/>
              <w:left w:val="nil"/>
              <w:bottom w:val="single" w:sz="4" w:space="0" w:color="000000"/>
              <w:right w:val="single" w:sz="4" w:space="0" w:color="000000"/>
            </w:tcBorders>
            <w:shd w:val="clear" w:color="auto" w:fill="auto"/>
            <w:vAlign w:val="center"/>
          </w:tcPr>
          <w:p w14:paraId="328F5707" w14:textId="77777777" w:rsidR="00955283"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I want to grow my savings over time and achieve my future financial goals.</w:t>
            </w:r>
          </w:p>
        </w:tc>
        <w:tc>
          <w:tcPr>
            <w:tcW w:w="1035" w:type="dxa"/>
            <w:tcBorders>
              <w:top w:val="nil"/>
              <w:left w:val="nil"/>
              <w:bottom w:val="single" w:sz="4" w:space="0" w:color="000000"/>
              <w:right w:val="single" w:sz="4" w:space="0" w:color="000000"/>
            </w:tcBorders>
            <w:shd w:val="clear" w:color="auto" w:fill="auto"/>
            <w:vAlign w:val="center"/>
          </w:tcPr>
          <w:p w14:paraId="400A7206"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0.526</w:t>
            </w:r>
          </w:p>
        </w:tc>
        <w:tc>
          <w:tcPr>
            <w:tcW w:w="1680" w:type="dxa"/>
            <w:vMerge/>
            <w:tcBorders>
              <w:top w:val="nil"/>
              <w:left w:val="single" w:sz="4" w:space="0" w:color="000000"/>
              <w:bottom w:val="single" w:sz="4" w:space="0" w:color="000000"/>
              <w:right w:val="single" w:sz="4" w:space="0" w:color="000000"/>
            </w:tcBorders>
            <w:shd w:val="clear" w:color="auto" w:fill="auto"/>
            <w:vAlign w:val="center"/>
          </w:tcPr>
          <w:p w14:paraId="6BC518C8"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rPr>
            </w:pPr>
          </w:p>
        </w:tc>
      </w:tr>
      <w:tr w:rsidR="00955283" w14:paraId="5E9D8BA4" w14:textId="77777777">
        <w:trPr>
          <w:trHeight w:val="543"/>
        </w:trPr>
        <w:tc>
          <w:tcPr>
            <w:tcW w:w="810" w:type="dxa"/>
            <w:tcBorders>
              <w:top w:val="nil"/>
              <w:left w:val="single" w:sz="4" w:space="0" w:color="000000"/>
              <w:bottom w:val="single" w:sz="4" w:space="0" w:color="000000"/>
              <w:right w:val="single" w:sz="4" w:space="0" w:color="000000"/>
            </w:tcBorders>
            <w:shd w:val="clear" w:color="auto" w:fill="auto"/>
            <w:vAlign w:val="center"/>
          </w:tcPr>
          <w:p w14:paraId="632018F2"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5730" w:type="dxa"/>
            <w:tcBorders>
              <w:top w:val="nil"/>
              <w:left w:val="nil"/>
              <w:bottom w:val="single" w:sz="4" w:space="0" w:color="000000"/>
              <w:right w:val="single" w:sz="4" w:space="0" w:color="000000"/>
            </w:tcBorders>
            <w:shd w:val="clear" w:color="auto" w:fill="auto"/>
            <w:vAlign w:val="center"/>
          </w:tcPr>
          <w:p w14:paraId="6169E710" w14:textId="77777777" w:rsidR="00955283"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It is easy to contact their personnel when assistance is needed.</w:t>
            </w:r>
          </w:p>
        </w:tc>
        <w:tc>
          <w:tcPr>
            <w:tcW w:w="1035" w:type="dxa"/>
            <w:tcBorders>
              <w:top w:val="nil"/>
              <w:left w:val="nil"/>
              <w:bottom w:val="single" w:sz="4" w:space="0" w:color="000000"/>
              <w:right w:val="single" w:sz="4" w:space="0" w:color="000000"/>
            </w:tcBorders>
            <w:shd w:val="clear" w:color="auto" w:fill="auto"/>
            <w:vAlign w:val="center"/>
          </w:tcPr>
          <w:p w14:paraId="36D237EA"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0.516</w:t>
            </w:r>
          </w:p>
        </w:tc>
        <w:tc>
          <w:tcPr>
            <w:tcW w:w="1680" w:type="dxa"/>
            <w:vMerge/>
            <w:tcBorders>
              <w:top w:val="nil"/>
              <w:left w:val="single" w:sz="4" w:space="0" w:color="000000"/>
              <w:bottom w:val="single" w:sz="4" w:space="0" w:color="000000"/>
              <w:right w:val="single" w:sz="4" w:space="0" w:color="000000"/>
            </w:tcBorders>
            <w:shd w:val="clear" w:color="auto" w:fill="auto"/>
            <w:vAlign w:val="center"/>
          </w:tcPr>
          <w:p w14:paraId="39B7E373" w14:textId="77777777" w:rsidR="00955283" w:rsidRDefault="00955283">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14:paraId="5D02FCC0" w14:textId="77777777" w:rsidR="00955283" w:rsidRDefault="00955283">
      <w:pPr>
        <w:spacing w:after="0" w:line="240" w:lineRule="auto"/>
        <w:rPr>
          <w:rFonts w:ascii="Times New Roman" w:eastAsia="Times New Roman" w:hAnsi="Times New Roman" w:cs="Times New Roman"/>
          <w:b/>
          <w:color w:val="FF0000"/>
        </w:rPr>
      </w:pPr>
    </w:p>
    <w:p w14:paraId="56A73A59" w14:textId="77777777" w:rsidR="00955283"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Peer Pressure and Social Norms. </w:t>
      </w:r>
      <w:r>
        <w:rPr>
          <w:rFonts w:ascii="Times New Roman" w:eastAsia="Times New Roman" w:hAnsi="Times New Roman" w:cs="Times New Roman"/>
        </w:rPr>
        <w:t xml:space="preserve">Table 5 shows the five items that fall under the third factor, the peer pressure and social norms, and their corresponding coefficients. As shown, the item </w:t>
      </w:r>
      <w:r>
        <w:rPr>
          <w:rFonts w:ascii="Times New Roman" w:eastAsia="Times New Roman" w:hAnsi="Times New Roman" w:cs="Times New Roman"/>
          <w:i/>
        </w:rPr>
        <w:t xml:space="preserve">“Social media ads, promotions, and online communities are compelling” </w:t>
      </w:r>
      <w:r>
        <w:rPr>
          <w:rFonts w:ascii="Times New Roman" w:eastAsia="Times New Roman" w:hAnsi="Times New Roman" w:cs="Times New Roman"/>
        </w:rPr>
        <w:t xml:space="preserve">obtained the highest loading coefficient of 0.755. The item </w:t>
      </w:r>
      <w:r>
        <w:rPr>
          <w:rFonts w:ascii="Times New Roman" w:eastAsia="Times New Roman" w:hAnsi="Times New Roman" w:cs="Times New Roman"/>
          <w:i/>
        </w:rPr>
        <w:t xml:space="preserve">“My family members and friends persuaded me” </w:t>
      </w:r>
      <w:r>
        <w:rPr>
          <w:rFonts w:ascii="Times New Roman" w:eastAsia="Times New Roman" w:hAnsi="Times New Roman" w:cs="Times New Roman"/>
        </w:rPr>
        <w:t xml:space="preserve">obtained a loading coefficient of 0.729. The item </w:t>
      </w:r>
      <w:r>
        <w:rPr>
          <w:rFonts w:ascii="Times New Roman" w:eastAsia="Times New Roman" w:hAnsi="Times New Roman" w:cs="Times New Roman"/>
          <w:i/>
        </w:rPr>
        <w:t>“It is mandated by my employer”</w:t>
      </w:r>
      <w:r>
        <w:rPr>
          <w:rFonts w:ascii="Times New Roman" w:eastAsia="Times New Roman" w:hAnsi="Times New Roman" w:cs="Times New Roman"/>
        </w:rPr>
        <w:t xml:space="preserve"> obtained a loading coefficient of 0.619. </w:t>
      </w:r>
    </w:p>
    <w:p w14:paraId="6876580C" w14:textId="77777777" w:rsidR="00955283" w:rsidRDefault="00955283">
      <w:pPr>
        <w:pBdr>
          <w:top w:val="nil"/>
          <w:left w:val="nil"/>
          <w:bottom w:val="nil"/>
          <w:right w:val="nil"/>
          <w:between w:val="nil"/>
        </w:pBdr>
        <w:spacing w:after="0" w:line="240" w:lineRule="auto"/>
        <w:jc w:val="both"/>
        <w:rPr>
          <w:rFonts w:ascii="Times New Roman" w:eastAsia="Times New Roman" w:hAnsi="Times New Roman" w:cs="Times New Roman"/>
        </w:rPr>
      </w:pPr>
    </w:p>
    <w:p w14:paraId="1F1CBDE5" w14:textId="77777777" w:rsidR="00955283"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suggests peer pressure and social norms significantly influence millennial investment decisions. Social media, where affluent lifestyles are often showcased, can motivate millennials to invest. Additionally, peer influence, especially from financially savvy friends and family, can encourage them to adopt similar investment behaviors. These factors, combined with cultural values and societal expectations, can drive millennials to prioritize saving and investing for their future financial security.</w:t>
      </w:r>
    </w:p>
    <w:p w14:paraId="2CADC57F" w14:textId="77777777" w:rsidR="00955283" w:rsidRDefault="00955283">
      <w:pPr>
        <w:pBdr>
          <w:top w:val="nil"/>
          <w:left w:val="nil"/>
          <w:bottom w:val="nil"/>
          <w:right w:val="nil"/>
          <w:between w:val="nil"/>
        </w:pBdr>
        <w:spacing w:after="0" w:line="240" w:lineRule="auto"/>
        <w:jc w:val="both"/>
        <w:rPr>
          <w:rFonts w:ascii="Times New Roman" w:eastAsia="Times New Roman" w:hAnsi="Times New Roman" w:cs="Times New Roman"/>
        </w:rPr>
      </w:pPr>
    </w:p>
    <w:p w14:paraId="217E61AB" w14:textId="77777777" w:rsidR="00955283" w:rsidRDefault="000000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study confirms the study of Firdaus and </w:t>
      </w:r>
      <w:proofErr w:type="spellStart"/>
      <w:r>
        <w:rPr>
          <w:rFonts w:ascii="Times New Roman" w:eastAsia="Times New Roman" w:hAnsi="Times New Roman" w:cs="Times New Roman"/>
        </w:rPr>
        <w:t>Asandhimitra</w:t>
      </w:r>
      <w:proofErr w:type="spellEnd"/>
      <w:r>
        <w:rPr>
          <w:rFonts w:ascii="Times New Roman" w:eastAsia="Times New Roman" w:hAnsi="Times New Roman" w:cs="Times New Roman"/>
        </w:rPr>
        <w:t xml:space="preserve"> (2024) that  peer influence is also found to be a significant factor in shaping the saving behavior of Gen Z. The financial knowledge of peers exerts a more considerable influence than social expectations from peers. The moderation of attitudes toward saving significantly affects this relationship, particularly through cognitive and affective dimensions, where strong beliefs in the value of saving enhance the positive impact of peer influence.</w:t>
      </w:r>
    </w:p>
    <w:p w14:paraId="0875B05F" w14:textId="77777777" w:rsidR="00955283" w:rsidRDefault="00955283">
      <w:pPr>
        <w:pBdr>
          <w:top w:val="nil"/>
          <w:left w:val="nil"/>
          <w:bottom w:val="nil"/>
          <w:right w:val="nil"/>
          <w:between w:val="nil"/>
        </w:pBdr>
        <w:spacing w:after="0" w:line="240" w:lineRule="auto"/>
        <w:jc w:val="both"/>
        <w:rPr>
          <w:rFonts w:ascii="Times New Roman" w:eastAsia="Times New Roman" w:hAnsi="Times New Roman" w:cs="Times New Roman"/>
        </w:rPr>
      </w:pPr>
    </w:p>
    <w:p w14:paraId="25FBD86C" w14:textId="77777777" w:rsidR="00955283" w:rsidRDefault="00955283">
      <w:pPr>
        <w:pBdr>
          <w:top w:val="nil"/>
          <w:left w:val="nil"/>
          <w:bottom w:val="nil"/>
          <w:right w:val="nil"/>
          <w:between w:val="nil"/>
        </w:pBdr>
        <w:spacing w:after="0" w:line="240" w:lineRule="auto"/>
        <w:jc w:val="both"/>
        <w:rPr>
          <w:rFonts w:ascii="Times New Roman" w:eastAsia="Times New Roman" w:hAnsi="Times New Roman" w:cs="Times New Roman"/>
        </w:rPr>
      </w:pPr>
    </w:p>
    <w:p w14:paraId="49AA6BA5" w14:textId="77777777" w:rsidR="00955283" w:rsidRDefault="00955283">
      <w:pPr>
        <w:pBdr>
          <w:top w:val="nil"/>
          <w:left w:val="nil"/>
          <w:bottom w:val="nil"/>
          <w:right w:val="nil"/>
          <w:between w:val="nil"/>
        </w:pBdr>
        <w:spacing w:after="0" w:line="240" w:lineRule="auto"/>
        <w:jc w:val="both"/>
        <w:rPr>
          <w:rFonts w:ascii="Times New Roman" w:eastAsia="Times New Roman" w:hAnsi="Times New Roman" w:cs="Times New Roman"/>
        </w:rPr>
      </w:pPr>
    </w:p>
    <w:p w14:paraId="29F06C90" w14:textId="77777777" w:rsidR="00955283" w:rsidRDefault="00955283">
      <w:pPr>
        <w:pBdr>
          <w:top w:val="nil"/>
          <w:left w:val="nil"/>
          <w:bottom w:val="nil"/>
          <w:right w:val="nil"/>
          <w:between w:val="nil"/>
        </w:pBdr>
        <w:spacing w:after="0" w:line="240" w:lineRule="auto"/>
        <w:jc w:val="both"/>
        <w:rPr>
          <w:rFonts w:ascii="Times New Roman" w:eastAsia="Times New Roman" w:hAnsi="Times New Roman" w:cs="Times New Roman"/>
        </w:rPr>
      </w:pPr>
    </w:p>
    <w:p w14:paraId="07819F11" w14:textId="77777777" w:rsidR="00955283" w:rsidRDefault="00955283">
      <w:pPr>
        <w:pBdr>
          <w:top w:val="nil"/>
          <w:left w:val="nil"/>
          <w:bottom w:val="nil"/>
          <w:right w:val="nil"/>
          <w:between w:val="nil"/>
        </w:pBdr>
        <w:spacing w:after="0" w:line="240" w:lineRule="auto"/>
        <w:jc w:val="both"/>
        <w:rPr>
          <w:rFonts w:ascii="Times New Roman" w:eastAsia="Times New Roman" w:hAnsi="Times New Roman" w:cs="Times New Roman"/>
        </w:rPr>
      </w:pPr>
    </w:p>
    <w:p w14:paraId="12BFFEFC" w14:textId="77777777" w:rsidR="00955283" w:rsidRDefault="00955283">
      <w:pPr>
        <w:pBdr>
          <w:top w:val="nil"/>
          <w:left w:val="nil"/>
          <w:bottom w:val="nil"/>
          <w:right w:val="nil"/>
          <w:between w:val="nil"/>
        </w:pBdr>
        <w:spacing w:after="0" w:line="240" w:lineRule="auto"/>
        <w:jc w:val="both"/>
        <w:rPr>
          <w:rFonts w:ascii="Times New Roman" w:eastAsia="Times New Roman" w:hAnsi="Times New Roman" w:cs="Times New Roman"/>
        </w:rPr>
      </w:pPr>
    </w:p>
    <w:p w14:paraId="0567675B" w14:textId="77777777" w:rsidR="006722DD" w:rsidRDefault="006722DD">
      <w:pPr>
        <w:pBdr>
          <w:top w:val="nil"/>
          <w:left w:val="nil"/>
          <w:bottom w:val="nil"/>
          <w:right w:val="nil"/>
          <w:between w:val="nil"/>
        </w:pBdr>
        <w:spacing w:after="0" w:line="240" w:lineRule="auto"/>
        <w:jc w:val="both"/>
        <w:rPr>
          <w:rFonts w:ascii="Times New Roman" w:eastAsia="Times New Roman" w:hAnsi="Times New Roman" w:cs="Times New Roman"/>
        </w:rPr>
      </w:pPr>
    </w:p>
    <w:p w14:paraId="5EEBA29F" w14:textId="77777777" w:rsidR="006722DD" w:rsidRDefault="006722DD">
      <w:pPr>
        <w:pBdr>
          <w:top w:val="nil"/>
          <w:left w:val="nil"/>
          <w:bottom w:val="nil"/>
          <w:right w:val="nil"/>
          <w:between w:val="nil"/>
        </w:pBdr>
        <w:spacing w:after="0" w:line="240" w:lineRule="auto"/>
        <w:jc w:val="both"/>
        <w:rPr>
          <w:rFonts w:ascii="Times New Roman" w:eastAsia="Times New Roman" w:hAnsi="Times New Roman" w:cs="Times New Roman"/>
        </w:rPr>
      </w:pPr>
    </w:p>
    <w:p w14:paraId="4BF927B3" w14:textId="77777777" w:rsidR="006722DD" w:rsidRDefault="006722DD">
      <w:pPr>
        <w:pBdr>
          <w:top w:val="nil"/>
          <w:left w:val="nil"/>
          <w:bottom w:val="nil"/>
          <w:right w:val="nil"/>
          <w:between w:val="nil"/>
        </w:pBdr>
        <w:spacing w:after="0" w:line="240" w:lineRule="auto"/>
        <w:jc w:val="both"/>
        <w:rPr>
          <w:rFonts w:ascii="Times New Roman" w:eastAsia="Times New Roman" w:hAnsi="Times New Roman" w:cs="Times New Roman"/>
        </w:rPr>
      </w:pPr>
    </w:p>
    <w:p w14:paraId="0C0EC265" w14:textId="77777777" w:rsidR="006722DD" w:rsidRDefault="006722DD">
      <w:pPr>
        <w:pBdr>
          <w:top w:val="nil"/>
          <w:left w:val="nil"/>
          <w:bottom w:val="nil"/>
          <w:right w:val="nil"/>
          <w:between w:val="nil"/>
        </w:pBdr>
        <w:spacing w:after="0" w:line="240" w:lineRule="auto"/>
        <w:jc w:val="both"/>
        <w:rPr>
          <w:rFonts w:ascii="Times New Roman" w:eastAsia="Times New Roman" w:hAnsi="Times New Roman" w:cs="Times New Roman"/>
        </w:rPr>
      </w:pPr>
    </w:p>
    <w:p w14:paraId="28BD1766" w14:textId="77777777" w:rsidR="006722DD" w:rsidRPr="006722DD" w:rsidRDefault="006722DD" w:rsidP="006722D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Table 5. Rotated Matrix with Group Attributes under Peer Pressure and Social Norms</w:t>
      </w:r>
    </w:p>
    <w:p w14:paraId="31BB882C" w14:textId="77777777" w:rsidR="006722DD" w:rsidRDefault="006722DD">
      <w:pPr>
        <w:pBdr>
          <w:top w:val="nil"/>
          <w:left w:val="nil"/>
          <w:bottom w:val="nil"/>
          <w:right w:val="nil"/>
          <w:between w:val="nil"/>
        </w:pBdr>
        <w:spacing w:after="0" w:line="240" w:lineRule="auto"/>
        <w:jc w:val="both"/>
        <w:rPr>
          <w:rFonts w:ascii="Times New Roman" w:eastAsia="Times New Roman" w:hAnsi="Times New Roman" w:cs="Times New Roman"/>
        </w:rPr>
      </w:pPr>
    </w:p>
    <w:tbl>
      <w:tblPr>
        <w:tblStyle w:val="a3"/>
        <w:tblW w:w="0" w:type="auto"/>
        <w:tblLook w:val="0400" w:firstRow="0" w:lastRow="0" w:firstColumn="0" w:lastColumn="0" w:noHBand="0" w:noVBand="1"/>
      </w:tblPr>
      <w:tblGrid>
        <w:gridCol w:w="670"/>
        <w:gridCol w:w="4888"/>
        <w:gridCol w:w="1209"/>
        <w:gridCol w:w="2249"/>
      </w:tblGrid>
      <w:tr w:rsidR="006722DD" w14:paraId="410B3A87" w14:textId="77777777" w:rsidTr="006722DD">
        <w:trPr>
          <w:trHeight w:val="457"/>
        </w:trPr>
        <w:tc>
          <w:tcPr>
            <w:tcW w:w="0" w:type="auto"/>
            <w:tcBorders>
              <w:top w:val="single" w:sz="4" w:space="0" w:color="000000"/>
              <w:left w:val="single" w:sz="4" w:space="0" w:color="000000"/>
              <w:bottom w:val="single" w:sz="4" w:space="0" w:color="000000"/>
              <w:right w:val="single" w:sz="4" w:space="0" w:color="000000"/>
            </w:tcBorders>
            <w:vAlign w:val="center"/>
          </w:tcPr>
          <w:p w14:paraId="6524726A" w14:textId="77777777" w:rsidR="006722DD" w:rsidRDefault="006722DD" w:rsidP="006722D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Item</w:t>
            </w:r>
          </w:p>
        </w:tc>
        <w:tc>
          <w:tcPr>
            <w:tcW w:w="0" w:type="auto"/>
            <w:tcBorders>
              <w:top w:val="single" w:sz="4" w:space="0" w:color="000000"/>
              <w:left w:val="single" w:sz="4" w:space="0" w:color="000000"/>
              <w:bottom w:val="single" w:sz="4" w:space="0" w:color="000000"/>
              <w:right w:val="single" w:sz="4" w:space="0" w:color="000000"/>
            </w:tcBorders>
            <w:vAlign w:val="center"/>
          </w:tcPr>
          <w:p w14:paraId="42464691" w14:textId="77777777" w:rsidR="006722DD" w:rsidRDefault="006722DD" w:rsidP="006722D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Attributes</w:t>
            </w:r>
          </w:p>
        </w:tc>
        <w:tc>
          <w:tcPr>
            <w:tcW w:w="0" w:type="auto"/>
            <w:tcBorders>
              <w:top w:val="single" w:sz="4" w:space="0" w:color="000000"/>
              <w:left w:val="single" w:sz="4" w:space="0" w:color="000000"/>
              <w:bottom w:val="single" w:sz="4" w:space="0" w:color="000000"/>
              <w:right w:val="single" w:sz="4" w:space="0" w:color="000000"/>
            </w:tcBorders>
            <w:vAlign w:val="center"/>
          </w:tcPr>
          <w:p w14:paraId="1D0DFE65" w14:textId="77777777" w:rsidR="006722DD" w:rsidRDefault="006722DD" w:rsidP="006722D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Factor Score</w:t>
            </w:r>
          </w:p>
        </w:tc>
        <w:tc>
          <w:tcPr>
            <w:tcW w:w="0" w:type="auto"/>
            <w:tcBorders>
              <w:top w:val="single" w:sz="4" w:space="0" w:color="000000"/>
              <w:left w:val="single" w:sz="4" w:space="0" w:color="000000"/>
              <w:bottom w:val="single" w:sz="4" w:space="0" w:color="000000"/>
              <w:right w:val="single" w:sz="4" w:space="0" w:color="000000"/>
            </w:tcBorders>
            <w:vAlign w:val="center"/>
          </w:tcPr>
          <w:p w14:paraId="3CE53ABD" w14:textId="77777777" w:rsidR="006722DD" w:rsidRDefault="006722DD" w:rsidP="006722D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Factor</w:t>
            </w:r>
          </w:p>
        </w:tc>
      </w:tr>
      <w:tr w:rsidR="006722DD" w14:paraId="547F0E77" w14:textId="77777777" w:rsidTr="006722DD">
        <w:trPr>
          <w:trHeight w:val="440"/>
        </w:trPr>
        <w:tc>
          <w:tcPr>
            <w:tcW w:w="0" w:type="auto"/>
            <w:tcBorders>
              <w:top w:val="single" w:sz="4" w:space="0" w:color="000000"/>
              <w:left w:val="single" w:sz="4" w:space="0" w:color="000000"/>
              <w:bottom w:val="single" w:sz="4" w:space="0" w:color="000000"/>
              <w:right w:val="single" w:sz="4" w:space="0" w:color="000000"/>
            </w:tcBorders>
            <w:vAlign w:val="center"/>
          </w:tcPr>
          <w:p w14:paraId="66D12D06" w14:textId="77777777" w:rsidR="006722DD" w:rsidRDefault="006722DD" w:rsidP="006722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w:t>
            </w:r>
          </w:p>
        </w:tc>
        <w:tc>
          <w:tcPr>
            <w:tcW w:w="0" w:type="auto"/>
            <w:tcBorders>
              <w:top w:val="single" w:sz="4" w:space="0" w:color="000000"/>
              <w:left w:val="single" w:sz="4" w:space="0" w:color="000000"/>
              <w:bottom w:val="single" w:sz="4" w:space="0" w:color="000000"/>
              <w:right w:val="single" w:sz="4" w:space="0" w:color="000000"/>
            </w:tcBorders>
            <w:vAlign w:val="center"/>
          </w:tcPr>
          <w:p w14:paraId="01B9332C" w14:textId="77777777" w:rsidR="006722DD" w:rsidRDefault="006722DD" w:rsidP="006722DD">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Social media ads, promotions, and online communities are compelling.</w:t>
            </w:r>
          </w:p>
        </w:tc>
        <w:tc>
          <w:tcPr>
            <w:tcW w:w="0" w:type="auto"/>
            <w:tcBorders>
              <w:top w:val="single" w:sz="4" w:space="0" w:color="000000"/>
              <w:left w:val="single" w:sz="4" w:space="0" w:color="000000"/>
              <w:bottom w:val="single" w:sz="4" w:space="0" w:color="000000"/>
              <w:right w:val="single" w:sz="4" w:space="0" w:color="000000"/>
            </w:tcBorders>
            <w:vAlign w:val="center"/>
          </w:tcPr>
          <w:p w14:paraId="38ECD95B" w14:textId="77777777" w:rsidR="006722DD" w:rsidRDefault="006722DD" w:rsidP="006722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0.755</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14:paraId="715B3EA4" w14:textId="77777777" w:rsidR="006722DD" w:rsidRDefault="006722DD" w:rsidP="006722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Peer Pressure and Social Norms</w:t>
            </w:r>
          </w:p>
        </w:tc>
      </w:tr>
      <w:tr w:rsidR="006722DD" w14:paraId="07943C4B" w14:textId="77777777" w:rsidTr="006722DD">
        <w:trPr>
          <w:trHeight w:val="440"/>
        </w:trPr>
        <w:tc>
          <w:tcPr>
            <w:tcW w:w="0" w:type="auto"/>
            <w:tcBorders>
              <w:top w:val="single" w:sz="4" w:space="0" w:color="000000"/>
              <w:left w:val="single" w:sz="4" w:space="0" w:color="000000"/>
              <w:bottom w:val="single" w:sz="4" w:space="0" w:color="000000"/>
              <w:right w:val="single" w:sz="4" w:space="0" w:color="000000"/>
            </w:tcBorders>
            <w:vAlign w:val="center"/>
          </w:tcPr>
          <w:p w14:paraId="295AD2DC" w14:textId="77777777" w:rsidR="006722DD" w:rsidRDefault="006722DD" w:rsidP="006722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1C57FD6B" w14:textId="77777777" w:rsidR="006722DD" w:rsidRDefault="006722DD" w:rsidP="006722DD">
            <w:pPr>
              <w:widowControl w:val="0"/>
              <w:spacing w:after="0" w:line="240" w:lineRule="auto"/>
              <w:rPr>
                <w:rFonts w:ascii="Times New Roman" w:eastAsia="Times New Roman" w:hAnsi="Times New Roman" w:cs="Times New Roman"/>
                <w:color w:val="FF0000"/>
              </w:rPr>
            </w:pPr>
            <w:r>
              <w:rPr>
                <w:rFonts w:ascii="Times New Roman" w:eastAsia="Times New Roman" w:hAnsi="Times New Roman" w:cs="Times New Roman"/>
                <w:sz w:val="24"/>
                <w:szCs w:val="24"/>
              </w:rPr>
              <w:t>My family members and friends persuaded me.</w:t>
            </w:r>
          </w:p>
        </w:tc>
        <w:tc>
          <w:tcPr>
            <w:tcW w:w="0" w:type="auto"/>
            <w:tcBorders>
              <w:top w:val="single" w:sz="4" w:space="0" w:color="000000"/>
              <w:left w:val="single" w:sz="4" w:space="0" w:color="000000"/>
              <w:bottom w:val="single" w:sz="4" w:space="0" w:color="000000"/>
              <w:right w:val="single" w:sz="4" w:space="0" w:color="000000"/>
            </w:tcBorders>
            <w:vAlign w:val="center"/>
          </w:tcPr>
          <w:p w14:paraId="76A1ADE3" w14:textId="77777777" w:rsidR="006722DD" w:rsidRDefault="006722DD" w:rsidP="006722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0.729</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398CA43" w14:textId="77777777" w:rsidR="006722DD" w:rsidRDefault="006722DD" w:rsidP="006722DD">
            <w:pPr>
              <w:widowControl w:val="0"/>
              <w:spacing w:after="0" w:line="276" w:lineRule="auto"/>
              <w:rPr>
                <w:rFonts w:ascii="Times New Roman" w:eastAsia="Times New Roman" w:hAnsi="Times New Roman" w:cs="Times New Roman"/>
                <w:color w:val="FF0000"/>
              </w:rPr>
            </w:pPr>
          </w:p>
        </w:tc>
      </w:tr>
      <w:tr w:rsidR="006722DD" w14:paraId="51B435F1" w14:textId="77777777" w:rsidTr="006722DD">
        <w:trPr>
          <w:trHeight w:val="440"/>
        </w:trPr>
        <w:tc>
          <w:tcPr>
            <w:tcW w:w="0" w:type="auto"/>
            <w:tcBorders>
              <w:top w:val="single" w:sz="4" w:space="0" w:color="000000"/>
              <w:left w:val="single" w:sz="4" w:space="0" w:color="000000"/>
              <w:bottom w:val="single" w:sz="4" w:space="0" w:color="000000"/>
              <w:right w:val="single" w:sz="4" w:space="0" w:color="000000"/>
            </w:tcBorders>
            <w:vAlign w:val="center"/>
          </w:tcPr>
          <w:p w14:paraId="5CD9B574" w14:textId="77777777" w:rsidR="006722DD" w:rsidRDefault="006722DD" w:rsidP="006722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w:t>
            </w:r>
          </w:p>
        </w:tc>
        <w:tc>
          <w:tcPr>
            <w:tcW w:w="0" w:type="auto"/>
            <w:tcBorders>
              <w:top w:val="single" w:sz="4" w:space="0" w:color="000000"/>
              <w:left w:val="single" w:sz="4" w:space="0" w:color="000000"/>
              <w:bottom w:val="single" w:sz="4" w:space="0" w:color="000000"/>
              <w:right w:val="single" w:sz="4" w:space="0" w:color="000000"/>
            </w:tcBorders>
            <w:vAlign w:val="center"/>
          </w:tcPr>
          <w:p w14:paraId="2713036D" w14:textId="77777777" w:rsidR="006722DD" w:rsidRDefault="006722DD" w:rsidP="006722DD">
            <w:pPr>
              <w:widowControl w:val="0"/>
              <w:spacing w:after="0" w:line="240" w:lineRule="auto"/>
              <w:rPr>
                <w:rFonts w:ascii="Times New Roman" w:eastAsia="Times New Roman" w:hAnsi="Times New Roman" w:cs="Times New Roman"/>
                <w:color w:val="FF0000"/>
              </w:rPr>
            </w:pPr>
            <w:r>
              <w:rPr>
                <w:rFonts w:ascii="Times New Roman" w:eastAsia="Times New Roman" w:hAnsi="Times New Roman" w:cs="Times New Roman"/>
                <w:sz w:val="24"/>
                <w:szCs w:val="24"/>
              </w:rPr>
              <w:t>It is mandated by my employer.</w:t>
            </w:r>
          </w:p>
        </w:tc>
        <w:tc>
          <w:tcPr>
            <w:tcW w:w="0" w:type="auto"/>
            <w:tcBorders>
              <w:top w:val="single" w:sz="4" w:space="0" w:color="000000"/>
              <w:left w:val="single" w:sz="4" w:space="0" w:color="000000"/>
              <w:bottom w:val="single" w:sz="4" w:space="0" w:color="000000"/>
              <w:right w:val="single" w:sz="4" w:space="0" w:color="000000"/>
            </w:tcBorders>
            <w:vAlign w:val="center"/>
          </w:tcPr>
          <w:p w14:paraId="1F772FBC" w14:textId="77777777" w:rsidR="006722DD" w:rsidRDefault="006722DD" w:rsidP="006722D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0.619</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6F0F8C" w14:textId="77777777" w:rsidR="006722DD" w:rsidRDefault="006722DD" w:rsidP="006722DD">
            <w:pPr>
              <w:widowControl w:val="0"/>
              <w:spacing w:after="0" w:line="276" w:lineRule="auto"/>
              <w:rPr>
                <w:rFonts w:ascii="Times New Roman" w:eastAsia="Times New Roman" w:hAnsi="Times New Roman" w:cs="Times New Roman"/>
                <w:color w:val="FF0000"/>
              </w:rPr>
            </w:pPr>
          </w:p>
        </w:tc>
      </w:tr>
    </w:tbl>
    <w:p w14:paraId="7DFB97BF" w14:textId="77777777" w:rsidR="006722DD" w:rsidRDefault="006722DD">
      <w:pPr>
        <w:spacing w:after="0" w:line="240" w:lineRule="auto"/>
        <w:rPr>
          <w:rFonts w:ascii="Times New Roman" w:eastAsia="Times New Roman" w:hAnsi="Times New Roman" w:cs="Times New Roman"/>
          <w:b/>
          <w:sz w:val="20"/>
          <w:szCs w:val="20"/>
        </w:rPr>
      </w:pPr>
    </w:p>
    <w:p w14:paraId="12AA11A4" w14:textId="77777777" w:rsidR="00955283"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Tax Efficiency and Flexibility. </w:t>
      </w:r>
      <w:r>
        <w:rPr>
          <w:rFonts w:ascii="Times New Roman" w:eastAsia="Times New Roman" w:hAnsi="Times New Roman" w:cs="Times New Roman"/>
        </w:rPr>
        <w:t xml:space="preserve">Table 6 presents the five underlying indicators of the fourth factor, which is focused on tax efficiency and flexibility, along with their corresponding coefficients. The indicator with the highest coefficient is </w:t>
      </w:r>
      <w:r>
        <w:rPr>
          <w:rFonts w:ascii="Times New Roman" w:eastAsia="Times New Roman" w:hAnsi="Times New Roman" w:cs="Times New Roman"/>
          <w:i/>
        </w:rPr>
        <w:t>“It offers a shorter lock-in period (5 years).”,</w:t>
      </w:r>
      <w:r>
        <w:rPr>
          <w:rFonts w:ascii="Times New Roman" w:eastAsia="Times New Roman" w:hAnsi="Times New Roman" w:cs="Times New Roman"/>
        </w:rPr>
        <w:t xml:space="preserve"> which has a coefficient of 0.835. And the indicator </w:t>
      </w:r>
      <w:r>
        <w:rPr>
          <w:rFonts w:ascii="Times New Roman" w:eastAsia="Times New Roman" w:hAnsi="Times New Roman" w:cs="Times New Roman"/>
          <w:i/>
        </w:rPr>
        <w:t>“The dividend is tax-free.”</w:t>
      </w:r>
      <w:r>
        <w:rPr>
          <w:rFonts w:ascii="Times New Roman" w:eastAsia="Times New Roman" w:hAnsi="Times New Roman" w:cs="Times New Roman"/>
        </w:rPr>
        <w:t xml:space="preserve"> has the loading coefficient at 0.804.</w:t>
      </w:r>
    </w:p>
    <w:p w14:paraId="21737B66" w14:textId="77777777" w:rsidR="00955283" w:rsidRDefault="00955283">
      <w:pPr>
        <w:spacing w:after="0" w:line="240" w:lineRule="auto"/>
        <w:jc w:val="both"/>
        <w:rPr>
          <w:rFonts w:ascii="Times New Roman" w:eastAsia="Times New Roman" w:hAnsi="Times New Roman" w:cs="Times New Roman"/>
          <w:color w:val="FF0000"/>
        </w:rPr>
      </w:pPr>
    </w:p>
    <w:p w14:paraId="6651C215"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Therefore, the tax-efficient nature and flexibility of MP2 savings make it an attractive investment option for millennials. The tax-free dividends and the ability to withdraw funds, albeit with certain conditions, offer financial benefits and peace of mind. Additionally, the flexibility in terms of minimum deposit amounts and contribution frequency allows millennials to tailor their savings plan to their specific financial goals and circumstances.</w:t>
      </w:r>
    </w:p>
    <w:p w14:paraId="698F8B26" w14:textId="77777777" w:rsidR="00955283" w:rsidRDefault="00955283">
      <w:pPr>
        <w:spacing w:after="0" w:line="240" w:lineRule="auto"/>
        <w:jc w:val="both"/>
        <w:rPr>
          <w:rFonts w:ascii="Times New Roman" w:eastAsia="Times New Roman" w:hAnsi="Times New Roman" w:cs="Times New Roman"/>
          <w:color w:val="FF0000"/>
        </w:rPr>
      </w:pPr>
    </w:p>
    <w:p w14:paraId="42DA23BF" w14:textId="77777777" w:rsidR="00955283" w:rsidRDefault="00000000">
      <w:pPr>
        <w:spacing w:line="240" w:lineRule="auto"/>
        <w:jc w:val="both"/>
        <w:rPr>
          <w:rFonts w:ascii="Times New Roman" w:eastAsia="Times New Roman" w:hAnsi="Times New Roman" w:cs="Times New Roman"/>
        </w:rPr>
      </w:pPr>
      <w:bookmarkStart w:id="18" w:name="_44sinio" w:colFirst="0" w:colLast="0"/>
      <w:bookmarkEnd w:id="18"/>
      <w:r>
        <w:rPr>
          <w:rFonts w:ascii="Times New Roman" w:eastAsia="Times New Roman" w:hAnsi="Times New Roman" w:cs="Times New Roman"/>
          <w:color w:val="0D0D0D"/>
          <w:highlight w:val="white"/>
        </w:rPr>
        <w:t>This study affirms the findings of Cox and Brown (2021), which suggest that millennials tend to balance their need for liquidity with the benefits of tax-efficient savings. Millennials who are more knowledgeable about tax policies are more likely to diversify their portfolios across flexible accounts, such as brokerage accounts (which are less tax-efficient), and tax-advantaged accounts, based on their financial situation and both short- and long-term goals.</w:t>
      </w:r>
    </w:p>
    <w:p w14:paraId="459A224A" w14:textId="77777777" w:rsidR="00955283" w:rsidRDefault="0000000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6. Rotated Matrix with Group Attributes under Tax Efficiency and Flexibility</w:t>
      </w:r>
    </w:p>
    <w:tbl>
      <w:tblPr>
        <w:tblStyle w:val="a4"/>
        <w:tblW w:w="9000" w:type="dxa"/>
        <w:tblLayout w:type="fixed"/>
        <w:tblLook w:val="0400" w:firstRow="0" w:lastRow="0" w:firstColumn="0" w:lastColumn="0" w:noHBand="0" w:noVBand="1"/>
      </w:tblPr>
      <w:tblGrid>
        <w:gridCol w:w="825"/>
        <w:gridCol w:w="5250"/>
        <w:gridCol w:w="1350"/>
        <w:gridCol w:w="1575"/>
      </w:tblGrid>
      <w:tr w:rsidR="00955283" w14:paraId="6FA49619" w14:textId="77777777">
        <w:trPr>
          <w:trHeight w:val="485"/>
        </w:trPr>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4ACC"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Item No. </w:t>
            </w:r>
          </w:p>
        </w:tc>
        <w:tc>
          <w:tcPr>
            <w:tcW w:w="5250" w:type="dxa"/>
            <w:tcBorders>
              <w:top w:val="single" w:sz="4" w:space="0" w:color="000000"/>
              <w:left w:val="nil"/>
              <w:bottom w:val="single" w:sz="4" w:space="0" w:color="000000"/>
              <w:right w:val="single" w:sz="4" w:space="0" w:color="000000"/>
            </w:tcBorders>
            <w:shd w:val="clear" w:color="auto" w:fill="auto"/>
            <w:vAlign w:val="center"/>
          </w:tcPr>
          <w:p w14:paraId="4F9C4CC0"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Attributes</w:t>
            </w:r>
          </w:p>
        </w:tc>
        <w:tc>
          <w:tcPr>
            <w:tcW w:w="1350" w:type="dxa"/>
            <w:tcBorders>
              <w:top w:val="single" w:sz="4" w:space="0" w:color="000000"/>
              <w:left w:val="nil"/>
              <w:bottom w:val="single" w:sz="4" w:space="0" w:color="000000"/>
              <w:right w:val="single" w:sz="4" w:space="0" w:color="000000"/>
            </w:tcBorders>
            <w:shd w:val="clear" w:color="auto" w:fill="auto"/>
            <w:vAlign w:val="center"/>
          </w:tcPr>
          <w:p w14:paraId="3A393705"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Factor Score</w:t>
            </w:r>
          </w:p>
        </w:tc>
        <w:tc>
          <w:tcPr>
            <w:tcW w:w="1575" w:type="dxa"/>
            <w:tcBorders>
              <w:top w:val="single" w:sz="4" w:space="0" w:color="000000"/>
              <w:left w:val="nil"/>
              <w:bottom w:val="single" w:sz="4" w:space="0" w:color="000000"/>
              <w:right w:val="single" w:sz="4" w:space="0" w:color="000000"/>
            </w:tcBorders>
            <w:shd w:val="clear" w:color="auto" w:fill="auto"/>
            <w:vAlign w:val="center"/>
          </w:tcPr>
          <w:p w14:paraId="4000896B"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Factor</w:t>
            </w:r>
          </w:p>
        </w:tc>
      </w:tr>
      <w:tr w:rsidR="00955283" w14:paraId="6515DCB0" w14:textId="77777777">
        <w:trPr>
          <w:trHeight w:val="467"/>
        </w:trPr>
        <w:tc>
          <w:tcPr>
            <w:tcW w:w="825" w:type="dxa"/>
            <w:tcBorders>
              <w:top w:val="nil"/>
              <w:left w:val="single" w:sz="4" w:space="0" w:color="000000"/>
              <w:bottom w:val="single" w:sz="4" w:space="0" w:color="000000"/>
              <w:right w:val="single" w:sz="4" w:space="0" w:color="000000"/>
            </w:tcBorders>
            <w:shd w:val="clear" w:color="auto" w:fill="auto"/>
            <w:vAlign w:val="center"/>
          </w:tcPr>
          <w:p w14:paraId="181F412F"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5250" w:type="dxa"/>
            <w:tcBorders>
              <w:top w:val="nil"/>
              <w:left w:val="nil"/>
              <w:bottom w:val="single" w:sz="4" w:space="0" w:color="000000"/>
              <w:right w:val="single" w:sz="4" w:space="0" w:color="000000"/>
            </w:tcBorders>
            <w:shd w:val="clear" w:color="auto" w:fill="auto"/>
            <w:vAlign w:val="center"/>
          </w:tcPr>
          <w:p w14:paraId="0214648C" w14:textId="77777777" w:rsidR="00955283"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It offers a shorter lock-in period (5 years).</w:t>
            </w:r>
          </w:p>
        </w:tc>
        <w:tc>
          <w:tcPr>
            <w:tcW w:w="1350" w:type="dxa"/>
            <w:tcBorders>
              <w:top w:val="nil"/>
              <w:left w:val="nil"/>
              <w:bottom w:val="single" w:sz="4" w:space="0" w:color="000000"/>
              <w:right w:val="single" w:sz="4" w:space="0" w:color="000000"/>
            </w:tcBorders>
            <w:shd w:val="clear" w:color="auto" w:fill="auto"/>
            <w:vAlign w:val="center"/>
          </w:tcPr>
          <w:p w14:paraId="6361F260"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.0835</w:t>
            </w:r>
          </w:p>
        </w:tc>
        <w:tc>
          <w:tcPr>
            <w:tcW w:w="1575" w:type="dxa"/>
            <w:vMerge w:val="restart"/>
            <w:tcBorders>
              <w:top w:val="nil"/>
              <w:left w:val="single" w:sz="4" w:space="0" w:color="000000"/>
              <w:bottom w:val="single" w:sz="4" w:space="0" w:color="000000"/>
              <w:right w:val="single" w:sz="4" w:space="0" w:color="000000"/>
            </w:tcBorders>
            <w:shd w:val="clear" w:color="auto" w:fill="auto"/>
            <w:vAlign w:val="center"/>
          </w:tcPr>
          <w:p w14:paraId="3F9C2A77" w14:textId="77777777" w:rsidR="00955283" w:rsidRDefault="00000000">
            <w:pPr>
              <w:spacing w:after="0" w:line="240" w:lineRule="auto"/>
              <w:rPr>
                <w:rFonts w:ascii="Times New Roman" w:eastAsia="Times New Roman" w:hAnsi="Times New Roman" w:cs="Times New Roman"/>
                <w:b/>
              </w:rPr>
            </w:pPr>
            <w:r>
              <w:rPr>
                <w:rFonts w:ascii="Times New Roman" w:eastAsia="Times New Roman" w:hAnsi="Times New Roman" w:cs="Times New Roman"/>
              </w:rPr>
              <w:t>Tax Efficiency and Flexibility</w:t>
            </w:r>
          </w:p>
        </w:tc>
      </w:tr>
      <w:tr w:rsidR="00955283" w14:paraId="0F4A4432" w14:textId="77777777">
        <w:trPr>
          <w:trHeight w:val="467"/>
        </w:trPr>
        <w:tc>
          <w:tcPr>
            <w:tcW w:w="825" w:type="dxa"/>
            <w:tcBorders>
              <w:top w:val="nil"/>
              <w:left w:val="single" w:sz="4" w:space="0" w:color="000000"/>
              <w:bottom w:val="single" w:sz="4" w:space="0" w:color="000000"/>
              <w:right w:val="single" w:sz="4" w:space="0" w:color="000000"/>
            </w:tcBorders>
            <w:shd w:val="clear" w:color="auto" w:fill="auto"/>
            <w:vAlign w:val="center"/>
          </w:tcPr>
          <w:p w14:paraId="12C03464"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w:t>
            </w:r>
          </w:p>
        </w:tc>
        <w:tc>
          <w:tcPr>
            <w:tcW w:w="5250" w:type="dxa"/>
            <w:tcBorders>
              <w:top w:val="nil"/>
              <w:left w:val="nil"/>
              <w:bottom w:val="single" w:sz="4" w:space="0" w:color="000000"/>
              <w:right w:val="single" w:sz="4" w:space="0" w:color="000000"/>
            </w:tcBorders>
            <w:shd w:val="clear" w:color="auto" w:fill="auto"/>
            <w:vAlign w:val="center"/>
          </w:tcPr>
          <w:p w14:paraId="72A69BBE" w14:textId="77777777" w:rsidR="00955283"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The dividend is tax-free.</w:t>
            </w:r>
          </w:p>
        </w:tc>
        <w:tc>
          <w:tcPr>
            <w:tcW w:w="1350" w:type="dxa"/>
            <w:tcBorders>
              <w:top w:val="nil"/>
              <w:left w:val="nil"/>
              <w:bottom w:val="single" w:sz="4" w:space="0" w:color="000000"/>
              <w:right w:val="single" w:sz="4" w:space="0" w:color="000000"/>
            </w:tcBorders>
            <w:shd w:val="clear" w:color="auto" w:fill="auto"/>
            <w:vAlign w:val="center"/>
          </w:tcPr>
          <w:p w14:paraId="7CB1C9CC"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0.804</w:t>
            </w:r>
          </w:p>
        </w:tc>
        <w:tc>
          <w:tcPr>
            <w:tcW w:w="1575" w:type="dxa"/>
            <w:vMerge/>
            <w:tcBorders>
              <w:top w:val="nil"/>
              <w:left w:val="single" w:sz="4" w:space="0" w:color="000000"/>
              <w:bottom w:val="single" w:sz="4" w:space="0" w:color="000000"/>
              <w:right w:val="single" w:sz="4" w:space="0" w:color="000000"/>
            </w:tcBorders>
            <w:shd w:val="clear" w:color="auto" w:fill="auto"/>
            <w:vAlign w:val="center"/>
          </w:tcPr>
          <w:p w14:paraId="4B978807" w14:textId="77777777" w:rsidR="00955283" w:rsidRDefault="00955283">
            <w:pPr>
              <w:widowControl w:val="0"/>
              <w:pBdr>
                <w:top w:val="nil"/>
                <w:left w:val="nil"/>
                <w:bottom w:val="nil"/>
                <w:right w:val="nil"/>
                <w:between w:val="nil"/>
              </w:pBdr>
              <w:spacing w:after="0" w:line="276" w:lineRule="auto"/>
              <w:rPr>
                <w:rFonts w:ascii="Times New Roman" w:eastAsia="Times New Roman" w:hAnsi="Times New Roman" w:cs="Times New Roman"/>
              </w:rPr>
            </w:pPr>
          </w:p>
        </w:tc>
      </w:tr>
    </w:tbl>
    <w:p w14:paraId="2F26E8DD" w14:textId="77777777" w:rsidR="00955283" w:rsidRDefault="00955283">
      <w:pPr>
        <w:spacing w:after="0" w:line="240" w:lineRule="auto"/>
        <w:rPr>
          <w:rFonts w:ascii="Times New Roman" w:eastAsia="Times New Roman" w:hAnsi="Times New Roman" w:cs="Times New Roman"/>
          <w:b/>
        </w:rPr>
      </w:pPr>
    </w:p>
    <w:p w14:paraId="02C030B1" w14:textId="77777777" w:rsidR="00955283"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Framework Developed Based on Findings</w:t>
      </w:r>
    </w:p>
    <w:p w14:paraId="2218B7F1" w14:textId="77777777" w:rsidR="00955283" w:rsidRDefault="00955283">
      <w:pPr>
        <w:spacing w:after="0" w:line="240" w:lineRule="auto"/>
        <w:jc w:val="both"/>
        <w:rPr>
          <w:rFonts w:ascii="Times New Roman" w:eastAsia="Times New Roman" w:hAnsi="Times New Roman" w:cs="Times New Roman"/>
        </w:rPr>
      </w:pPr>
    </w:p>
    <w:p w14:paraId="29555087"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Ease of Use and Accessibility. </w:t>
      </w:r>
      <w:r>
        <w:rPr>
          <w:rFonts w:ascii="Times New Roman" w:eastAsia="Times New Roman" w:hAnsi="Times New Roman" w:cs="Times New Roman"/>
          <w:highlight w:val="white"/>
        </w:rPr>
        <w:t>The ease of use and accessibility of financial tools significantly impact millennials' savings behavior. Millennials tend to gravitate toward digital platforms and investment tools that are user-friendly, offer easy access to funds, and require minimal effort in terms of managing their accounts.</w:t>
      </w:r>
      <w:r>
        <w:rPr>
          <w:rFonts w:ascii="Times New Roman" w:eastAsia="Times New Roman" w:hAnsi="Times New Roman" w:cs="Times New Roman"/>
        </w:rPr>
        <w:t xml:space="preserve"> Supported by Benítez-Márquez et al. (2022), this demonstrates that Generation Z values personal development, mental well-being, and interpersonal relationships with loved ones more than their professional obligations.</w:t>
      </w:r>
    </w:p>
    <w:p w14:paraId="48FF0975" w14:textId="77777777" w:rsidR="00955283" w:rsidRDefault="00955283">
      <w:pPr>
        <w:spacing w:after="0" w:line="240" w:lineRule="auto"/>
        <w:jc w:val="both"/>
        <w:rPr>
          <w:rFonts w:ascii="Times New Roman" w:eastAsia="Times New Roman" w:hAnsi="Times New Roman" w:cs="Times New Roman"/>
        </w:rPr>
      </w:pPr>
    </w:p>
    <w:p w14:paraId="7B1AB31A" w14:textId="77777777" w:rsidR="00955283" w:rsidRDefault="00000000">
      <w:pPr>
        <w:pBdr>
          <w:top w:val="nil"/>
          <w:left w:val="nil"/>
          <w:bottom w:val="nil"/>
          <w:right w:val="nil"/>
          <w:between w:val="nil"/>
        </w:pBdr>
        <w:spacing w:line="240" w:lineRule="auto"/>
        <w:jc w:val="both"/>
        <w:rPr>
          <w:rFonts w:ascii="Times New Roman" w:eastAsia="Times New Roman" w:hAnsi="Times New Roman" w:cs="Times New Roman"/>
        </w:rPr>
      </w:pPr>
      <w:r>
        <w:rPr>
          <w:rFonts w:ascii="Times New Roman" w:eastAsia="Times New Roman" w:hAnsi="Times New Roman" w:cs="Times New Roman"/>
          <w:b/>
        </w:rPr>
        <w:t>Long-Term Financial Goals.</w:t>
      </w:r>
      <w:r>
        <w:rPr>
          <w:rFonts w:ascii="Times New Roman" w:eastAsia="Times New Roman" w:hAnsi="Times New Roman" w:cs="Times New Roman"/>
        </w:rPr>
        <w:t xml:space="preserve"> </w:t>
      </w:r>
      <w:r>
        <w:rPr>
          <w:rFonts w:ascii="Times New Roman" w:eastAsia="Times New Roman" w:hAnsi="Times New Roman" w:cs="Times New Roman"/>
          <w:highlight w:val="white"/>
        </w:rPr>
        <w:t>Millennials are increasingly aware of the importance of saving for the future, but they tend to have a more fluid and evolving view of their long-term financial goals. These include retirement, homeownership, and education savings, but these goals often shift due to changing life circumstances.</w:t>
      </w:r>
      <w:r>
        <w:rPr>
          <w:rFonts w:ascii="Times New Roman" w:eastAsia="Times New Roman" w:hAnsi="Times New Roman" w:cs="Times New Roman"/>
        </w:rPr>
        <w:t xml:space="preserve"> Further, </w:t>
      </w:r>
      <w:proofErr w:type="spellStart"/>
      <w:r>
        <w:rPr>
          <w:rFonts w:ascii="Times New Roman" w:eastAsia="Times New Roman" w:hAnsi="Times New Roman" w:cs="Times New Roman"/>
        </w:rPr>
        <w:t>Lallukka</w:t>
      </w:r>
      <w:proofErr w:type="spellEnd"/>
      <w:r>
        <w:rPr>
          <w:rFonts w:ascii="Times New Roman" w:eastAsia="Times New Roman" w:hAnsi="Times New Roman" w:cs="Times New Roman"/>
        </w:rPr>
        <w:t xml:space="preserve"> et al. (2024) stated that highly engaged employees often develop a strong sense of connection to their roles and the organization.</w:t>
      </w:r>
    </w:p>
    <w:p w14:paraId="4A55F856"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Peer Pressure and Social Norms.</w:t>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Peer pressure and social norms significantly impact millennial behavior, including savings and investment decisions. Millennials are often influenced by the financial decisions of their social circles, including friends, family, and broader societal </w:t>
      </w:r>
      <w:proofErr w:type="spellStart"/>
      <w:r>
        <w:rPr>
          <w:rFonts w:ascii="Times New Roman" w:eastAsia="Times New Roman" w:hAnsi="Times New Roman" w:cs="Times New Roman"/>
          <w:highlight w:val="white"/>
        </w:rPr>
        <w:t>trends.</w:t>
      </w:r>
      <w:r>
        <w:rPr>
          <w:rFonts w:ascii="Times New Roman" w:eastAsia="Times New Roman" w:hAnsi="Times New Roman" w:cs="Times New Roman"/>
        </w:rPr>
        <w:t>Hunt</w:t>
      </w:r>
      <w:proofErr w:type="spellEnd"/>
      <w:r>
        <w:rPr>
          <w:rFonts w:ascii="Times New Roman" w:eastAsia="Times New Roman" w:hAnsi="Times New Roman" w:cs="Times New Roman"/>
        </w:rPr>
        <w:t xml:space="preserve"> et al. (2018) support that these considerations lead Generation Z individuals to achieve a sense of belongingness and purpose, eventually enhancing job satisfaction and commitment.</w:t>
      </w:r>
    </w:p>
    <w:p w14:paraId="5F24D9E0" w14:textId="77777777" w:rsidR="00955283" w:rsidRDefault="00955283">
      <w:pPr>
        <w:spacing w:after="0" w:line="240" w:lineRule="auto"/>
        <w:jc w:val="both"/>
        <w:rPr>
          <w:rFonts w:ascii="Times New Roman" w:eastAsia="Times New Roman" w:hAnsi="Times New Roman" w:cs="Times New Roman"/>
        </w:rPr>
      </w:pPr>
    </w:p>
    <w:p w14:paraId="23C75007"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Tax Efficiency and Flexibility. </w:t>
      </w:r>
      <w:r>
        <w:rPr>
          <w:rFonts w:ascii="Times New Roman" w:eastAsia="Times New Roman" w:hAnsi="Times New Roman" w:cs="Times New Roman"/>
          <w:highlight w:val="white"/>
        </w:rPr>
        <w:t>Tax efficiency refers to strategies that minimize the tax burden on savings and investments, while flexibility refers to the ability to access or adjust savings without penalties or excessive restrictions. Millennials are often seeking a balance between both, especially when planning for long-term goals.</w:t>
      </w:r>
    </w:p>
    <w:p w14:paraId="3055D45E" w14:textId="77777777" w:rsidR="00955283" w:rsidRDefault="00955283">
      <w:pPr>
        <w:spacing w:after="0" w:line="240" w:lineRule="auto"/>
        <w:rPr>
          <w:rFonts w:ascii="Times New Roman" w:eastAsia="Times New Roman" w:hAnsi="Times New Roman" w:cs="Times New Roman"/>
          <w:b/>
        </w:rPr>
      </w:pPr>
    </w:p>
    <w:p w14:paraId="67C0D9FC" w14:textId="77777777" w:rsidR="00955283"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Figure 2. </w:t>
      </w:r>
      <w:r>
        <w:rPr>
          <w:rFonts w:ascii="Times New Roman" w:eastAsia="Times New Roman" w:hAnsi="Times New Roman" w:cs="Times New Roman"/>
        </w:rPr>
        <w:t xml:space="preserve">Factors that motivate Millennials in investing MP2 Savings </w:t>
      </w:r>
    </w:p>
    <w:p w14:paraId="6C778F75" w14:textId="77777777" w:rsidR="00955283" w:rsidRDefault="00955283">
      <w:pPr>
        <w:spacing w:after="0" w:line="240" w:lineRule="auto"/>
        <w:rPr>
          <w:rFonts w:ascii="Times New Roman" w:eastAsia="Times New Roman" w:hAnsi="Times New Roman" w:cs="Times New Roman"/>
        </w:rPr>
      </w:pPr>
    </w:p>
    <w:p w14:paraId="41C75F75" w14:textId="77777777" w:rsidR="0095528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rPr>
        <w:drawing>
          <wp:inline distT="114300" distB="114300" distL="114300" distR="114300" wp14:anchorId="36BEAA0F" wp14:editId="4B8EC3D6">
            <wp:extent cx="5731200" cy="2540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1200" cy="2540000"/>
                    </a:xfrm>
                    <a:prstGeom prst="rect">
                      <a:avLst/>
                    </a:prstGeom>
                    <a:ln/>
                  </pic:spPr>
                </pic:pic>
              </a:graphicData>
            </a:graphic>
          </wp:inline>
        </w:drawing>
      </w:r>
    </w:p>
    <w:p w14:paraId="18A5F12F" w14:textId="77777777" w:rsidR="00955283" w:rsidRDefault="00955283">
      <w:pPr>
        <w:spacing w:after="0" w:line="240" w:lineRule="auto"/>
        <w:jc w:val="center"/>
        <w:rPr>
          <w:rFonts w:ascii="Times New Roman" w:eastAsia="Times New Roman" w:hAnsi="Times New Roman" w:cs="Times New Roman"/>
          <w:b/>
        </w:rPr>
      </w:pPr>
    </w:p>
    <w:p w14:paraId="31225E35"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CONCLUSION</w:t>
      </w:r>
    </w:p>
    <w:p w14:paraId="0E84F1B2" w14:textId="77777777" w:rsidR="00955283" w:rsidRDefault="00955283">
      <w:pPr>
        <w:spacing w:after="0" w:line="240" w:lineRule="auto"/>
        <w:jc w:val="center"/>
        <w:rPr>
          <w:rFonts w:ascii="Times New Roman" w:eastAsia="Times New Roman" w:hAnsi="Times New Roman" w:cs="Times New Roman"/>
          <w:b/>
        </w:rPr>
      </w:pPr>
    </w:p>
    <w:p w14:paraId="1D38F65C" w14:textId="77777777" w:rsidR="00955283" w:rsidRDefault="00000000">
      <w:pPr>
        <w:spacing w:after="0" w:line="240" w:lineRule="auto"/>
        <w:jc w:val="both"/>
        <w:rPr>
          <w:rFonts w:ascii="Times New Roman" w:eastAsia="Times New Roman" w:hAnsi="Times New Roman" w:cs="Times New Roman"/>
          <w:color w:val="0D0D0D"/>
          <w:sz w:val="20"/>
          <w:szCs w:val="20"/>
          <w:highlight w:val="white"/>
        </w:rPr>
      </w:pPr>
      <w:r>
        <w:rPr>
          <w:rFonts w:ascii="Times New Roman" w:eastAsia="Times New Roman" w:hAnsi="Times New Roman" w:cs="Times New Roman"/>
          <w:color w:val="0D0D0D"/>
          <w:highlight w:val="white"/>
        </w:rPr>
        <w:t>Based on the findings, four key factors were identified as influencing millennials' investment decisions regarding MP2 Savings: ease of use and accessibility, long-term financial goals, peer pressure and social norms, and tax efficiency and flexibility. These factors significantly shape millennials' preference for MP2 Savings, as they seek investment options that align with their desire for convenience, financial growth, and adaptability. Millennials' savings decisions are therefore driven by a combination of these considerations, including evolving financial priorities, social influences, and the need for products that offer both tax benefits and flexibility. Financial institutions that recognize and address these factors will be better positioned to cater to the unique needs of this generation, offering solutions that prioritize ease of use, flexibility, and long-term growth.</w:t>
      </w:r>
    </w:p>
    <w:p w14:paraId="2D4FDFD8" w14:textId="77777777" w:rsidR="00955283" w:rsidRDefault="00955283">
      <w:pPr>
        <w:spacing w:after="0" w:line="240" w:lineRule="auto"/>
        <w:jc w:val="both"/>
        <w:rPr>
          <w:rFonts w:ascii="Times New Roman" w:eastAsia="Times New Roman" w:hAnsi="Times New Roman" w:cs="Times New Roman"/>
          <w:color w:val="0D0D0D"/>
          <w:highlight w:val="white"/>
        </w:rPr>
      </w:pPr>
    </w:p>
    <w:p w14:paraId="6C4B32B0" w14:textId="77777777" w:rsidR="00955283"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ACKNOWLEDGEMENT</w:t>
      </w:r>
    </w:p>
    <w:p w14:paraId="1BE4863F" w14:textId="77777777" w:rsidR="00955283" w:rsidRDefault="00955283">
      <w:pPr>
        <w:spacing w:after="0" w:line="240" w:lineRule="auto"/>
        <w:jc w:val="center"/>
        <w:rPr>
          <w:rFonts w:ascii="Times New Roman" w:eastAsia="Times New Roman" w:hAnsi="Times New Roman" w:cs="Times New Roman"/>
          <w:b/>
        </w:rPr>
      </w:pPr>
    </w:p>
    <w:p w14:paraId="28FEDF8D" w14:textId="77777777" w:rsidR="00955283" w:rsidRDefault="00000000">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The researchers acknowledge their families and friends for inspiring them to complete this study. The researchers would also like to thank Dr. Gaudencio G. Abellanosa, their research adviser, for his steadfast support and advice during this research. The respondents who willingly participated in the survey for this research are also recognized for their contribution and consent, without which this research would not have been possible.</w:t>
      </w:r>
    </w:p>
    <w:p w14:paraId="54D2F4B2" w14:textId="77777777" w:rsidR="00955283" w:rsidRDefault="00955283">
      <w:pPr>
        <w:spacing w:after="0" w:line="240" w:lineRule="auto"/>
        <w:jc w:val="center"/>
        <w:rPr>
          <w:rFonts w:ascii="Times New Roman" w:eastAsia="Times New Roman" w:hAnsi="Times New Roman" w:cs="Times New Roman"/>
          <w:b/>
        </w:rPr>
      </w:pPr>
    </w:p>
    <w:p w14:paraId="3C022DA7" w14:textId="77777777" w:rsidR="00955283" w:rsidRDefault="00955283">
      <w:pPr>
        <w:spacing w:after="0" w:line="240" w:lineRule="auto"/>
        <w:jc w:val="center"/>
        <w:rPr>
          <w:rFonts w:ascii="Times New Roman" w:eastAsia="Times New Roman" w:hAnsi="Times New Roman" w:cs="Times New Roman"/>
          <w:b/>
        </w:rPr>
      </w:pPr>
    </w:p>
    <w:p w14:paraId="3A9E231B" w14:textId="77777777" w:rsidR="00955283" w:rsidRDefault="00955283">
      <w:pPr>
        <w:spacing w:after="0" w:line="240" w:lineRule="auto"/>
        <w:jc w:val="center"/>
        <w:rPr>
          <w:rFonts w:ascii="Times New Roman" w:eastAsia="Times New Roman" w:hAnsi="Times New Roman" w:cs="Times New Roman"/>
          <w:b/>
        </w:rPr>
      </w:pPr>
    </w:p>
    <w:p w14:paraId="5FB58891" w14:textId="77777777" w:rsidR="00955283" w:rsidRDefault="00955283">
      <w:pPr>
        <w:spacing w:after="0" w:line="240" w:lineRule="auto"/>
        <w:jc w:val="center"/>
        <w:rPr>
          <w:rFonts w:ascii="Times New Roman" w:eastAsia="Times New Roman" w:hAnsi="Times New Roman" w:cs="Times New Roman"/>
          <w:b/>
        </w:rPr>
      </w:pPr>
    </w:p>
    <w:p w14:paraId="524500A3" w14:textId="77777777" w:rsidR="00955283" w:rsidRDefault="00955283">
      <w:pPr>
        <w:spacing w:after="0" w:line="240" w:lineRule="auto"/>
        <w:jc w:val="center"/>
        <w:rPr>
          <w:rFonts w:ascii="Times New Roman" w:eastAsia="Times New Roman" w:hAnsi="Times New Roman" w:cs="Times New Roman"/>
          <w:b/>
        </w:rPr>
      </w:pPr>
    </w:p>
    <w:p w14:paraId="3C363E83" w14:textId="77777777" w:rsidR="00955283" w:rsidRDefault="00955283">
      <w:pPr>
        <w:spacing w:after="0" w:line="240" w:lineRule="auto"/>
        <w:jc w:val="center"/>
        <w:rPr>
          <w:rFonts w:ascii="Times New Roman" w:eastAsia="Times New Roman" w:hAnsi="Times New Roman" w:cs="Times New Roman"/>
          <w:b/>
        </w:rPr>
      </w:pPr>
    </w:p>
    <w:p w14:paraId="08090481" w14:textId="77777777" w:rsidR="00955283" w:rsidRDefault="00955283">
      <w:pPr>
        <w:spacing w:after="0" w:line="240" w:lineRule="auto"/>
        <w:jc w:val="center"/>
        <w:rPr>
          <w:rFonts w:ascii="Times New Roman" w:eastAsia="Times New Roman" w:hAnsi="Times New Roman" w:cs="Times New Roman"/>
          <w:b/>
        </w:rPr>
      </w:pPr>
    </w:p>
    <w:p w14:paraId="5CFE8554" w14:textId="77777777" w:rsidR="00955283" w:rsidRDefault="00955283">
      <w:pPr>
        <w:spacing w:after="0" w:line="240" w:lineRule="auto"/>
        <w:jc w:val="center"/>
        <w:rPr>
          <w:rFonts w:ascii="Times New Roman" w:eastAsia="Times New Roman" w:hAnsi="Times New Roman" w:cs="Times New Roman"/>
          <w:b/>
        </w:rPr>
      </w:pPr>
    </w:p>
    <w:p w14:paraId="49E57563" w14:textId="77777777" w:rsidR="006722DD" w:rsidRDefault="006722DD">
      <w:pPr>
        <w:spacing w:after="0" w:line="240" w:lineRule="auto"/>
        <w:jc w:val="center"/>
        <w:rPr>
          <w:rFonts w:ascii="Times New Roman" w:eastAsia="Times New Roman" w:hAnsi="Times New Roman" w:cs="Times New Roman"/>
          <w:b/>
        </w:rPr>
      </w:pPr>
    </w:p>
    <w:p w14:paraId="4687AE7A" w14:textId="77777777" w:rsidR="006722DD" w:rsidRDefault="006722DD">
      <w:pPr>
        <w:spacing w:after="0" w:line="240" w:lineRule="auto"/>
        <w:jc w:val="center"/>
        <w:rPr>
          <w:rFonts w:ascii="Times New Roman" w:eastAsia="Times New Roman" w:hAnsi="Times New Roman" w:cs="Times New Roman"/>
          <w:b/>
        </w:rPr>
      </w:pPr>
    </w:p>
    <w:p w14:paraId="701060BA" w14:textId="77777777" w:rsidR="006722DD" w:rsidRDefault="006722DD">
      <w:pPr>
        <w:spacing w:after="0" w:line="240" w:lineRule="auto"/>
        <w:jc w:val="center"/>
        <w:rPr>
          <w:rFonts w:ascii="Times New Roman" w:eastAsia="Times New Roman" w:hAnsi="Times New Roman" w:cs="Times New Roman"/>
          <w:b/>
        </w:rPr>
      </w:pPr>
    </w:p>
    <w:p w14:paraId="2B4DD7C3" w14:textId="77777777" w:rsidR="00955283"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REFERENCES</w:t>
      </w:r>
    </w:p>
    <w:p w14:paraId="645B0B0F" w14:textId="77777777" w:rsidR="00955283" w:rsidRDefault="00955283">
      <w:pPr>
        <w:spacing w:after="0" w:line="240" w:lineRule="auto"/>
        <w:jc w:val="both"/>
        <w:rPr>
          <w:rFonts w:ascii="Times New Roman" w:eastAsia="Times New Roman" w:hAnsi="Times New Roman" w:cs="Times New Roman"/>
        </w:rPr>
      </w:pPr>
    </w:p>
    <w:p w14:paraId="13C439A2" w14:textId="77777777" w:rsidR="00955283" w:rsidRDefault="00000000">
      <w:pPr>
        <w:spacing w:line="278"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[1] Agrawal, A., &amp; </w:t>
      </w:r>
      <w:proofErr w:type="spellStart"/>
      <w:r>
        <w:rPr>
          <w:rFonts w:ascii="Times New Roman" w:eastAsia="Times New Roman" w:hAnsi="Times New Roman" w:cs="Times New Roman"/>
          <w:highlight w:val="white"/>
        </w:rPr>
        <w:t>Hockerts</w:t>
      </w:r>
      <w:proofErr w:type="spellEnd"/>
      <w:r>
        <w:rPr>
          <w:rFonts w:ascii="Times New Roman" w:eastAsia="Times New Roman" w:hAnsi="Times New Roman" w:cs="Times New Roman"/>
          <w:highlight w:val="white"/>
        </w:rPr>
        <w:t xml:space="preserve">, K. (2021). Impact investing: Review and research agenda. </w:t>
      </w:r>
      <w:r>
        <w:rPr>
          <w:rFonts w:ascii="Times New Roman" w:eastAsia="Times New Roman" w:hAnsi="Times New Roman" w:cs="Times New Roman"/>
          <w:i/>
          <w:highlight w:val="white"/>
        </w:rPr>
        <w:t>Journal of Small Business &amp; Entrepreneurship</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33</w:t>
      </w:r>
      <w:r>
        <w:rPr>
          <w:rFonts w:ascii="Times New Roman" w:eastAsia="Times New Roman" w:hAnsi="Times New Roman" w:cs="Times New Roman"/>
          <w:highlight w:val="white"/>
        </w:rPr>
        <w:t>(2), 153-181.</w:t>
      </w:r>
    </w:p>
    <w:p w14:paraId="69E3C701" w14:textId="77777777" w:rsidR="00955283"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[2] Aquino, H., Baustista, M. S., Escobedo, D., Mallari, A.M., Mercado, J., Sampang, P. &amp; </w:t>
      </w:r>
      <w:proofErr w:type="spellStart"/>
      <w:r>
        <w:rPr>
          <w:rFonts w:ascii="Times New Roman" w:eastAsia="Times New Roman" w:hAnsi="Times New Roman" w:cs="Times New Roman"/>
          <w:highlight w:val="white"/>
        </w:rPr>
        <w:t>Akiate</w:t>
      </w:r>
      <w:proofErr w:type="spellEnd"/>
      <w:r>
        <w:rPr>
          <w:rFonts w:ascii="Times New Roman" w:eastAsia="Times New Roman" w:hAnsi="Times New Roman" w:cs="Times New Roman"/>
          <w:highlight w:val="white"/>
        </w:rPr>
        <w:t xml:space="preserve">, Y.W. (2024). </w:t>
      </w:r>
      <w:r>
        <w:rPr>
          <w:rFonts w:ascii="Times New Roman" w:eastAsia="Times New Roman" w:hAnsi="Times New Roman" w:cs="Times New Roman"/>
          <w:i/>
          <w:highlight w:val="white"/>
        </w:rPr>
        <w:t>Financial Literacy and Spending Patterns of Millennial Workers in the City of San Fernando Pampanga.</w:t>
      </w:r>
      <w:r>
        <w:rPr>
          <w:rFonts w:ascii="Times New Roman" w:eastAsia="Times New Roman" w:hAnsi="Times New Roman" w:cs="Times New Roman"/>
          <w:highlight w:val="white"/>
        </w:rPr>
        <w:t xml:space="preserve"> Retrieved from  10.56201/rjpst.v7.no1.2024.pg272.290 </w:t>
      </w:r>
    </w:p>
    <w:p w14:paraId="62565252" w14:textId="77777777" w:rsidR="00955283" w:rsidRDefault="00000000">
      <w:pPr>
        <w:spacing w:line="278"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[3] </w:t>
      </w:r>
      <w:r>
        <w:rPr>
          <w:rFonts w:ascii="Times New Roman" w:eastAsia="Times New Roman" w:hAnsi="Times New Roman" w:cs="Times New Roman"/>
        </w:rPr>
        <w:t xml:space="preserve">Bustos, J., &amp; Tan, M. (2023). </w:t>
      </w:r>
      <w:r>
        <w:rPr>
          <w:rFonts w:ascii="Times New Roman" w:eastAsia="Times New Roman" w:hAnsi="Times New Roman" w:cs="Times New Roman"/>
          <w:i/>
        </w:rPr>
        <w:t>The impact of digital platforms on investment choices among millennials in the Philippines</w:t>
      </w:r>
      <w:r>
        <w:rPr>
          <w:rFonts w:ascii="Times New Roman" w:eastAsia="Times New Roman" w:hAnsi="Times New Roman" w:cs="Times New Roman"/>
        </w:rPr>
        <w:t>. Journal of Financial Technology, 8(1), 75-89.</w:t>
      </w:r>
    </w:p>
    <w:p w14:paraId="24A0EF47" w14:textId="77777777" w:rsidR="00955283" w:rsidRDefault="00000000">
      <w:pPr>
        <w:spacing w:before="240" w:after="24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[4] </w:t>
      </w:r>
      <w:r>
        <w:rPr>
          <w:rFonts w:ascii="Times New Roman" w:eastAsia="Times New Roman" w:hAnsi="Times New Roman" w:cs="Times New Roman"/>
        </w:rPr>
        <w:t>Caldwell, M. (2017). Tips for financially preparing for unexpected events. The Balance. Retrieved on May 15th from:https://www.thebalance.com/planning-for-financial-emergencies- 2385813.</w:t>
      </w:r>
    </w:p>
    <w:p w14:paraId="4D084851"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[5] </w:t>
      </w:r>
      <w:r>
        <w:rPr>
          <w:rFonts w:ascii="Times New Roman" w:eastAsia="Times New Roman" w:hAnsi="Times New Roman" w:cs="Times New Roman"/>
          <w:color w:val="0D0D0D"/>
          <w:highlight w:val="white"/>
        </w:rPr>
        <w:t xml:space="preserve">Cox, A., &amp; Brown, S. (2021). </w:t>
      </w:r>
      <w:r>
        <w:rPr>
          <w:rFonts w:ascii="Times New Roman" w:eastAsia="Times New Roman" w:hAnsi="Times New Roman" w:cs="Times New Roman"/>
          <w:i/>
          <w:color w:val="0D0D0D"/>
          <w:highlight w:val="white"/>
        </w:rPr>
        <w:t>The role of financial literacy in millennials' investment decisions.</w:t>
      </w:r>
      <w:r>
        <w:rPr>
          <w:rFonts w:ascii="Times New Roman" w:eastAsia="Times New Roman" w:hAnsi="Times New Roman" w:cs="Times New Roman"/>
          <w:color w:val="0D0D0D"/>
          <w:highlight w:val="white"/>
        </w:rPr>
        <w:t xml:space="preserve"> Journal of Financial Planning, 34(3), 65-72.</w:t>
      </w:r>
    </w:p>
    <w:p w14:paraId="51CB16E1" w14:textId="77777777" w:rsidR="00955283" w:rsidRDefault="00955283">
      <w:pPr>
        <w:spacing w:after="0" w:line="240" w:lineRule="auto"/>
        <w:jc w:val="both"/>
        <w:rPr>
          <w:rFonts w:ascii="Times New Roman" w:eastAsia="Times New Roman" w:hAnsi="Times New Roman" w:cs="Times New Roman"/>
        </w:rPr>
      </w:pPr>
    </w:p>
    <w:p w14:paraId="77398C34" w14:textId="77777777" w:rsidR="00955283" w:rsidRDefault="00000000">
      <w:pPr>
        <w:spacing w:line="278"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[6] </w:t>
      </w:r>
      <w:r>
        <w:rPr>
          <w:rFonts w:ascii="Times New Roman" w:eastAsia="Times New Roman" w:hAnsi="Times New Roman" w:cs="Times New Roman"/>
        </w:rPr>
        <w:t xml:space="preserve">De Leon, A., &amp; Reyes, R. (2022). </w:t>
      </w:r>
      <w:r>
        <w:rPr>
          <w:rFonts w:ascii="Times New Roman" w:eastAsia="Times New Roman" w:hAnsi="Times New Roman" w:cs="Times New Roman"/>
          <w:i/>
        </w:rPr>
        <w:t>Financial literacy and investment behavior: An exploration of millennial attitudes toward government-backed savings programs</w:t>
      </w:r>
      <w:r>
        <w:rPr>
          <w:rFonts w:ascii="Times New Roman" w:eastAsia="Times New Roman" w:hAnsi="Times New Roman" w:cs="Times New Roman"/>
        </w:rPr>
        <w:t>. Philippine Journal of Economics, 40(2), 112-130.</w:t>
      </w:r>
    </w:p>
    <w:p w14:paraId="75C49841" w14:textId="77777777" w:rsidR="00955283" w:rsidRDefault="00000000">
      <w:pPr>
        <w:spacing w:line="278"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[7] </w:t>
      </w:r>
      <w:proofErr w:type="spellStart"/>
      <w:r>
        <w:rPr>
          <w:rFonts w:ascii="Times New Roman" w:eastAsia="Times New Roman" w:hAnsi="Times New Roman" w:cs="Times New Roman"/>
        </w:rPr>
        <w:t>Etikan</w:t>
      </w:r>
      <w:proofErr w:type="spellEnd"/>
      <w:r>
        <w:rPr>
          <w:rFonts w:ascii="Times New Roman" w:eastAsia="Times New Roman" w:hAnsi="Times New Roman" w:cs="Times New Roman"/>
        </w:rPr>
        <w:t xml:space="preserve">, I., Musa, S. A., &amp; </w:t>
      </w:r>
      <w:proofErr w:type="spellStart"/>
      <w:r>
        <w:rPr>
          <w:rFonts w:ascii="Times New Roman" w:eastAsia="Times New Roman" w:hAnsi="Times New Roman" w:cs="Times New Roman"/>
        </w:rPr>
        <w:t>Alkassim</w:t>
      </w:r>
      <w:proofErr w:type="spellEnd"/>
      <w:r>
        <w:rPr>
          <w:rFonts w:ascii="Times New Roman" w:eastAsia="Times New Roman" w:hAnsi="Times New Roman" w:cs="Times New Roman"/>
        </w:rPr>
        <w:t xml:space="preserve">, R. S. (2016). Comparison of convenience sampling and purposive sampling. </w:t>
      </w:r>
      <w:r>
        <w:rPr>
          <w:rFonts w:ascii="Times New Roman" w:eastAsia="Times New Roman" w:hAnsi="Times New Roman" w:cs="Times New Roman"/>
          <w:i/>
        </w:rPr>
        <w:t>American Journal of Theoretical and Applied Statistics</w:t>
      </w:r>
      <w:r>
        <w:rPr>
          <w:rFonts w:ascii="Times New Roman" w:eastAsia="Times New Roman" w:hAnsi="Times New Roman" w:cs="Times New Roman"/>
        </w:rPr>
        <w:t>, 5(1), 1-4.</w:t>
      </w:r>
    </w:p>
    <w:p w14:paraId="1211EF13" w14:textId="77777777" w:rsidR="00955283" w:rsidRDefault="00000000">
      <w:pPr>
        <w:spacing w:line="278" w:lineRule="auto"/>
        <w:jc w:val="both"/>
        <w:rPr>
          <w:rFonts w:ascii="Times New Roman" w:eastAsia="Times New Roman" w:hAnsi="Times New Roman" w:cs="Times New Roman"/>
        </w:rPr>
      </w:pPr>
      <w:r>
        <w:rPr>
          <w:rFonts w:ascii="Times New Roman" w:eastAsia="Times New Roman" w:hAnsi="Times New Roman" w:cs="Times New Roman"/>
          <w:highlight w:val="white"/>
        </w:rPr>
        <w:t>[8] Eunson, J., Murray, L., Graham, H., Malloch, M., &amp; McIvor, G. (2018). Review of the Aberdeen problem solving approach.</w:t>
      </w:r>
    </w:p>
    <w:p w14:paraId="550D7050"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[8] </w:t>
      </w:r>
      <w:r>
        <w:rPr>
          <w:rFonts w:ascii="Times New Roman" w:eastAsia="Times New Roman" w:hAnsi="Times New Roman" w:cs="Times New Roman"/>
        </w:rPr>
        <w:t xml:space="preserve">Firdaus, E.M, </w:t>
      </w:r>
      <w:proofErr w:type="spellStart"/>
      <w:r>
        <w:rPr>
          <w:rFonts w:ascii="Times New Roman" w:eastAsia="Times New Roman" w:hAnsi="Times New Roman" w:cs="Times New Roman"/>
        </w:rPr>
        <w:t>Asandhimitra</w:t>
      </w:r>
      <w:proofErr w:type="spellEnd"/>
      <w:r>
        <w:rPr>
          <w:rFonts w:ascii="Times New Roman" w:eastAsia="Times New Roman" w:hAnsi="Times New Roman" w:cs="Times New Roman"/>
        </w:rPr>
        <w:t xml:space="preserve">, N. (2024). Factors Influencing Gen Z Saving Behavior in Surabaya: Moderating Each with Attitude Toward Saving. Retrieved from </w:t>
      </w:r>
      <w:hyperlink r:id="rId8">
        <w:r w:rsidR="00955283">
          <w:rPr>
            <w:rFonts w:ascii="Times New Roman" w:eastAsia="Times New Roman" w:hAnsi="Times New Roman" w:cs="Times New Roman"/>
          </w:rPr>
          <w:t>https://dx.doi.org/10.18415/ijmmu.v11i9.6039</w:t>
        </w:r>
      </w:hyperlink>
      <w:r>
        <w:rPr>
          <w:rFonts w:ascii="Times New Roman" w:eastAsia="Times New Roman" w:hAnsi="Times New Roman" w:cs="Times New Roman"/>
        </w:rPr>
        <w:t>.</w:t>
      </w:r>
    </w:p>
    <w:p w14:paraId="7F9A80AE" w14:textId="77777777" w:rsidR="00955283" w:rsidRDefault="00955283">
      <w:pPr>
        <w:spacing w:after="0" w:line="240" w:lineRule="auto"/>
        <w:jc w:val="both"/>
        <w:rPr>
          <w:rFonts w:ascii="Times New Roman" w:eastAsia="Times New Roman" w:hAnsi="Times New Roman" w:cs="Times New Roman"/>
        </w:rPr>
      </w:pPr>
    </w:p>
    <w:p w14:paraId="65478852" w14:textId="77777777" w:rsidR="00955283" w:rsidRDefault="00000000">
      <w:pPr>
        <w:spacing w:line="278"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[9] </w:t>
      </w:r>
      <w:r>
        <w:rPr>
          <w:rFonts w:ascii="Times New Roman" w:eastAsia="Times New Roman" w:hAnsi="Times New Roman" w:cs="Times New Roman"/>
        </w:rPr>
        <w:t xml:space="preserve">Gonzales, F., &amp; Martinez, L. (2022). </w:t>
      </w:r>
      <w:r>
        <w:rPr>
          <w:rFonts w:ascii="Times New Roman" w:eastAsia="Times New Roman" w:hAnsi="Times New Roman" w:cs="Times New Roman"/>
          <w:i/>
        </w:rPr>
        <w:t>Exploring millennials' investment patterns: The role of financial knowledge and social media</w:t>
      </w:r>
      <w:r>
        <w:rPr>
          <w:rFonts w:ascii="Times New Roman" w:eastAsia="Times New Roman" w:hAnsi="Times New Roman" w:cs="Times New Roman"/>
        </w:rPr>
        <w:t>. Journal of Behavioral Finance, 14(4), 56-72.</w:t>
      </w:r>
    </w:p>
    <w:p w14:paraId="0445AE66" w14:textId="77777777" w:rsidR="00955283"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[10] </w:t>
      </w:r>
      <w:r>
        <w:rPr>
          <w:rFonts w:ascii="Times New Roman" w:eastAsia="Times New Roman" w:hAnsi="Times New Roman" w:cs="Times New Roman"/>
        </w:rPr>
        <w:t>Lambert, J.C., Jusoh, Z., Rahim, H. &amp;  Zainudin, N. (2023). Factors Affecting Financial Well-being of Millennials: A Systematic Review. Retrieved from</w:t>
      </w:r>
      <w:r>
        <w:rPr>
          <w:rFonts w:ascii="Times New Roman" w:eastAsia="Times New Roman" w:hAnsi="Times New Roman" w:cs="Times New Roman"/>
          <w:color w:val="222222"/>
        </w:rPr>
        <w:t xml:space="preserve"> </w:t>
      </w:r>
      <w:hyperlink r:id="rId9">
        <w:r w:rsidR="00955283">
          <w:rPr>
            <w:rFonts w:ascii="Times New Roman" w:eastAsia="Times New Roman" w:hAnsi="Times New Roman" w:cs="Times New Roman"/>
            <w:color w:val="222222"/>
            <w:highlight w:val="white"/>
          </w:rPr>
          <w:t>https://doi.org/10.22610/imbr.v15i2(I)SI.342</w:t>
        </w:r>
      </w:hyperlink>
      <w:r>
        <w:rPr>
          <w:rFonts w:ascii="Times New Roman" w:eastAsia="Times New Roman" w:hAnsi="Times New Roman" w:cs="Times New Roman"/>
          <w:color w:val="222222"/>
        </w:rPr>
        <w:t xml:space="preserve">4 </w:t>
      </w:r>
      <w:r>
        <w:rPr>
          <w:rFonts w:ascii="Times New Roman" w:eastAsia="Times New Roman" w:hAnsi="Times New Roman" w:cs="Times New Roman"/>
        </w:rPr>
        <w:t>​​</w:t>
      </w:r>
    </w:p>
    <w:p w14:paraId="00403528" w14:textId="77777777" w:rsidR="00955283" w:rsidRDefault="00000000">
      <w:pPr>
        <w:spacing w:line="278" w:lineRule="auto"/>
        <w:jc w:val="both"/>
        <w:rPr>
          <w:rFonts w:ascii="Times New Roman" w:eastAsia="Times New Roman" w:hAnsi="Times New Roman" w:cs="Times New Roman"/>
          <w:highlight w:val="white"/>
        </w:rPr>
      </w:pPr>
      <w:r>
        <w:rPr>
          <w:rFonts w:ascii="Times New Roman" w:eastAsia="Times New Roman" w:hAnsi="Times New Roman" w:cs="Times New Roman"/>
        </w:rPr>
        <w:t xml:space="preserve">Santiago, D. (2021). </w:t>
      </w:r>
      <w:r>
        <w:rPr>
          <w:rFonts w:ascii="Times New Roman" w:eastAsia="Times New Roman" w:hAnsi="Times New Roman" w:cs="Times New Roman"/>
          <w:i/>
        </w:rPr>
        <w:t>Millennials and financial planning: Challenges and opportunities in the Philippine context</w:t>
      </w:r>
      <w:r>
        <w:rPr>
          <w:rFonts w:ascii="Times New Roman" w:eastAsia="Times New Roman" w:hAnsi="Times New Roman" w:cs="Times New Roman"/>
        </w:rPr>
        <w:t>. Asian Economic Review, 32(3), 50-64.</w:t>
      </w:r>
    </w:p>
    <w:p w14:paraId="3A43F88D" w14:textId="77777777" w:rsidR="00955283" w:rsidRDefault="00000000">
      <w:pPr>
        <w:spacing w:line="278"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[11] Moises Jr, C. (2020). Online data collection as adaptation in conducting quantitative and qualitative research during the COVID-19 pandemic. </w:t>
      </w:r>
      <w:r>
        <w:rPr>
          <w:rFonts w:ascii="Times New Roman" w:eastAsia="Times New Roman" w:hAnsi="Times New Roman" w:cs="Times New Roman"/>
          <w:i/>
          <w:highlight w:val="white"/>
        </w:rPr>
        <w:t>European Journal of Education Studies</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7</w:t>
      </w:r>
      <w:r>
        <w:rPr>
          <w:rFonts w:ascii="Times New Roman" w:eastAsia="Times New Roman" w:hAnsi="Times New Roman" w:cs="Times New Roman"/>
          <w:highlight w:val="white"/>
        </w:rPr>
        <w:t>(11).</w:t>
      </w:r>
    </w:p>
    <w:p w14:paraId="5CA31BD4" w14:textId="77777777" w:rsidR="00955283" w:rsidRDefault="00000000">
      <w:pPr>
        <w:spacing w:line="278"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[12] </w:t>
      </w:r>
      <w:r>
        <w:rPr>
          <w:rFonts w:ascii="Times New Roman" w:eastAsia="Times New Roman" w:hAnsi="Times New Roman" w:cs="Times New Roman"/>
        </w:rPr>
        <w:t xml:space="preserve">Sürücü, L., </w:t>
      </w:r>
      <w:proofErr w:type="spellStart"/>
      <w:r>
        <w:rPr>
          <w:rFonts w:ascii="Times New Roman" w:eastAsia="Times New Roman" w:hAnsi="Times New Roman" w:cs="Times New Roman"/>
        </w:rPr>
        <w:t>Yıkılmaz</w:t>
      </w:r>
      <w:proofErr w:type="spellEnd"/>
      <w:r>
        <w:rPr>
          <w:rFonts w:ascii="Times New Roman" w:eastAsia="Times New Roman" w:hAnsi="Times New Roman" w:cs="Times New Roman"/>
        </w:rPr>
        <w:t xml:space="preserve">, İ., &amp; </w:t>
      </w:r>
      <w:proofErr w:type="spellStart"/>
      <w:r>
        <w:rPr>
          <w:rFonts w:ascii="Times New Roman" w:eastAsia="Times New Roman" w:hAnsi="Times New Roman" w:cs="Times New Roman"/>
        </w:rPr>
        <w:t>Maşlakçı</w:t>
      </w:r>
      <w:proofErr w:type="spellEnd"/>
      <w:r>
        <w:rPr>
          <w:rFonts w:ascii="Times New Roman" w:eastAsia="Times New Roman" w:hAnsi="Times New Roman" w:cs="Times New Roman"/>
        </w:rPr>
        <w:t xml:space="preserve">, A. (2022). Exploratory factor analysis (EFA) in quantitative researches and practical considerations. </w:t>
      </w:r>
      <w:proofErr w:type="spellStart"/>
      <w:r>
        <w:rPr>
          <w:rFonts w:ascii="Times New Roman" w:eastAsia="Times New Roman" w:hAnsi="Times New Roman" w:cs="Times New Roman"/>
        </w:rPr>
        <w:t>Gümüşhane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Üniversitesi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Sağlık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Bilimleri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Dergisi</w:t>
      </w:r>
      <w:proofErr w:type="spellEnd"/>
      <w:r>
        <w:rPr>
          <w:rFonts w:ascii="Times New Roman" w:eastAsia="Times New Roman" w:hAnsi="Times New Roman" w:cs="Times New Roman"/>
        </w:rPr>
        <w:t>, 13(2), 947-965.</w:t>
      </w:r>
    </w:p>
    <w:p w14:paraId="786F7DBC" w14:textId="77777777" w:rsidR="00955283" w:rsidRDefault="00000000">
      <w:pPr>
        <w:spacing w:line="278"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[13] </w:t>
      </w:r>
      <w:r>
        <w:rPr>
          <w:rFonts w:ascii="Times New Roman" w:eastAsia="Times New Roman" w:hAnsi="Times New Roman" w:cs="Times New Roman"/>
        </w:rPr>
        <w:t xml:space="preserve">Teodoro, M. (2020). </w:t>
      </w:r>
      <w:r>
        <w:rPr>
          <w:rFonts w:ascii="Times New Roman" w:eastAsia="Times New Roman" w:hAnsi="Times New Roman" w:cs="Times New Roman"/>
          <w:i/>
        </w:rPr>
        <w:t>Rethinking financial inclusion: The rise of millennial investors in the Philippines</w:t>
      </w:r>
      <w:r>
        <w:rPr>
          <w:rFonts w:ascii="Times New Roman" w:eastAsia="Times New Roman" w:hAnsi="Times New Roman" w:cs="Times New Roman"/>
        </w:rPr>
        <w:t>. Philippine Financial Review, 29(1), 23-39.</w:t>
      </w:r>
    </w:p>
    <w:p w14:paraId="6837A0D0" w14:textId="77777777" w:rsidR="00955283" w:rsidRDefault="00955283">
      <w:pPr>
        <w:spacing w:line="278" w:lineRule="auto"/>
        <w:jc w:val="both"/>
        <w:rPr>
          <w:rFonts w:ascii="Times New Roman" w:eastAsia="Times New Roman" w:hAnsi="Times New Roman" w:cs="Times New Roman"/>
        </w:rPr>
      </w:pPr>
    </w:p>
    <w:p w14:paraId="39212DA5" w14:textId="77777777" w:rsidR="00955283" w:rsidRDefault="00955283">
      <w:pPr>
        <w:pBdr>
          <w:top w:val="nil"/>
          <w:left w:val="nil"/>
          <w:bottom w:val="nil"/>
          <w:right w:val="nil"/>
          <w:between w:val="nil"/>
        </w:pBdr>
        <w:spacing w:after="0" w:line="240" w:lineRule="auto"/>
        <w:jc w:val="both"/>
        <w:rPr>
          <w:rFonts w:ascii="Times New Roman" w:eastAsia="Times New Roman" w:hAnsi="Times New Roman" w:cs="Times New Roman"/>
        </w:rPr>
      </w:pPr>
    </w:p>
    <w:p w14:paraId="48E0E3DD" w14:textId="77777777" w:rsidR="00955283" w:rsidRDefault="00955283">
      <w:pPr>
        <w:pBdr>
          <w:top w:val="nil"/>
          <w:left w:val="nil"/>
          <w:bottom w:val="nil"/>
          <w:right w:val="nil"/>
          <w:between w:val="nil"/>
        </w:pBdr>
        <w:spacing w:after="0" w:line="240" w:lineRule="auto"/>
        <w:jc w:val="both"/>
        <w:rPr>
          <w:rFonts w:ascii="Times New Roman" w:eastAsia="Times New Roman" w:hAnsi="Times New Roman" w:cs="Times New Roman"/>
        </w:rPr>
      </w:pPr>
    </w:p>
    <w:p w14:paraId="769275B7" w14:textId="77777777" w:rsidR="00955283" w:rsidRDefault="0095528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6BBAE4EA" w14:textId="77777777" w:rsidR="00955283" w:rsidRDefault="00955283">
      <w:pPr>
        <w:spacing w:after="0" w:line="240" w:lineRule="auto"/>
        <w:jc w:val="both"/>
        <w:rPr>
          <w:rFonts w:ascii="Times New Roman" w:eastAsia="Times New Roman" w:hAnsi="Times New Roman" w:cs="Times New Roman"/>
          <w:color w:val="FF0000"/>
          <w:u w:val="single"/>
        </w:rPr>
      </w:pPr>
    </w:p>
    <w:p w14:paraId="7BECD360" w14:textId="77777777" w:rsidR="00955283" w:rsidRDefault="00955283">
      <w:pPr>
        <w:spacing w:after="0" w:line="240" w:lineRule="auto"/>
        <w:jc w:val="both"/>
        <w:rPr>
          <w:rFonts w:ascii="Times New Roman" w:eastAsia="Times New Roman" w:hAnsi="Times New Roman" w:cs="Times New Roman"/>
          <w:color w:val="FF0000"/>
        </w:rPr>
      </w:pPr>
    </w:p>
    <w:p w14:paraId="4775F925" w14:textId="77777777" w:rsidR="00955283" w:rsidRDefault="00955283">
      <w:pPr>
        <w:spacing w:after="0" w:line="240" w:lineRule="auto"/>
        <w:rPr>
          <w:rFonts w:ascii="Times New Roman" w:eastAsia="Times New Roman" w:hAnsi="Times New Roman" w:cs="Times New Roman"/>
        </w:rPr>
      </w:pPr>
    </w:p>
    <w:sectPr w:rsidR="00955283">
      <w:footerReference w:type="default" r:id="rId10"/>
      <w:pgSz w:w="11906" w:h="16838"/>
      <w:pgMar w:top="1440" w:right="1440" w:bottom="1440" w:left="1440" w:header="708"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4A664" w14:textId="77777777" w:rsidR="003A7CA4" w:rsidRDefault="003A7CA4">
      <w:pPr>
        <w:spacing w:after="0" w:line="240" w:lineRule="auto"/>
      </w:pPr>
      <w:r>
        <w:separator/>
      </w:r>
    </w:p>
  </w:endnote>
  <w:endnote w:type="continuationSeparator" w:id="0">
    <w:p w14:paraId="160C7664" w14:textId="77777777" w:rsidR="003A7CA4" w:rsidRDefault="003A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AA745" w14:textId="77777777" w:rsidR="00955283" w:rsidRDefault="00000000">
    <w:pPr>
      <w:pBdr>
        <w:top w:val="nil"/>
        <w:left w:val="nil"/>
        <w:bottom w:val="nil"/>
        <w:right w:val="nil"/>
        <w:between w:val="nil"/>
      </w:pBdr>
      <w:tabs>
        <w:tab w:val="center" w:pos="4680"/>
        <w:tab w:val="right" w:pos="9360"/>
      </w:tabs>
      <w:spacing w:after="0" w:line="240" w:lineRule="auto"/>
      <w:ind w:right="-693"/>
      <w:jc w:val="right"/>
      <w:rPr>
        <w:b/>
        <w:color w:val="000000"/>
      </w:rPr>
    </w:pPr>
    <w:r>
      <w:rPr>
        <w:rFonts w:ascii="Times New Roman" w:eastAsia="Times New Roman" w:hAnsi="Times New Roman" w:cs="Times New Roman"/>
        <w:b/>
        <w:color w:val="000000"/>
        <w:sz w:val="20"/>
        <w:szCs w:val="20"/>
      </w:rPr>
      <w:t>Modified Pag-</w:t>
    </w:r>
    <w:proofErr w:type="spellStart"/>
    <w:r>
      <w:rPr>
        <w:rFonts w:ascii="Times New Roman" w:eastAsia="Times New Roman" w:hAnsi="Times New Roman" w:cs="Times New Roman"/>
        <w:b/>
        <w:color w:val="000000"/>
        <w:sz w:val="20"/>
        <w:szCs w:val="20"/>
      </w:rPr>
      <w:t>ibig</w:t>
    </w:r>
    <w:proofErr w:type="spellEnd"/>
    <w:r>
      <w:rPr>
        <w:rFonts w:ascii="Times New Roman" w:eastAsia="Times New Roman" w:hAnsi="Times New Roman" w:cs="Times New Roman"/>
        <w:b/>
        <w:color w:val="000000"/>
        <w:sz w:val="20"/>
        <w:szCs w:val="20"/>
      </w:rPr>
      <w:t xml:space="preserve"> II (MP2) Investment Framework Among Millennial</w:t>
    </w:r>
    <w:r>
      <w:rPr>
        <w:color w:val="000000"/>
        <w:sz w:val="20"/>
        <w:szCs w:val="20"/>
      </w:rPr>
      <w:t xml:space="preserve"> </w:t>
    </w:r>
    <w:r>
      <w:rPr>
        <w:rFonts w:ascii="Arial" w:eastAsia="Arial" w:hAnsi="Arial" w:cs="Arial"/>
        <w:color w:val="4D5156"/>
        <w:sz w:val="21"/>
        <w:szCs w:val="21"/>
        <w:highlight w:val="white"/>
      </w:rPr>
      <w:t>│</w:t>
    </w:r>
    <w:r>
      <w:rPr>
        <w:color w:val="000000"/>
      </w:rPr>
      <w:t xml:space="preserve"> </w:t>
    </w:r>
    <w:r>
      <w:rPr>
        <w:color w:val="000000"/>
        <w:sz w:val="20"/>
        <w:szCs w:val="20"/>
      </w:rPr>
      <w:t xml:space="preserve">Page </w:t>
    </w:r>
    <w:r>
      <w:rPr>
        <w:b/>
        <w:color w:val="000000"/>
      </w:rPr>
      <w:fldChar w:fldCharType="begin"/>
    </w:r>
    <w:r>
      <w:rPr>
        <w:b/>
        <w:color w:val="000000"/>
      </w:rPr>
      <w:instrText>PAGE</w:instrText>
    </w:r>
    <w:r>
      <w:rPr>
        <w:b/>
        <w:color w:val="000000"/>
      </w:rPr>
      <w:fldChar w:fldCharType="separate"/>
    </w:r>
    <w:r w:rsidR="006722DD">
      <w:rPr>
        <w:b/>
        <w:noProof/>
        <w:color w:val="000000"/>
      </w:rPr>
      <w:t>1</w:t>
    </w:r>
    <w:r>
      <w:rPr>
        <w:b/>
        <w:color w:val="000000"/>
      </w:rPr>
      <w:fldChar w:fldCharType="end"/>
    </w:r>
    <w:r>
      <w:rPr>
        <w:color w:val="000000"/>
        <w:sz w:val="20"/>
        <w:szCs w:val="20"/>
      </w:rPr>
      <w:t xml:space="preserve"> of </w:t>
    </w:r>
    <w:r>
      <w:rPr>
        <w:b/>
        <w:color w:val="000000"/>
      </w:rPr>
      <w:fldChar w:fldCharType="begin"/>
    </w:r>
    <w:r>
      <w:rPr>
        <w:b/>
        <w:color w:val="000000"/>
      </w:rPr>
      <w:instrText>NUMPAGES</w:instrText>
    </w:r>
    <w:r>
      <w:rPr>
        <w:b/>
        <w:color w:val="000000"/>
      </w:rPr>
      <w:fldChar w:fldCharType="separate"/>
    </w:r>
    <w:r w:rsidR="006722DD">
      <w:rPr>
        <w:b/>
        <w:noProof/>
        <w:color w:val="000000"/>
      </w:rPr>
      <w:t>2</w:t>
    </w:r>
    <w:r>
      <w:rPr>
        <w:b/>
        <w:color w:val="000000"/>
      </w:rPr>
      <w:fldChar w:fldCharType="end"/>
    </w:r>
    <w:r>
      <w:rPr>
        <w:b/>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1638A" w14:textId="77777777" w:rsidR="003A7CA4" w:rsidRDefault="003A7CA4">
      <w:pPr>
        <w:spacing w:after="0" w:line="240" w:lineRule="auto"/>
      </w:pPr>
      <w:r>
        <w:separator/>
      </w:r>
    </w:p>
  </w:footnote>
  <w:footnote w:type="continuationSeparator" w:id="0">
    <w:p w14:paraId="25794437" w14:textId="77777777" w:rsidR="003A7CA4" w:rsidRDefault="003A7C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283"/>
    <w:rsid w:val="00252943"/>
    <w:rsid w:val="003877CF"/>
    <w:rsid w:val="003A7CA4"/>
    <w:rsid w:val="00431965"/>
    <w:rsid w:val="006722DD"/>
    <w:rsid w:val="007F5687"/>
    <w:rsid w:val="00886BC8"/>
    <w:rsid w:val="00955283"/>
    <w:rsid w:val="00DF4B1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7991"/>
  <w15:docId w15:val="{E99C1083-7E5B-E745-A632-D671076D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x.doi.org/10.18415/ijmmu.v11i9.6039"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22610/imbr.v15i2(I)SI.3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4496</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DOST Davao</cp:lastModifiedBy>
  <cp:revision>5</cp:revision>
  <cp:lastPrinted>2024-12-09T09:50:00Z</cp:lastPrinted>
  <dcterms:created xsi:type="dcterms:W3CDTF">2024-12-03T13:01:00Z</dcterms:created>
  <dcterms:modified xsi:type="dcterms:W3CDTF">2024-12-09T09:51:00Z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69262b9c-873f-43b1-805f-efa76e4f655d</vt:lpwstr>
  </property>
</Properties>
</file>