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69F2E" w14:textId="77777777" w:rsidR="00641A36" w:rsidRDefault="00000000">
      <w:pPr>
        <w:spacing w:after="19" w:line="266" w:lineRule="auto"/>
        <w:ind w:left="-5"/>
      </w:pPr>
      <w:r>
        <w:rPr>
          <w:b/>
          <w:sz w:val="46"/>
        </w:rPr>
        <w:t xml:space="preserve">Teaching Methodologies for English </w:t>
      </w:r>
    </w:p>
    <w:p w14:paraId="50956E4B" w14:textId="77777777" w:rsidR="00641A36" w:rsidRDefault="00000000">
      <w:pPr>
        <w:spacing w:after="19" w:line="266" w:lineRule="auto"/>
        <w:ind w:left="-5"/>
      </w:pPr>
      <w:r>
        <w:rPr>
          <w:b/>
          <w:sz w:val="46"/>
        </w:rPr>
        <w:t xml:space="preserve">Language: A Survey-Based Analysis of </w:t>
      </w:r>
    </w:p>
    <w:p w14:paraId="0FB51122" w14:textId="77777777" w:rsidR="00641A36" w:rsidRDefault="00000000">
      <w:pPr>
        <w:spacing w:after="69" w:line="266" w:lineRule="auto"/>
        <w:ind w:left="-5"/>
      </w:pPr>
      <w:r>
        <w:rPr>
          <w:b/>
          <w:sz w:val="46"/>
        </w:rPr>
        <w:t xml:space="preserve">Interaction Challenges and Engagement Strategies </w:t>
      </w:r>
    </w:p>
    <w:p w14:paraId="305F0FAF" w14:textId="77777777" w:rsidR="00641A36" w:rsidRDefault="00000000">
      <w:pPr>
        <w:spacing w:after="19" w:line="259" w:lineRule="auto"/>
        <w:ind w:left="-5"/>
      </w:pPr>
      <w:r>
        <w:rPr>
          <w:b/>
          <w:sz w:val="26"/>
        </w:rPr>
        <w:t xml:space="preserve">Aswanrajakrishna S </w:t>
      </w:r>
      <w:proofErr w:type="spellStart"/>
      <w:r>
        <w:rPr>
          <w:b/>
          <w:sz w:val="26"/>
        </w:rPr>
        <w:t>S</w:t>
      </w:r>
      <w:proofErr w:type="spellEnd"/>
      <w:r>
        <w:rPr>
          <w:b/>
          <w:sz w:val="26"/>
        </w:rPr>
        <w:t xml:space="preserve"> </w:t>
      </w:r>
    </w:p>
    <w:p w14:paraId="49E9673E" w14:textId="77777777" w:rsidR="00641A36" w:rsidRDefault="00000000">
      <w:pPr>
        <w:spacing w:after="11"/>
        <w:ind w:left="-5"/>
      </w:pPr>
      <w:r>
        <w:rPr>
          <w:sz w:val="26"/>
        </w:rPr>
        <w:t xml:space="preserve">School of Computer Science and Engineering </w:t>
      </w:r>
    </w:p>
    <w:p w14:paraId="1A2A97FB" w14:textId="77777777" w:rsidR="00641A36" w:rsidRDefault="00000000">
      <w:pPr>
        <w:spacing w:after="253"/>
        <w:ind w:left="-5"/>
      </w:pPr>
      <w:r>
        <w:rPr>
          <w:sz w:val="26"/>
        </w:rPr>
        <w:t xml:space="preserve">Vellore Institute of Technology, Vellore-632 014, Tamil Nadu, S. India </w:t>
      </w:r>
    </w:p>
    <w:p w14:paraId="6F154595" w14:textId="77777777" w:rsidR="00641A36" w:rsidRDefault="00000000">
      <w:pPr>
        <w:spacing w:after="19" w:line="259" w:lineRule="auto"/>
        <w:ind w:left="-5"/>
      </w:pPr>
      <w:r>
        <w:rPr>
          <w:b/>
          <w:sz w:val="26"/>
        </w:rPr>
        <w:t xml:space="preserve">Prof. G. Anburaj </w:t>
      </w:r>
    </w:p>
    <w:p w14:paraId="1E1B5752" w14:textId="77777777" w:rsidR="00641A36" w:rsidRDefault="00000000">
      <w:pPr>
        <w:spacing w:after="11"/>
        <w:ind w:left="-5"/>
      </w:pPr>
      <w:r>
        <w:rPr>
          <w:sz w:val="26"/>
        </w:rPr>
        <w:t xml:space="preserve">Assistant Professor of English </w:t>
      </w:r>
    </w:p>
    <w:p w14:paraId="19F1B7BD" w14:textId="77777777" w:rsidR="00641A36" w:rsidRDefault="00000000">
      <w:pPr>
        <w:spacing w:after="215"/>
        <w:ind w:left="-5"/>
      </w:pPr>
      <w:r>
        <w:rPr>
          <w:sz w:val="26"/>
        </w:rPr>
        <w:t xml:space="preserve">Vellore Institute of Technology, Vellore-632 014, Tamil Nadu, S. India. anburaj.g@vit.ac.in </w:t>
      </w:r>
    </w:p>
    <w:p w14:paraId="6922840E" w14:textId="77777777" w:rsidR="00641A36" w:rsidRDefault="00000000">
      <w:pPr>
        <w:spacing w:after="485" w:line="259" w:lineRule="auto"/>
        <w:ind w:left="0" w:firstLine="0"/>
      </w:pPr>
      <w:r>
        <w:t xml:space="preserve"> </w:t>
      </w:r>
    </w:p>
    <w:p w14:paraId="6C310857" w14:textId="77777777" w:rsidR="00641A36" w:rsidRDefault="00000000">
      <w:pPr>
        <w:pStyle w:val="Heading1"/>
        <w:spacing w:after="154"/>
        <w:ind w:left="-5"/>
      </w:pPr>
      <w:r>
        <w:t xml:space="preserve">Abstract </w:t>
      </w:r>
    </w:p>
    <w:p w14:paraId="3019EA17" w14:textId="77777777" w:rsidR="00641A36" w:rsidRDefault="00000000">
      <w:pPr>
        <w:spacing w:after="245"/>
        <w:ind w:right="43"/>
      </w:pPr>
      <w:proofErr w:type="gramStart"/>
      <w:r>
        <w:t>In order to</w:t>
      </w:r>
      <w:proofErr w:type="gramEnd"/>
      <w:r>
        <w:t xml:space="preserve"> improve interaction and participation in English language classes, this article investigates several teaching approaches. We </w:t>
      </w:r>
      <w:proofErr w:type="spellStart"/>
      <w:r>
        <w:t>analyze</w:t>
      </w:r>
      <w:proofErr w:type="spellEnd"/>
      <w:r>
        <w:t xml:space="preserve"> 101 students' responses to a survey on their preferences for classroom activities, perceived obstacles to interaction, and ideas for enhancement. While psychological obstacles like shyness and a fear of making mistakes affect involvement, research indicates that activities like group talks, practice conversations in real life, and interactive games increase engagement. These findings point to topics for further study on flexible and inclusive teaching strategies and offer guidance to educators looking to maximize their methods. </w:t>
      </w:r>
    </w:p>
    <w:p w14:paraId="6D365130" w14:textId="77777777" w:rsidR="00641A36" w:rsidRDefault="00000000">
      <w:pPr>
        <w:spacing w:after="291"/>
        <w:ind w:right="43"/>
      </w:pPr>
      <w:r>
        <w:rPr>
          <w:b/>
        </w:rPr>
        <w:t>Keywords</w:t>
      </w:r>
      <w:r>
        <w:t xml:space="preserve">: Teaching methodologies, English language learning, student engagement, interaction challenges, survey analysis, instructional techniques </w:t>
      </w:r>
    </w:p>
    <w:p w14:paraId="57D5A0A9" w14:textId="77777777" w:rsidR="00641A36" w:rsidRDefault="00000000">
      <w:pPr>
        <w:spacing w:after="439" w:line="259" w:lineRule="auto"/>
        <w:ind w:left="0" w:firstLine="0"/>
        <w:jc w:val="right"/>
      </w:pPr>
      <w:r>
        <w:rPr>
          <w:rFonts w:ascii="Calibri" w:eastAsia="Calibri" w:hAnsi="Calibri" w:cs="Calibri"/>
          <w:noProof/>
        </w:rPr>
        <mc:AlternateContent>
          <mc:Choice Requires="wpg">
            <w:drawing>
              <wp:inline distT="0" distB="0" distL="0" distR="0" wp14:anchorId="4619CCAF" wp14:editId="66CE1F87">
                <wp:extent cx="5734558" cy="20955"/>
                <wp:effectExtent l="0" t="0" r="0" b="0"/>
                <wp:docPr id="7291" name="Group 7291"/>
                <wp:cNvGraphicFramePr/>
                <a:graphic xmlns:a="http://schemas.openxmlformats.org/drawingml/2006/main">
                  <a:graphicData uri="http://schemas.microsoft.com/office/word/2010/wordprocessingGroup">
                    <wpg:wgp>
                      <wpg:cNvGrpSpPr/>
                      <wpg:grpSpPr>
                        <a:xfrm>
                          <a:off x="0" y="0"/>
                          <a:ext cx="5734558" cy="20955"/>
                          <a:chOff x="0" y="0"/>
                          <a:chExt cx="5734558" cy="20955"/>
                        </a:xfrm>
                      </wpg:grpSpPr>
                      <wps:wsp>
                        <wps:cNvPr id="8725" name="Shape 8725"/>
                        <wps:cNvSpPr/>
                        <wps:spPr>
                          <a:xfrm>
                            <a:off x="0" y="0"/>
                            <a:ext cx="5733415" cy="19685"/>
                          </a:xfrm>
                          <a:custGeom>
                            <a:avLst/>
                            <a:gdLst/>
                            <a:ahLst/>
                            <a:cxnLst/>
                            <a:rect l="0" t="0" r="0" b="0"/>
                            <a:pathLst>
                              <a:path w="5733415" h="19685">
                                <a:moveTo>
                                  <a:pt x="0" y="0"/>
                                </a:moveTo>
                                <a:lnTo>
                                  <a:pt x="5733415" y="0"/>
                                </a:lnTo>
                                <a:lnTo>
                                  <a:pt x="5733415"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26" name="Shape 8726"/>
                        <wps:cNvSpPr/>
                        <wps:spPr>
                          <a:xfrm>
                            <a:off x="305"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27" name="Shape 8727"/>
                        <wps:cNvSpPr/>
                        <wps:spPr>
                          <a:xfrm>
                            <a:off x="3353" y="1143"/>
                            <a:ext cx="5728081" cy="9144"/>
                          </a:xfrm>
                          <a:custGeom>
                            <a:avLst/>
                            <a:gdLst/>
                            <a:ahLst/>
                            <a:cxnLst/>
                            <a:rect l="0" t="0" r="0" b="0"/>
                            <a:pathLst>
                              <a:path w="5728081" h="9144">
                                <a:moveTo>
                                  <a:pt x="0" y="0"/>
                                </a:moveTo>
                                <a:lnTo>
                                  <a:pt x="5728081" y="0"/>
                                </a:lnTo>
                                <a:lnTo>
                                  <a:pt x="572808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28" name="Shape 8728"/>
                        <wps:cNvSpPr/>
                        <wps:spPr>
                          <a:xfrm>
                            <a:off x="5731510" y="11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29" name="Shape 8729"/>
                        <wps:cNvSpPr/>
                        <wps:spPr>
                          <a:xfrm>
                            <a:off x="305" y="419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30" name="Shape 8730"/>
                        <wps:cNvSpPr/>
                        <wps:spPr>
                          <a:xfrm>
                            <a:off x="5731510" y="4190"/>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31" name="Shape 8731"/>
                        <wps:cNvSpPr/>
                        <wps:spPr>
                          <a:xfrm>
                            <a:off x="305" y="179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32" name="Shape 8732"/>
                        <wps:cNvSpPr/>
                        <wps:spPr>
                          <a:xfrm>
                            <a:off x="3353" y="17907"/>
                            <a:ext cx="5728081" cy="9144"/>
                          </a:xfrm>
                          <a:custGeom>
                            <a:avLst/>
                            <a:gdLst/>
                            <a:ahLst/>
                            <a:cxnLst/>
                            <a:rect l="0" t="0" r="0" b="0"/>
                            <a:pathLst>
                              <a:path w="5728081" h="9144">
                                <a:moveTo>
                                  <a:pt x="0" y="0"/>
                                </a:moveTo>
                                <a:lnTo>
                                  <a:pt x="5728081" y="0"/>
                                </a:lnTo>
                                <a:lnTo>
                                  <a:pt x="572808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33" name="Shape 8733"/>
                        <wps:cNvSpPr/>
                        <wps:spPr>
                          <a:xfrm>
                            <a:off x="5731510" y="179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7291" style="width:451.54pt;height:1.64996pt;mso-position-horizontal-relative:char;mso-position-vertical-relative:line" coordsize="57345,209">
                <v:shape id="Shape 8734" style="position:absolute;width:57334;height:196;left:0;top:0;" coordsize="5733415,19685" path="m0,0l5733415,0l5733415,19685l0,19685l0,0">
                  <v:stroke weight="0pt" endcap="flat" joinstyle="miter" miterlimit="10" on="false" color="#000000" opacity="0"/>
                  <v:fill on="true" color="#a0a0a0"/>
                </v:shape>
                <v:shape id="Shape 8735" style="position:absolute;width:91;height:91;left:3;top:11;" coordsize="9144,9144" path="m0,0l9144,0l9144,9144l0,9144l0,0">
                  <v:stroke weight="0pt" endcap="flat" joinstyle="miter" miterlimit="10" on="false" color="#000000" opacity="0"/>
                  <v:fill on="true" color="#a0a0a0"/>
                </v:shape>
                <v:shape id="Shape 8736" style="position:absolute;width:57280;height:91;left:33;top:11;" coordsize="5728081,9144" path="m0,0l5728081,0l5728081,9144l0,9144l0,0">
                  <v:stroke weight="0pt" endcap="flat" joinstyle="miter" miterlimit="10" on="false" color="#000000" opacity="0"/>
                  <v:fill on="true" color="#a0a0a0"/>
                </v:shape>
                <v:shape id="Shape 8737" style="position:absolute;width:91;height:91;left:57315;top:11;" coordsize="9144,9144" path="m0,0l9144,0l9144,9144l0,9144l0,0">
                  <v:stroke weight="0pt" endcap="flat" joinstyle="miter" miterlimit="10" on="false" color="#000000" opacity="0"/>
                  <v:fill on="true" color="#a0a0a0"/>
                </v:shape>
                <v:shape id="Shape 8738" style="position:absolute;width:91;height:137;left:3;top:41;" coordsize="9144,13716" path="m0,0l9144,0l9144,13716l0,13716l0,0">
                  <v:stroke weight="0pt" endcap="flat" joinstyle="miter" miterlimit="10" on="false" color="#000000" opacity="0"/>
                  <v:fill on="true" color="#a0a0a0"/>
                </v:shape>
                <v:shape id="Shape 8739" style="position:absolute;width:91;height:137;left:57315;top:41;" coordsize="9144,13716" path="m0,0l9144,0l9144,13716l0,13716l0,0">
                  <v:stroke weight="0pt" endcap="flat" joinstyle="miter" miterlimit="10" on="false" color="#000000" opacity="0"/>
                  <v:fill on="true" color="#e3e3e3"/>
                </v:shape>
                <v:shape id="Shape 8740" style="position:absolute;width:91;height:91;left:3;top:179;" coordsize="9144,9144" path="m0,0l9144,0l9144,9144l0,9144l0,0">
                  <v:stroke weight="0pt" endcap="flat" joinstyle="miter" miterlimit="10" on="false" color="#000000" opacity="0"/>
                  <v:fill on="true" color="#e3e3e3"/>
                </v:shape>
                <v:shape id="Shape 8741" style="position:absolute;width:57280;height:91;left:33;top:179;" coordsize="5728081,9144" path="m0,0l5728081,0l5728081,9144l0,9144l0,0">
                  <v:stroke weight="0pt" endcap="flat" joinstyle="miter" miterlimit="10" on="false" color="#000000" opacity="0"/>
                  <v:fill on="true" color="#e3e3e3"/>
                </v:shape>
                <v:shape id="Shape 8742" style="position:absolute;width:91;height:91;left:57315;top:179;" coordsize="9144,9144" path="m0,0l9144,0l9144,9144l0,9144l0,0">
                  <v:stroke weight="0pt" endcap="flat" joinstyle="miter" miterlimit="10" on="false" color="#000000" opacity="0"/>
                  <v:fill on="true" color="#e3e3e3"/>
                </v:shape>
              </v:group>
            </w:pict>
          </mc:Fallback>
        </mc:AlternateContent>
      </w:r>
      <w:r>
        <w:t xml:space="preserve"> </w:t>
      </w:r>
    </w:p>
    <w:p w14:paraId="398167E9" w14:textId="77777777" w:rsidR="00641A36" w:rsidRDefault="00000000">
      <w:pPr>
        <w:pStyle w:val="Heading1"/>
        <w:ind w:left="-5"/>
      </w:pPr>
      <w:r>
        <w:t xml:space="preserve">1. Introduction </w:t>
      </w:r>
    </w:p>
    <w:p w14:paraId="347C1A6E" w14:textId="77777777" w:rsidR="00641A36" w:rsidRDefault="00000000">
      <w:pPr>
        <w:spacing w:after="53"/>
        <w:ind w:right="43"/>
      </w:pPr>
      <w:proofErr w:type="gramStart"/>
      <w:r>
        <w:t>In order to</w:t>
      </w:r>
      <w:proofErr w:type="gramEnd"/>
      <w:r>
        <w:t xml:space="preserve"> improve fluency, comprehension, and confidence in the context of English language instruction, interaction between students and teachers is crucial. Studies indicate that instructional strategies that promote engagement can improve language learning results. However, a lot of students struggle with interaction because they are shy or afraid of making mistakes. With the intention of educating educators on methods to establish more inclusive and stimulating learning environments, this article attempts to identify the most popular instructional activities and the primary barriers to involvement.  </w:t>
      </w:r>
    </w:p>
    <w:p w14:paraId="180EBE10" w14:textId="77777777" w:rsidR="00641A36" w:rsidRDefault="00000000">
      <w:pPr>
        <w:spacing w:after="0" w:line="259" w:lineRule="auto"/>
        <w:ind w:left="0" w:firstLine="0"/>
        <w:jc w:val="right"/>
      </w:pPr>
      <w:r>
        <w:rPr>
          <w:rFonts w:ascii="Calibri" w:eastAsia="Calibri" w:hAnsi="Calibri" w:cs="Calibri"/>
          <w:noProof/>
        </w:rPr>
        <mc:AlternateContent>
          <mc:Choice Requires="wpg">
            <w:drawing>
              <wp:inline distT="0" distB="0" distL="0" distR="0" wp14:anchorId="0C9C629A" wp14:editId="667F5847">
                <wp:extent cx="5734558" cy="21463"/>
                <wp:effectExtent l="0" t="0" r="0" b="0"/>
                <wp:docPr id="7292" name="Group 7292"/>
                <wp:cNvGraphicFramePr/>
                <a:graphic xmlns:a="http://schemas.openxmlformats.org/drawingml/2006/main">
                  <a:graphicData uri="http://schemas.microsoft.com/office/word/2010/wordprocessingGroup">
                    <wpg:wgp>
                      <wpg:cNvGrpSpPr/>
                      <wpg:grpSpPr>
                        <a:xfrm>
                          <a:off x="0" y="0"/>
                          <a:ext cx="5734558" cy="21463"/>
                          <a:chOff x="0" y="0"/>
                          <a:chExt cx="5734558" cy="21463"/>
                        </a:xfrm>
                      </wpg:grpSpPr>
                      <wps:wsp>
                        <wps:cNvPr id="8743" name="Shape 8743"/>
                        <wps:cNvSpPr/>
                        <wps:spPr>
                          <a:xfrm>
                            <a:off x="0" y="0"/>
                            <a:ext cx="5733415" cy="19686"/>
                          </a:xfrm>
                          <a:custGeom>
                            <a:avLst/>
                            <a:gdLst/>
                            <a:ahLst/>
                            <a:cxnLst/>
                            <a:rect l="0" t="0" r="0" b="0"/>
                            <a:pathLst>
                              <a:path w="5733415" h="19686">
                                <a:moveTo>
                                  <a:pt x="0" y="0"/>
                                </a:moveTo>
                                <a:lnTo>
                                  <a:pt x="5733415" y="0"/>
                                </a:lnTo>
                                <a:lnTo>
                                  <a:pt x="5733415" y="19686"/>
                                </a:lnTo>
                                <a:lnTo>
                                  <a:pt x="0" y="1968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44" name="Shape 8744"/>
                        <wps:cNvSpPr/>
                        <wps:spPr>
                          <a:xfrm>
                            <a:off x="305"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45" name="Shape 8745"/>
                        <wps:cNvSpPr/>
                        <wps:spPr>
                          <a:xfrm>
                            <a:off x="3353" y="1650"/>
                            <a:ext cx="5728081" cy="9144"/>
                          </a:xfrm>
                          <a:custGeom>
                            <a:avLst/>
                            <a:gdLst/>
                            <a:ahLst/>
                            <a:cxnLst/>
                            <a:rect l="0" t="0" r="0" b="0"/>
                            <a:pathLst>
                              <a:path w="5728081" h="9144">
                                <a:moveTo>
                                  <a:pt x="0" y="0"/>
                                </a:moveTo>
                                <a:lnTo>
                                  <a:pt x="5728081" y="0"/>
                                </a:lnTo>
                                <a:lnTo>
                                  <a:pt x="572808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46" name="Shape 8746"/>
                        <wps:cNvSpPr/>
                        <wps:spPr>
                          <a:xfrm>
                            <a:off x="5731510" y="16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47" name="Shape 8747"/>
                        <wps:cNvSpPr/>
                        <wps:spPr>
                          <a:xfrm>
                            <a:off x="305" y="469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48" name="Shape 8748"/>
                        <wps:cNvSpPr/>
                        <wps:spPr>
                          <a:xfrm>
                            <a:off x="5731510" y="469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49" name="Shape 8749"/>
                        <wps:cNvSpPr/>
                        <wps:spPr>
                          <a:xfrm>
                            <a:off x="305" y="184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50" name="Shape 8750"/>
                        <wps:cNvSpPr/>
                        <wps:spPr>
                          <a:xfrm>
                            <a:off x="3353" y="18415"/>
                            <a:ext cx="5728081" cy="9144"/>
                          </a:xfrm>
                          <a:custGeom>
                            <a:avLst/>
                            <a:gdLst/>
                            <a:ahLst/>
                            <a:cxnLst/>
                            <a:rect l="0" t="0" r="0" b="0"/>
                            <a:pathLst>
                              <a:path w="5728081" h="9144">
                                <a:moveTo>
                                  <a:pt x="0" y="0"/>
                                </a:moveTo>
                                <a:lnTo>
                                  <a:pt x="5728081" y="0"/>
                                </a:lnTo>
                                <a:lnTo>
                                  <a:pt x="572808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51" name="Shape 8751"/>
                        <wps:cNvSpPr/>
                        <wps:spPr>
                          <a:xfrm>
                            <a:off x="5731510" y="184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7292" style="width:451.54pt;height:1.69pt;mso-position-horizontal-relative:char;mso-position-vertical-relative:line" coordsize="57345,214">
                <v:shape id="Shape 8752" style="position:absolute;width:57334;height:196;left:0;top:0;" coordsize="5733415,19686" path="m0,0l5733415,0l5733415,19686l0,19686l0,0">
                  <v:stroke weight="0pt" endcap="flat" joinstyle="miter" miterlimit="10" on="false" color="#000000" opacity="0"/>
                  <v:fill on="true" color="#a0a0a0"/>
                </v:shape>
                <v:shape id="Shape 8753" style="position:absolute;width:91;height:91;left:3;top:16;" coordsize="9144,9144" path="m0,0l9144,0l9144,9144l0,9144l0,0">
                  <v:stroke weight="0pt" endcap="flat" joinstyle="miter" miterlimit="10" on="false" color="#000000" opacity="0"/>
                  <v:fill on="true" color="#a0a0a0"/>
                </v:shape>
                <v:shape id="Shape 8754" style="position:absolute;width:57280;height:91;left:33;top:16;" coordsize="5728081,9144" path="m0,0l5728081,0l5728081,9144l0,9144l0,0">
                  <v:stroke weight="0pt" endcap="flat" joinstyle="miter" miterlimit="10" on="false" color="#000000" opacity="0"/>
                  <v:fill on="true" color="#a0a0a0"/>
                </v:shape>
                <v:shape id="Shape 8755" style="position:absolute;width:91;height:91;left:57315;top:16;" coordsize="9144,9144" path="m0,0l9144,0l9144,9144l0,9144l0,0">
                  <v:stroke weight="0pt" endcap="flat" joinstyle="miter" miterlimit="10" on="false" color="#000000" opacity="0"/>
                  <v:fill on="true" color="#a0a0a0"/>
                </v:shape>
                <v:shape id="Shape 8756" style="position:absolute;width:91;height:137;left:3;top:46;" coordsize="9144,13716" path="m0,0l9144,0l9144,13716l0,13716l0,0">
                  <v:stroke weight="0pt" endcap="flat" joinstyle="miter" miterlimit="10" on="false" color="#000000" opacity="0"/>
                  <v:fill on="true" color="#a0a0a0"/>
                </v:shape>
                <v:shape id="Shape 8757" style="position:absolute;width:91;height:137;left:57315;top:46;" coordsize="9144,13716" path="m0,0l9144,0l9144,13716l0,13716l0,0">
                  <v:stroke weight="0pt" endcap="flat" joinstyle="miter" miterlimit="10" on="false" color="#000000" opacity="0"/>
                  <v:fill on="true" color="#e3e3e3"/>
                </v:shape>
                <v:shape id="Shape 8758" style="position:absolute;width:91;height:91;left:3;top:184;" coordsize="9144,9144" path="m0,0l9144,0l9144,9144l0,9144l0,0">
                  <v:stroke weight="0pt" endcap="flat" joinstyle="miter" miterlimit="10" on="false" color="#000000" opacity="0"/>
                  <v:fill on="true" color="#e3e3e3"/>
                </v:shape>
                <v:shape id="Shape 8759" style="position:absolute;width:57280;height:91;left:33;top:184;" coordsize="5728081,9144" path="m0,0l5728081,0l5728081,9144l0,9144l0,0">
                  <v:stroke weight="0pt" endcap="flat" joinstyle="miter" miterlimit="10" on="false" color="#000000" opacity="0"/>
                  <v:fill on="true" color="#e3e3e3"/>
                </v:shape>
                <v:shape id="Shape 8760" style="position:absolute;width:91;height:91;left:57315;top:184;" coordsize="9144,9144" path="m0,0l9144,0l9144,9144l0,9144l0,0">
                  <v:stroke weight="0pt" endcap="flat" joinstyle="miter" miterlimit="10" on="false" color="#000000" opacity="0"/>
                  <v:fill on="true" color="#e3e3e3"/>
                </v:shape>
              </v:group>
            </w:pict>
          </mc:Fallback>
        </mc:AlternateContent>
      </w:r>
      <w:r>
        <w:t xml:space="preserve"> </w:t>
      </w:r>
    </w:p>
    <w:p w14:paraId="089E25F6" w14:textId="77777777" w:rsidR="00641A36" w:rsidRDefault="00000000">
      <w:pPr>
        <w:pStyle w:val="Heading1"/>
        <w:ind w:left="-5"/>
      </w:pPr>
      <w:r>
        <w:lastRenderedPageBreak/>
        <w:t xml:space="preserve">2. Problem Statement </w:t>
      </w:r>
    </w:p>
    <w:p w14:paraId="3623000C" w14:textId="77777777" w:rsidR="00641A36" w:rsidRDefault="00000000">
      <w:pPr>
        <w:ind w:right="43"/>
      </w:pPr>
      <w:r>
        <w:t xml:space="preserve">While there are many different teaching methods accessible, English language teachers often find it difficult to truly engage every student. In English classes, students' unwillingness to actively participate is frequently a barrier to interaction. This can be due to a variety of reasons, including a fear of making mistakes or discomfort with public speaking. In addition to identifying these issues, this study will shed light on the kinds of activities that encourage participation and active learning. </w:t>
      </w:r>
    </w:p>
    <w:p w14:paraId="77C5903E" w14:textId="77777777" w:rsidR="00641A36" w:rsidRDefault="00000000">
      <w:pPr>
        <w:spacing w:after="14" w:line="259" w:lineRule="auto"/>
        <w:ind w:left="0" w:firstLine="0"/>
      </w:pPr>
      <w:r>
        <w:t xml:space="preserve"> </w:t>
      </w:r>
    </w:p>
    <w:p w14:paraId="713B8A17" w14:textId="77777777" w:rsidR="00641A36" w:rsidRDefault="00000000">
      <w:pPr>
        <w:numPr>
          <w:ilvl w:val="0"/>
          <w:numId w:val="1"/>
        </w:numPr>
        <w:ind w:right="43"/>
      </w:pPr>
      <w:r>
        <w:rPr>
          <w:b/>
        </w:rPr>
        <w:t>Interaction</w:t>
      </w:r>
      <w:r>
        <w:t xml:space="preserve">: Despite the emphasis on interactive learning in English language education, many students face barriers to active participation, such as fear of making mistakes and low confidence in speaking. This study seeks to identify teaching methods that can reduce these barriers and foster a </w:t>
      </w:r>
    </w:p>
    <w:p w14:paraId="142D8008" w14:textId="77777777" w:rsidR="00641A36" w:rsidRDefault="00000000">
      <w:pPr>
        <w:ind w:right="43"/>
      </w:pPr>
      <w:r>
        <w:t xml:space="preserve">more inclusive environment for student interaction. </w:t>
      </w:r>
    </w:p>
    <w:p w14:paraId="30956722" w14:textId="77777777" w:rsidR="00641A36" w:rsidRDefault="00000000">
      <w:pPr>
        <w:spacing w:after="14" w:line="259" w:lineRule="auto"/>
        <w:ind w:left="0" w:firstLine="0"/>
      </w:pPr>
      <w:r>
        <w:t xml:space="preserve"> </w:t>
      </w:r>
    </w:p>
    <w:p w14:paraId="6EA24DFA" w14:textId="77777777" w:rsidR="00641A36" w:rsidRDefault="00000000">
      <w:pPr>
        <w:numPr>
          <w:ilvl w:val="0"/>
          <w:numId w:val="1"/>
        </w:numPr>
        <w:ind w:right="43"/>
      </w:pPr>
      <w:r>
        <w:rPr>
          <w:b/>
        </w:rPr>
        <w:t>Engagement</w:t>
      </w:r>
      <w:r>
        <w:t xml:space="preserve">: Many English language learners struggle to remain engaged during class, often due to teaching methods that fail to align with their interests and learning preferences. The study aims to explore which instructional strategies are most effective in maintaining high levels of engagement among students. </w:t>
      </w:r>
    </w:p>
    <w:p w14:paraId="63966CB9" w14:textId="77777777" w:rsidR="00641A36" w:rsidRDefault="00000000">
      <w:pPr>
        <w:spacing w:after="14" w:line="259" w:lineRule="auto"/>
        <w:ind w:left="0" w:firstLine="0"/>
      </w:pPr>
      <w:r>
        <w:t xml:space="preserve"> </w:t>
      </w:r>
    </w:p>
    <w:p w14:paraId="1CD5ED9F" w14:textId="77777777" w:rsidR="00641A36" w:rsidRDefault="00000000">
      <w:pPr>
        <w:numPr>
          <w:ilvl w:val="0"/>
          <w:numId w:val="1"/>
        </w:numPr>
        <w:ind w:right="43"/>
      </w:pPr>
      <w:r>
        <w:rPr>
          <w:b/>
        </w:rPr>
        <w:t>Practical Application</w:t>
      </w:r>
      <w:r>
        <w:t xml:space="preserve">: Although students may understand grammatical rules and vocabulary, many fail to apply their knowledge in real-life situations. This problem highlights the need for teaching approaches that emphasize practical language use and communicative competence. </w:t>
      </w:r>
    </w:p>
    <w:p w14:paraId="56099C44" w14:textId="77777777" w:rsidR="00641A36" w:rsidRDefault="00000000">
      <w:pPr>
        <w:spacing w:after="15" w:line="259" w:lineRule="auto"/>
        <w:ind w:left="0" w:firstLine="0"/>
      </w:pPr>
      <w:r>
        <w:t xml:space="preserve"> </w:t>
      </w:r>
    </w:p>
    <w:p w14:paraId="49BCBCB0" w14:textId="77777777" w:rsidR="00641A36" w:rsidRDefault="00000000">
      <w:pPr>
        <w:numPr>
          <w:ilvl w:val="0"/>
          <w:numId w:val="1"/>
        </w:numPr>
        <w:ind w:right="43"/>
      </w:pPr>
      <w:r>
        <w:rPr>
          <w:b/>
        </w:rPr>
        <w:t>Assessment Approaches</w:t>
      </w:r>
      <w:r>
        <w:t xml:space="preserve">: Traditional assessment methods in English language teaching often fail to accurately reflect students' language skills, focusing more on memorization than practical ability. This research will examine alternative assessment techniques that better capture communicative competence and language application. </w:t>
      </w:r>
    </w:p>
    <w:p w14:paraId="689F7990" w14:textId="77777777" w:rsidR="00641A36" w:rsidRDefault="00000000">
      <w:pPr>
        <w:spacing w:after="14" w:line="259" w:lineRule="auto"/>
        <w:ind w:left="0" w:firstLine="0"/>
      </w:pPr>
      <w:r>
        <w:t xml:space="preserve"> </w:t>
      </w:r>
    </w:p>
    <w:p w14:paraId="49076A0B" w14:textId="77777777" w:rsidR="00641A36" w:rsidRDefault="00000000">
      <w:pPr>
        <w:numPr>
          <w:ilvl w:val="0"/>
          <w:numId w:val="1"/>
        </w:numPr>
        <w:ind w:right="43"/>
      </w:pPr>
      <w:r>
        <w:rPr>
          <w:b/>
        </w:rPr>
        <w:t>Confidence Building</w:t>
      </w:r>
      <w:r>
        <w:t xml:space="preserve">: Low confidence levels in language skills prevent students from practicing and progressing effectively. This study investigates the role of supportive teaching strategies in building students' confidence, particularly for those hesitant to participate in speaking activities. </w:t>
      </w:r>
    </w:p>
    <w:p w14:paraId="3C7C14F1" w14:textId="77777777" w:rsidR="00641A36" w:rsidRDefault="00000000">
      <w:pPr>
        <w:spacing w:after="60" w:line="259" w:lineRule="auto"/>
        <w:ind w:left="0" w:firstLine="0"/>
      </w:pPr>
      <w:r>
        <w:t xml:space="preserve"> </w:t>
      </w:r>
    </w:p>
    <w:p w14:paraId="7F3C3F6F" w14:textId="77777777" w:rsidR="00641A36" w:rsidRDefault="00000000">
      <w:pPr>
        <w:spacing w:after="440" w:line="259" w:lineRule="auto"/>
        <w:ind w:left="0" w:firstLine="0"/>
        <w:jc w:val="right"/>
      </w:pPr>
      <w:r>
        <w:rPr>
          <w:rFonts w:ascii="Calibri" w:eastAsia="Calibri" w:hAnsi="Calibri" w:cs="Calibri"/>
          <w:noProof/>
        </w:rPr>
        <mc:AlternateContent>
          <mc:Choice Requires="wpg">
            <w:drawing>
              <wp:inline distT="0" distB="0" distL="0" distR="0" wp14:anchorId="3E6A8DAF" wp14:editId="18CA5003">
                <wp:extent cx="5734558" cy="20572"/>
                <wp:effectExtent l="0" t="0" r="0" b="0"/>
                <wp:docPr id="7501" name="Group 7501"/>
                <wp:cNvGraphicFramePr/>
                <a:graphic xmlns:a="http://schemas.openxmlformats.org/drawingml/2006/main">
                  <a:graphicData uri="http://schemas.microsoft.com/office/word/2010/wordprocessingGroup">
                    <wpg:wgp>
                      <wpg:cNvGrpSpPr/>
                      <wpg:grpSpPr>
                        <a:xfrm>
                          <a:off x="0" y="0"/>
                          <a:ext cx="5734558" cy="20572"/>
                          <a:chOff x="0" y="0"/>
                          <a:chExt cx="5734558" cy="20572"/>
                        </a:xfrm>
                      </wpg:grpSpPr>
                      <wps:wsp>
                        <wps:cNvPr id="8761" name="Shape 8761"/>
                        <wps:cNvSpPr/>
                        <wps:spPr>
                          <a:xfrm>
                            <a:off x="0" y="0"/>
                            <a:ext cx="5733415" cy="19684"/>
                          </a:xfrm>
                          <a:custGeom>
                            <a:avLst/>
                            <a:gdLst/>
                            <a:ahLst/>
                            <a:cxnLst/>
                            <a:rect l="0" t="0" r="0" b="0"/>
                            <a:pathLst>
                              <a:path w="5733415" h="19684">
                                <a:moveTo>
                                  <a:pt x="0" y="0"/>
                                </a:moveTo>
                                <a:lnTo>
                                  <a:pt x="5733415" y="0"/>
                                </a:lnTo>
                                <a:lnTo>
                                  <a:pt x="5733415" y="19684"/>
                                </a:lnTo>
                                <a:lnTo>
                                  <a:pt x="0" y="1968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62" name="Shape 8762"/>
                        <wps:cNvSpPr/>
                        <wps:spPr>
                          <a:xfrm>
                            <a:off x="305" y="7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63" name="Shape 8763"/>
                        <wps:cNvSpPr/>
                        <wps:spPr>
                          <a:xfrm>
                            <a:off x="3353" y="761"/>
                            <a:ext cx="5728081" cy="9144"/>
                          </a:xfrm>
                          <a:custGeom>
                            <a:avLst/>
                            <a:gdLst/>
                            <a:ahLst/>
                            <a:cxnLst/>
                            <a:rect l="0" t="0" r="0" b="0"/>
                            <a:pathLst>
                              <a:path w="5728081" h="9144">
                                <a:moveTo>
                                  <a:pt x="0" y="0"/>
                                </a:moveTo>
                                <a:lnTo>
                                  <a:pt x="5728081" y="0"/>
                                </a:lnTo>
                                <a:lnTo>
                                  <a:pt x="572808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64" name="Shape 8764"/>
                        <wps:cNvSpPr/>
                        <wps:spPr>
                          <a:xfrm>
                            <a:off x="5731510" y="76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65" name="Shape 8765"/>
                        <wps:cNvSpPr/>
                        <wps:spPr>
                          <a:xfrm>
                            <a:off x="305" y="3809"/>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66" name="Shape 8766"/>
                        <wps:cNvSpPr/>
                        <wps:spPr>
                          <a:xfrm>
                            <a:off x="5731510" y="3809"/>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67" name="Shape 8767"/>
                        <wps:cNvSpPr/>
                        <wps:spPr>
                          <a:xfrm>
                            <a:off x="305" y="17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68" name="Shape 8768"/>
                        <wps:cNvSpPr/>
                        <wps:spPr>
                          <a:xfrm>
                            <a:off x="3353" y="17525"/>
                            <a:ext cx="5728081" cy="9144"/>
                          </a:xfrm>
                          <a:custGeom>
                            <a:avLst/>
                            <a:gdLst/>
                            <a:ahLst/>
                            <a:cxnLst/>
                            <a:rect l="0" t="0" r="0" b="0"/>
                            <a:pathLst>
                              <a:path w="5728081" h="9144">
                                <a:moveTo>
                                  <a:pt x="0" y="0"/>
                                </a:moveTo>
                                <a:lnTo>
                                  <a:pt x="5728081" y="0"/>
                                </a:lnTo>
                                <a:lnTo>
                                  <a:pt x="572808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69" name="Shape 8769"/>
                        <wps:cNvSpPr/>
                        <wps:spPr>
                          <a:xfrm>
                            <a:off x="5731510" y="17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7501" style="width:451.54pt;height:1.61987pt;mso-position-horizontal-relative:char;mso-position-vertical-relative:line" coordsize="57345,205">
                <v:shape id="Shape 8770" style="position:absolute;width:57334;height:196;left:0;top:0;" coordsize="5733415,19684" path="m0,0l5733415,0l5733415,19684l0,19684l0,0">
                  <v:stroke weight="0pt" endcap="flat" joinstyle="miter" miterlimit="10" on="false" color="#000000" opacity="0"/>
                  <v:fill on="true" color="#a0a0a0"/>
                </v:shape>
                <v:shape id="Shape 8771" style="position:absolute;width:91;height:91;left:3;top:7;" coordsize="9144,9144" path="m0,0l9144,0l9144,9144l0,9144l0,0">
                  <v:stroke weight="0pt" endcap="flat" joinstyle="miter" miterlimit="10" on="false" color="#000000" opacity="0"/>
                  <v:fill on="true" color="#a0a0a0"/>
                </v:shape>
                <v:shape id="Shape 8772" style="position:absolute;width:57280;height:91;left:33;top:7;" coordsize="5728081,9144" path="m0,0l5728081,0l5728081,9144l0,9144l0,0">
                  <v:stroke weight="0pt" endcap="flat" joinstyle="miter" miterlimit="10" on="false" color="#000000" opacity="0"/>
                  <v:fill on="true" color="#a0a0a0"/>
                </v:shape>
                <v:shape id="Shape 8773" style="position:absolute;width:91;height:91;left:57315;top:7;" coordsize="9144,9144" path="m0,0l9144,0l9144,9144l0,9144l0,0">
                  <v:stroke weight="0pt" endcap="flat" joinstyle="miter" miterlimit="10" on="false" color="#000000" opacity="0"/>
                  <v:fill on="true" color="#a0a0a0"/>
                </v:shape>
                <v:shape id="Shape 8774" style="position:absolute;width:91;height:137;left:3;top:38;" coordsize="9144,13715" path="m0,0l9144,0l9144,13715l0,13715l0,0">
                  <v:stroke weight="0pt" endcap="flat" joinstyle="miter" miterlimit="10" on="false" color="#000000" opacity="0"/>
                  <v:fill on="true" color="#a0a0a0"/>
                </v:shape>
                <v:shape id="Shape 8775" style="position:absolute;width:91;height:137;left:57315;top:38;" coordsize="9144,13715" path="m0,0l9144,0l9144,13715l0,13715l0,0">
                  <v:stroke weight="0pt" endcap="flat" joinstyle="miter" miterlimit="10" on="false" color="#000000" opacity="0"/>
                  <v:fill on="true" color="#e3e3e3"/>
                </v:shape>
                <v:shape id="Shape 8776" style="position:absolute;width:91;height:91;left:3;top:175;" coordsize="9144,9144" path="m0,0l9144,0l9144,9144l0,9144l0,0">
                  <v:stroke weight="0pt" endcap="flat" joinstyle="miter" miterlimit="10" on="false" color="#000000" opacity="0"/>
                  <v:fill on="true" color="#e3e3e3"/>
                </v:shape>
                <v:shape id="Shape 8777" style="position:absolute;width:57280;height:91;left:33;top:175;" coordsize="5728081,9144" path="m0,0l5728081,0l5728081,9144l0,9144l0,0">
                  <v:stroke weight="0pt" endcap="flat" joinstyle="miter" miterlimit="10" on="false" color="#000000" opacity="0"/>
                  <v:fill on="true" color="#e3e3e3"/>
                </v:shape>
                <v:shape id="Shape 8778" style="position:absolute;width:91;height:91;left:57315;top:175;" coordsize="9144,9144" path="m0,0l9144,0l9144,9144l0,9144l0,0">
                  <v:stroke weight="0pt" endcap="flat" joinstyle="miter" miterlimit="10" on="false" color="#000000" opacity="0"/>
                  <v:fill on="true" color="#e3e3e3"/>
                </v:shape>
              </v:group>
            </w:pict>
          </mc:Fallback>
        </mc:AlternateContent>
      </w:r>
      <w:r>
        <w:t xml:space="preserve"> </w:t>
      </w:r>
    </w:p>
    <w:p w14:paraId="455A7604" w14:textId="77777777" w:rsidR="00641A36" w:rsidRDefault="00000000">
      <w:pPr>
        <w:pStyle w:val="Heading1"/>
        <w:ind w:left="-5"/>
      </w:pPr>
      <w:r>
        <w:t xml:space="preserve">3. Research Gap </w:t>
      </w:r>
    </w:p>
    <w:p w14:paraId="3A6E587C" w14:textId="77777777" w:rsidR="00641A36" w:rsidRDefault="00000000">
      <w:pPr>
        <w:ind w:right="43"/>
      </w:pPr>
      <w:r>
        <w:t>Existing research emphasizes the value of communicative and interactive methods, like task-based and student-</w:t>
      </w:r>
      <w:proofErr w:type="spellStart"/>
      <w:r>
        <w:t>centered</w:t>
      </w:r>
      <w:proofErr w:type="spellEnd"/>
      <w:r>
        <w:t xml:space="preserve"> activities, in language learning. On the other hand, little is known about the effects of </w:t>
      </w:r>
      <w:proofErr w:type="gramStart"/>
      <w:r>
        <w:t>particular classroom</w:t>
      </w:r>
      <w:proofErr w:type="gramEnd"/>
      <w:r>
        <w:t xml:space="preserve"> activities on the levels of participation of various student populations. By determining which approaches work best for breaking down barriers to connection and encouraging active engagement, this study aims to close that gap. </w:t>
      </w:r>
    </w:p>
    <w:p w14:paraId="36456F81" w14:textId="77777777" w:rsidR="00641A36" w:rsidRDefault="00000000">
      <w:pPr>
        <w:spacing w:after="60" w:line="259" w:lineRule="auto"/>
        <w:ind w:left="0" w:firstLine="0"/>
      </w:pPr>
      <w:r>
        <w:t xml:space="preserve"> </w:t>
      </w:r>
    </w:p>
    <w:p w14:paraId="20D37544" w14:textId="77777777" w:rsidR="00641A36" w:rsidRDefault="00000000">
      <w:pPr>
        <w:spacing w:after="439" w:line="259" w:lineRule="auto"/>
        <w:ind w:left="0" w:firstLine="0"/>
        <w:jc w:val="right"/>
      </w:pPr>
      <w:r>
        <w:rPr>
          <w:rFonts w:ascii="Calibri" w:eastAsia="Calibri" w:hAnsi="Calibri" w:cs="Calibri"/>
          <w:noProof/>
        </w:rPr>
        <mc:AlternateContent>
          <mc:Choice Requires="wpg">
            <w:drawing>
              <wp:inline distT="0" distB="0" distL="0" distR="0" wp14:anchorId="246C49F9" wp14:editId="695EA8DA">
                <wp:extent cx="5734558" cy="21337"/>
                <wp:effectExtent l="0" t="0" r="0" b="0"/>
                <wp:docPr id="7502" name="Group 7502"/>
                <wp:cNvGraphicFramePr/>
                <a:graphic xmlns:a="http://schemas.openxmlformats.org/drawingml/2006/main">
                  <a:graphicData uri="http://schemas.microsoft.com/office/word/2010/wordprocessingGroup">
                    <wpg:wgp>
                      <wpg:cNvGrpSpPr/>
                      <wpg:grpSpPr>
                        <a:xfrm>
                          <a:off x="0" y="0"/>
                          <a:ext cx="5734558" cy="21337"/>
                          <a:chOff x="0" y="0"/>
                          <a:chExt cx="5734558" cy="21337"/>
                        </a:xfrm>
                      </wpg:grpSpPr>
                      <wps:wsp>
                        <wps:cNvPr id="8779" name="Shape 8779"/>
                        <wps:cNvSpPr/>
                        <wps:spPr>
                          <a:xfrm>
                            <a:off x="0" y="0"/>
                            <a:ext cx="5733415" cy="20320"/>
                          </a:xfrm>
                          <a:custGeom>
                            <a:avLst/>
                            <a:gdLst/>
                            <a:ahLst/>
                            <a:cxnLst/>
                            <a:rect l="0" t="0" r="0" b="0"/>
                            <a:pathLst>
                              <a:path w="5733415" h="20320">
                                <a:moveTo>
                                  <a:pt x="0" y="0"/>
                                </a:moveTo>
                                <a:lnTo>
                                  <a:pt x="5733415" y="0"/>
                                </a:lnTo>
                                <a:lnTo>
                                  <a:pt x="5733415" y="20320"/>
                                </a:lnTo>
                                <a:lnTo>
                                  <a:pt x="0" y="2032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80" name="Shape 8780"/>
                        <wps:cNvSpPr/>
                        <wps:spPr>
                          <a:xfrm>
                            <a:off x="305"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81" name="Shape 8781"/>
                        <wps:cNvSpPr/>
                        <wps:spPr>
                          <a:xfrm>
                            <a:off x="3353" y="1524"/>
                            <a:ext cx="5728081" cy="9144"/>
                          </a:xfrm>
                          <a:custGeom>
                            <a:avLst/>
                            <a:gdLst/>
                            <a:ahLst/>
                            <a:cxnLst/>
                            <a:rect l="0" t="0" r="0" b="0"/>
                            <a:pathLst>
                              <a:path w="5728081" h="9144">
                                <a:moveTo>
                                  <a:pt x="0" y="0"/>
                                </a:moveTo>
                                <a:lnTo>
                                  <a:pt x="5728081" y="0"/>
                                </a:lnTo>
                                <a:lnTo>
                                  <a:pt x="572808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82" name="Shape 8782"/>
                        <wps:cNvSpPr/>
                        <wps:spPr>
                          <a:xfrm>
                            <a:off x="5731510" y="15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83" name="Shape 8783"/>
                        <wps:cNvSpPr/>
                        <wps:spPr>
                          <a:xfrm>
                            <a:off x="305" y="4572"/>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84" name="Shape 8784"/>
                        <wps:cNvSpPr/>
                        <wps:spPr>
                          <a:xfrm>
                            <a:off x="5731510" y="4572"/>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85" name="Shape 8785"/>
                        <wps:cNvSpPr/>
                        <wps:spPr>
                          <a:xfrm>
                            <a:off x="305"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86" name="Shape 8786"/>
                        <wps:cNvSpPr/>
                        <wps:spPr>
                          <a:xfrm>
                            <a:off x="3353" y="18289"/>
                            <a:ext cx="5728081" cy="9144"/>
                          </a:xfrm>
                          <a:custGeom>
                            <a:avLst/>
                            <a:gdLst/>
                            <a:ahLst/>
                            <a:cxnLst/>
                            <a:rect l="0" t="0" r="0" b="0"/>
                            <a:pathLst>
                              <a:path w="5728081" h="9144">
                                <a:moveTo>
                                  <a:pt x="0" y="0"/>
                                </a:moveTo>
                                <a:lnTo>
                                  <a:pt x="5728081" y="0"/>
                                </a:lnTo>
                                <a:lnTo>
                                  <a:pt x="572808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787" name="Shape 8787"/>
                        <wps:cNvSpPr/>
                        <wps:spPr>
                          <a:xfrm>
                            <a:off x="5731510" y="182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7502" style="width:451.54pt;height:1.68005pt;mso-position-horizontal-relative:char;mso-position-vertical-relative:line" coordsize="57345,213">
                <v:shape id="Shape 8788" style="position:absolute;width:57334;height:203;left:0;top:0;" coordsize="5733415,20320" path="m0,0l5733415,0l5733415,20320l0,20320l0,0">
                  <v:stroke weight="0pt" endcap="flat" joinstyle="miter" miterlimit="10" on="false" color="#000000" opacity="0"/>
                  <v:fill on="true" color="#a0a0a0"/>
                </v:shape>
                <v:shape id="Shape 8789" style="position:absolute;width:91;height:91;left:3;top:15;" coordsize="9144,9144" path="m0,0l9144,0l9144,9144l0,9144l0,0">
                  <v:stroke weight="0pt" endcap="flat" joinstyle="miter" miterlimit="10" on="false" color="#000000" opacity="0"/>
                  <v:fill on="true" color="#a0a0a0"/>
                </v:shape>
                <v:shape id="Shape 8790" style="position:absolute;width:57280;height:91;left:33;top:15;" coordsize="5728081,9144" path="m0,0l5728081,0l5728081,9144l0,9144l0,0">
                  <v:stroke weight="0pt" endcap="flat" joinstyle="miter" miterlimit="10" on="false" color="#000000" opacity="0"/>
                  <v:fill on="true" color="#a0a0a0"/>
                </v:shape>
                <v:shape id="Shape 8791" style="position:absolute;width:91;height:91;left:57315;top:15;" coordsize="9144,9144" path="m0,0l9144,0l9144,9144l0,9144l0,0">
                  <v:stroke weight="0pt" endcap="flat" joinstyle="miter" miterlimit="10" on="false" color="#000000" opacity="0"/>
                  <v:fill on="true" color="#a0a0a0"/>
                </v:shape>
                <v:shape id="Shape 8792" style="position:absolute;width:91;height:137;left:3;top:45;" coordsize="9144,13716" path="m0,0l9144,0l9144,13716l0,13716l0,0">
                  <v:stroke weight="0pt" endcap="flat" joinstyle="miter" miterlimit="10" on="false" color="#000000" opacity="0"/>
                  <v:fill on="true" color="#a0a0a0"/>
                </v:shape>
                <v:shape id="Shape 8793" style="position:absolute;width:91;height:137;left:57315;top:45;" coordsize="9144,13716" path="m0,0l9144,0l9144,13716l0,13716l0,0">
                  <v:stroke weight="0pt" endcap="flat" joinstyle="miter" miterlimit="10" on="false" color="#000000" opacity="0"/>
                  <v:fill on="true" color="#e3e3e3"/>
                </v:shape>
                <v:shape id="Shape 8794" style="position:absolute;width:91;height:91;left:3;top:182;" coordsize="9144,9144" path="m0,0l9144,0l9144,9144l0,9144l0,0">
                  <v:stroke weight="0pt" endcap="flat" joinstyle="miter" miterlimit="10" on="false" color="#000000" opacity="0"/>
                  <v:fill on="true" color="#e3e3e3"/>
                </v:shape>
                <v:shape id="Shape 8795" style="position:absolute;width:57280;height:91;left:33;top:182;" coordsize="5728081,9144" path="m0,0l5728081,0l5728081,9144l0,9144l0,0">
                  <v:stroke weight="0pt" endcap="flat" joinstyle="miter" miterlimit="10" on="false" color="#000000" opacity="0"/>
                  <v:fill on="true" color="#e3e3e3"/>
                </v:shape>
                <v:shape id="Shape 8796" style="position:absolute;width:91;height:91;left:57315;top:182;" coordsize="9144,9144" path="m0,0l9144,0l9144,9144l0,9144l0,0">
                  <v:stroke weight="0pt" endcap="flat" joinstyle="miter" miterlimit="10" on="false" color="#000000" opacity="0"/>
                  <v:fill on="true" color="#e3e3e3"/>
                </v:shape>
              </v:group>
            </w:pict>
          </mc:Fallback>
        </mc:AlternateContent>
      </w:r>
      <w:r>
        <w:t xml:space="preserve"> </w:t>
      </w:r>
    </w:p>
    <w:p w14:paraId="6B467D87" w14:textId="77777777" w:rsidR="00641A36" w:rsidRDefault="00000000">
      <w:pPr>
        <w:pStyle w:val="Heading1"/>
        <w:ind w:left="-5"/>
      </w:pPr>
      <w:r>
        <w:t xml:space="preserve">4. Literature Review </w:t>
      </w:r>
    </w:p>
    <w:p w14:paraId="0A4A9D5B" w14:textId="77777777" w:rsidR="00641A36" w:rsidRDefault="00000000">
      <w:pPr>
        <w:ind w:right="43"/>
      </w:pPr>
      <w:r>
        <w:t xml:space="preserve">Task-based learning, collaborative learning, and real-world language application are frequently emphasized in research on language acquisition teaching approaches. According to studies, language </w:t>
      </w:r>
      <w:r>
        <w:lastRenderedPageBreak/>
        <w:t xml:space="preserve">proficiency is enhanced by activities that feature real-world situations, like practicing conversations, and those that promote group engagement, such games or discussions. Personal characteristics like introversion and anxiety, however, continue to be major obstacles to complete participation, indicating that instructional strategies must be customized to meet the needs of each individual student. </w:t>
      </w:r>
    </w:p>
    <w:p w14:paraId="6B836287" w14:textId="77777777" w:rsidR="00641A36" w:rsidRDefault="00000000">
      <w:pPr>
        <w:spacing w:after="60" w:line="259" w:lineRule="auto"/>
        <w:ind w:left="0" w:firstLine="0"/>
      </w:pPr>
      <w:r>
        <w:t xml:space="preserve"> </w:t>
      </w:r>
    </w:p>
    <w:p w14:paraId="2A67D745" w14:textId="77777777" w:rsidR="00641A36" w:rsidRDefault="00000000">
      <w:pPr>
        <w:spacing w:after="439" w:line="259" w:lineRule="auto"/>
        <w:ind w:left="0" w:firstLine="0"/>
        <w:jc w:val="right"/>
      </w:pPr>
      <w:r>
        <w:rPr>
          <w:rFonts w:ascii="Calibri" w:eastAsia="Calibri" w:hAnsi="Calibri" w:cs="Calibri"/>
          <w:noProof/>
        </w:rPr>
        <mc:AlternateContent>
          <mc:Choice Requires="wpg">
            <w:drawing>
              <wp:inline distT="0" distB="0" distL="0" distR="0" wp14:anchorId="6F809367" wp14:editId="32A3B8F3">
                <wp:extent cx="5734558" cy="19939"/>
                <wp:effectExtent l="0" t="0" r="0" b="0"/>
                <wp:docPr id="7495" name="Group 7495"/>
                <wp:cNvGraphicFramePr/>
                <a:graphic xmlns:a="http://schemas.openxmlformats.org/drawingml/2006/main">
                  <a:graphicData uri="http://schemas.microsoft.com/office/word/2010/wordprocessingGroup">
                    <wpg:wgp>
                      <wpg:cNvGrpSpPr/>
                      <wpg:grpSpPr>
                        <a:xfrm>
                          <a:off x="0" y="0"/>
                          <a:ext cx="5734558" cy="19939"/>
                          <a:chOff x="0" y="0"/>
                          <a:chExt cx="5734558" cy="19939"/>
                        </a:xfrm>
                      </wpg:grpSpPr>
                      <wps:wsp>
                        <wps:cNvPr id="8797" name="Shape 8797"/>
                        <wps:cNvSpPr/>
                        <wps:spPr>
                          <a:xfrm>
                            <a:off x="0" y="0"/>
                            <a:ext cx="5733415" cy="19685"/>
                          </a:xfrm>
                          <a:custGeom>
                            <a:avLst/>
                            <a:gdLst/>
                            <a:ahLst/>
                            <a:cxnLst/>
                            <a:rect l="0" t="0" r="0" b="0"/>
                            <a:pathLst>
                              <a:path w="5733415" h="19685">
                                <a:moveTo>
                                  <a:pt x="0" y="0"/>
                                </a:moveTo>
                                <a:lnTo>
                                  <a:pt x="5733415" y="0"/>
                                </a:lnTo>
                                <a:lnTo>
                                  <a:pt x="5733415"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98" name="Shape 8798"/>
                        <wps:cNvSpPr/>
                        <wps:spPr>
                          <a:xfrm>
                            <a:off x="305"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799" name="Shape 8799"/>
                        <wps:cNvSpPr/>
                        <wps:spPr>
                          <a:xfrm>
                            <a:off x="3353" y="127"/>
                            <a:ext cx="5728081" cy="9144"/>
                          </a:xfrm>
                          <a:custGeom>
                            <a:avLst/>
                            <a:gdLst/>
                            <a:ahLst/>
                            <a:cxnLst/>
                            <a:rect l="0" t="0" r="0" b="0"/>
                            <a:pathLst>
                              <a:path w="5728081" h="9144">
                                <a:moveTo>
                                  <a:pt x="0" y="0"/>
                                </a:moveTo>
                                <a:lnTo>
                                  <a:pt x="5728081" y="0"/>
                                </a:lnTo>
                                <a:lnTo>
                                  <a:pt x="572808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800" name="Shape 8800"/>
                        <wps:cNvSpPr/>
                        <wps:spPr>
                          <a:xfrm>
                            <a:off x="5731510"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801" name="Shape 8801"/>
                        <wps:cNvSpPr/>
                        <wps:spPr>
                          <a:xfrm>
                            <a:off x="305" y="317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802" name="Shape 8802"/>
                        <wps:cNvSpPr/>
                        <wps:spPr>
                          <a:xfrm>
                            <a:off x="5731510" y="317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803" name="Shape 8803"/>
                        <wps:cNvSpPr/>
                        <wps:spPr>
                          <a:xfrm>
                            <a:off x="305" y="16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804" name="Shape 8804"/>
                        <wps:cNvSpPr/>
                        <wps:spPr>
                          <a:xfrm>
                            <a:off x="3353" y="16891"/>
                            <a:ext cx="5728081" cy="9144"/>
                          </a:xfrm>
                          <a:custGeom>
                            <a:avLst/>
                            <a:gdLst/>
                            <a:ahLst/>
                            <a:cxnLst/>
                            <a:rect l="0" t="0" r="0" b="0"/>
                            <a:pathLst>
                              <a:path w="5728081" h="9144">
                                <a:moveTo>
                                  <a:pt x="0" y="0"/>
                                </a:moveTo>
                                <a:lnTo>
                                  <a:pt x="5728081" y="0"/>
                                </a:lnTo>
                                <a:lnTo>
                                  <a:pt x="572808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805" name="Shape 8805"/>
                        <wps:cNvSpPr/>
                        <wps:spPr>
                          <a:xfrm>
                            <a:off x="5731510" y="16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7495" style="width:451.54pt;height:1.57001pt;mso-position-horizontal-relative:char;mso-position-vertical-relative:line" coordsize="57345,199">
                <v:shape id="Shape 8806" style="position:absolute;width:57334;height:196;left:0;top:0;" coordsize="5733415,19685" path="m0,0l5733415,0l5733415,19685l0,19685l0,0">
                  <v:stroke weight="0pt" endcap="flat" joinstyle="miter" miterlimit="10" on="false" color="#000000" opacity="0"/>
                  <v:fill on="true" color="#a0a0a0"/>
                </v:shape>
                <v:shape id="Shape 8807" style="position:absolute;width:91;height:91;left:3;top:1;" coordsize="9144,9144" path="m0,0l9144,0l9144,9144l0,9144l0,0">
                  <v:stroke weight="0pt" endcap="flat" joinstyle="miter" miterlimit="10" on="false" color="#000000" opacity="0"/>
                  <v:fill on="true" color="#a0a0a0"/>
                </v:shape>
                <v:shape id="Shape 8808" style="position:absolute;width:57280;height:91;left:33;top:1;" coordsize="5728081,9144" path="m0,0l5728081,0l5728081,9144l0,9144l0,0">
                  <v:stroke weight="0pt" endcap="flat" joinstyle="miter" miterlimit="10" on="false" color="#000000" opacity="0"/>
                  <v:fill on="true" color="#a0a0a0"/>
                </v:shape>
                <v:shape id="Shape 8809" style="position:absolute;width:91;height:91;left:57315;top:1;" coordsize="9144,9144" path="m0,0l9144,0l9144,9144l0,9144l0,0">
                  <v:stroke weight="0pt" endcap="flat" joinstyle="miter" miterlimit="10" on="false" color="#000000" opacity="0"/>
                  <v:fill on="true" color="#a0a0a0"/>
                </v:shape>
                <v:shape id="Shape 8810" style="position:absolute;width:91;height:137;left:3;top:31;" coordsize="9144,13716" path="m0,0l9144,0l9144,13716l0,13716l0,0">
                  <v:stroke weight="0pt" endcap="flat" joinstyle="miter" miterlimit="10" on="false" color="#000000" opacity="0"/>
                  <v:fill on="true" color="#a0a0a0"/>
                </v:shape>
                <v:shape id="Shape 8811" style="position:absolute;width:91;height:137;left:57315;top:31;" coordsize="9144,13716" path="m0,0l9144,0l9144,13716l0,13716l0,0">
                  <v:stroke weight="0pt" endcap="flat" joinstyle="miter" miterlimit="10" on="false" color="#000000" opacity="0"/>
                  <v:fill on="true" color="#e3e3e3"/>
                </v:shape>
                <v:shape id="Shape 8812" style="position:absolute;width:91;height:91;left:3;top:168;" coordsize="9144,9144" path="m0,0l9144,0l9144,9144l0,9144l0,0">
                  <v:stroke weight="0pt" endcap="flat" joinstyle="miter" miterlimit="10" on="false" color="#000000" opacity="0"/>
                  <v:fill on="true" color="#e3e3e3"/>
                </v:shape>
                <v:shape id="Shape 8813" style="position:absolute;width:57280;height:91;left:33;top:168;" coordsize="5728081,9144" path="m0,0l5728081,0l5728081,9144l0,9144l0,0">
                  <v:stroke weight="0pt" endcap="flat" joinstyle="miter" miterlimit="10" on="false" color="#000000" opacity="0"/>
                  <v:fill on="true" color="#e3e3e3"/>
                </v:shape>
                <v:shape id="Shape 8814" style="position:absolute;width:91;height:91;left:57315;top:168;" coordsize="9144,9144" path="m0,0l9144,0l9144,9144l0,9144l0,0">
                  <v:stroke weight="0pt" endcap="flat" joinstyle="miter" miterlimit="10" on="false" color="#000000" opacity="0"/>
                  <v:fill on="true" color="#e3e3e3"/>
                </v:shape>
              </v:group>
            </w:pict>
          </mc:Fallback>
        </mc:AlternateContent>
      </w:r>
      <w:r>
        <w:t xml:space="preserve"> </w:t>
      </w:r>
    </w:p>
    <w:p w14:paraId="6CBA4037" w14:textId="77777777" w:rsidR="00641A36" w:rsidRDefault="00000000">
      <w:pPr>
        <w:pStyle w:val="Heading1"/>
        <w:ind w:left="-5"/>
      </w:pPr>
      <w:r>
        <w:t xml:space="preserve">5. Methodology </w:t>
      </w:r>
    </w:p>
    <w:p w14:paraId="403E6921" w14:textId="77777777" w:rsidR="00641A36" w:rsidRDefault="00000000">
      <w:pPr>
        <w:ind w:right="43"/>
      </w:pPr>
      <w:r>
        <w:t xml:space="preserve">101 students participated in a survey designed to gauge their experiences with various teaching philosophies, levels of involvement, and difficulties they face. Preferred activities, interaction hurdles, and opportunities for development in English language lessons were the main topics of the </w:t>
      </w:r>
      <w:proofErr w:type="spellStart"/>
      <w:r>
        <w:t>multiplechoice</w:t>
      </w:r>
      <w:proofErr w:type="spellEnd"/>
      <w:r>
        <w:t xml:space="preserve"> survey. Initially, 51 students' responses were gathered (using the Online data), and an additional 50 responses were supplied separately. To find patterns and preferences, the gathered data was then examined. </w:t>
      </w:r>
    </w:p>
    <w:p w14:paraId="3553E73D" w14:textId="77777777" w:rsidR="00641A36" w:rsidRDefault="00000000">
      <w:pPr>
        <w:spacing w:after="62" w:line="259" w:lineRule="auto"/>
        <w:ind w:left="0" w:firstLine="0"/>
      </w:pPr>
      <w:r>
        <w:t xml:space="preserve"> </w:t>
      </w:r>
    </w:p>
    <w:p w14:paraId="6EDAD73D" w14:textId="77777777" w:rsidR="00641A36" w:rsidRDefault="00000000">
      <w:pPr>
        <w:spacing w:after="439" w:line="259" w:lineRule="auto"/>
        <w:ind w:left="0" w:firstLine="0"/>
        <w:jc w:val="right"/>
      </w:pPr>
      <w:r>
        <w:rPr>
          <w:rFonts w:ascii="Calibri" w:eastAsia="Calibri" w:hAnsi="Calibri" w:cs="Calibri"/>
          <w:noProof/>
        </w:rPr>
        <mc:AlternateContent>
          <mc:Choice Requires="wpg">
            <w:drawing>
              <wp:inline distT="0" distB="0" distL="0" distR="0" wp14:anchorId="4DFB16B9" wp14:editId="34A385E2">
                <wp:extent cx="5734558" cy="20574"/>
                <wp:effectExtent l="0" t="0" r="0" b="0"/>
                <wp:docPr id="7500" name="Group 7500"/>
                <wp:cNvGraphicFramePr/>
                <a:graphic xmlns:a="http://schemas.openxmlformats.org/drawingml/2006/main">
                  <a:graphicData uri="http://schemas.microsoft.com/office/word/2010/wordprocessingGroup">
                    <wpg:wgp>
                      <wpg:cNvGrpSpPr/>
                      <wpg:grpSpPr>
                        <a:xfrm>
                          <a:off x="0" y="0"/>
                          <a:ext cx="5734558" cy="20574"/>
                          <a:chOff x="0" y="0"/>
                          <a:chExt cx="5734558" cy="20574"/>
                        </a:xfrm>
                      </wpg:grpSpPr>
                      <wps:wsp>
                        <wps:cNvPr id="8815" name="Shape 8815"/>
                        <wps:cNvSpPr/>
                        <wps:spPr>
                          <a:xfrm>
                            <a:off x="0" y="0"/>
                            <a:ext cx="5733415" cy="19685"/>
                          </a:xfrm>
                          <a:custGeom>
                            <a:avLst/>
                            <a:gdLst/>
                            <a:ahLst/>
                            <a:cxnLst/>
                            <a:rect l="0" t="0" r="0" b="0"/>
                            <a:pathLst>
                              <a:path w="5733415" h="19685">
                                <a:moveTo>
                                  <a:pt x="0" y="0"/>
                                </a:moveTo>
                                <a:lnTo>
                                  <a:pt x="5733415" y="0"/>
                                </a:lnTo>
                                <a:lnTo>
                                  <a:pt x="5733415"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816" name="Shape 8816"/>
                        <wps:cNvSpPr/>
                        <wps:spPr>
                          <a:xfrm>
                            <a:off x="305"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817" name="Shape 8817"/>
                        <wps:cNvSpPr/>
                        <wps:spPr>
                          <a:xfrm>
                            <a:off x="3353" y="762"/>
                            <a:ext cx="5728081" cy="9144"/>
                          </a:xfrm>
                          <a:custGeom>
                            <a:avLst/>
                            <a:gdLst/>
                            <a:ahLst/>
                            <a:cxnLst/>
                            <a:rect l="0" t="0" r="0" b="0"/>
                            <a:pathLst>
                              <a:path w="5728081" h="9144">
                                <a:moveTo>
                                  <a:pt x="0" y="0"/>
                                </a:moveTo>
                                <a:lnTo>
                                  <a:pt x="5728081" y="0"/>
                                </a:lnTo>
                                <a:lnTo>
                                  <a:pt x="572808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818" name="Shape 8818"/>
                        <wps:cNvSpPr/>
                        <wps:spPr>
                          <a:xfrm>
                            <a:off x="5731510"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819" name="Shape 8819"/>
                        <wps:cNvSpPr/>
                        <wps:spPr>
                          <a:xfrm>
                            <a:off x="305" y="380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8820" name="Shape 8820"/>
                        <wps:cNvSpPr/>
                        <wps:spPr>
                          <a:xfrm>
                            <a:off x="5731510" y="3809"/>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821" name="Shape 8821"/>
                        <wps:cNvSpPr/>
                        <wps:spPr>
                          <a:xfrm>
                            <a:off x="305"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822" name="Shape 8822"/>
                        <wps:cNvSpPr/>
                        <wps:spPr>
                          <a:xfrm>
                            <a:off x="3353" y="17526"/>
                            <a:ext cx="5728081" cy="9144"/>
                          </a:xfrm>
                          <a:custGeom>
                            <a:avLst/>
                            <a:gdLst/>
                            <a:ahLst/>
                            <a:cxnLst/>
                            <a:rect l="0" t="0" r="0" b="0"/>
                            <a:pathLst>
                              <a:path w="5728081" h="9144">
                                <a:moveTo>
                                  <a:pt x="0" y="0"/>
                                </a:moveTo>
                                <a:lnTo>
                                  <a:pt x="5728081" y="0"/>
                                </a:lnTo>
                                <a:lnTo>
                                  <a:pt x="572808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8823" name="Shape 8823"/>
                        <wps:cNvSpPr/>
                        <wps:spPr>
                          <a:xfrm>
                            <a:off x="5731510" y="175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7500" style="width:451.54pt;height:1.62pt;mso-position-horizontal-relative:char;mso-position-vertical-relative:line" coordsize="57345,205">
                <v:shape id="Shape 8824" style="position:absolute;width:57334;height:196;left:0;top:0;" coordsize="5733415,19685" path="m0,0l5733415,0l5733415,19685l0,19685l0,0">
                  <v:stroke weight="0pt" endcap="flat" joinstyle="miter" miterlimit="10" on="false" color="#000000" opacity="0"/>
                  <v:fill on="true" color="#a0a0a0"/>
                </v:shape>
                <v:shape id="Shape 8825" style="position:absolute;width:91;height:91;left:3;top:7;" coordsize="9144,9144" path="m0,0l9144,0l9144,9144l0,9144l0,0">
                  <v:stroke weight="0pt" endcap="flat" joinstyle="miter" miterlimit="10" on="false" color="#000000" opacity="0"/>
                  <v:fill on="true" color="#a0a0a0"/>
                </v:shape>
                <v:shape id="Shape 8826" style="position:absolute;width:57280;height:91;left:33;top:7;" coordsize="5728081,9144" path="m0,0l5728081,0l5728081,9144l0,9144l0,0">
                  <v:stroke weight="0pt" endcap="flat" joinstyle="miter" miterlimit="10" on="false" color="#000000" opacity="0"/>
                  <v:fill on="true" color="#a0a0a0"/>
                </v:shape>
                <v:shape id="Shape 8827" style="position:absolute;width:91;height:91;left:57315;top:7;" coordsize="9144,9144" path="m0,0l9144,0l9144,9144l0,9144l0,0">
                  <v:stroke weight="0pt" endcap="flat" joinstyle="miter" miterlimit="10" on="false" color="#000000" opacity="0"/>
                  <v:fill on="true" color="#a0a0a0"/>
                </v:shape>
                <v:shape id="Shape 8828" style="position:absolute;width:91;height:137;left:3;top:38;" coordsize="9144,13716" path="m0,0l9144,0l9144,13716l0,13716l0,0">
                  <v:stroke weight="0pt" endcap="flat" joinstyle="miter" miterlimit="10" on="false" color="#000000" opacity="0"/>
                  <v:fill on="true" color="#a0a0a0"/>
                </v:shape>
                <v:shape id="Shape 8829" style="position:absolute;width:91;height:137;left:57315;top:38;" coordsize="9144,13716" path="m0,0l9144,0l9144,13716l0,13716l0,0">
                  <v:stroke weight="0pt" endcap="flat" joinstyle="miter" miterlimit="10" on="false" color="#000000" opacity="0"/>
                  <v:fill on="true" color="#e3e3e3"/>
                </v:shape>
                <v:shape id="Shape 8830" style="position:absolute;width:91;height:91;left:3;top:175;" coordsize="9144,9144" path="m0,0l9144,0l9144,9144l0,9144l0,0">
                  <v:stroke weight="0pt" endcap="flat" joinstyle="miter" miterlimit="10" on="false" color="#000000" opacity="0"/>
                  <v:fill on="true" color="#e3e3e3"/>
                </v:shape>
                <v:shape id="Shape 8831" style="position:absolute;width:57280;height:91;left:33;top:175;" coordsize="5728081,9144" path="m0,0l5728081,0l5728081,9144l0,9144l0,0">
                  <v:stroke weight="0pt" endcap="flat" joinstyle="miter" miterlimit="10" on="false" color="#000000" opacity="0"/>
                  <v:fill on="true" color="#e3e3e3"/>
                </v:shape>
                <v:shape id="Shape 8832" style="position:absolute;width:91;height:91;left:57315;top:175;" coordsize="9144,9144" path="m0,0l9144,0l9144,9144l0,9144l0,0">
                  <v:stroke weight="0pt" endcap="flat" joinstyle="miter" miterlimit="10" on="false" color="#000000" opacity="0"/>
                  <v:fill on="true" color="#e3e3e3"/>
                </v:shape>
              </v:group>
            </w:pict>
          </mc:Fallback>
        </mc:AlternateContent>
      </w:r>
      <w:r>
        <w:t xml:space="preserve"> </w:t>
      </w:r>
    </w:p>
    <w:p w14:paraId="5C803552" w14:textId="77777777" w:rsidR="00641A36" w:rsidRDefault="00000000">
      <w:pPr>
        <w:pStyle w:val="Heading1"/>
        <w:ind w:left="-5"/>
      </w:pPr>
      <w:r>
        <w:t xml:space="preserve">6. Survey Results and Analysis </w:t>
      </w:r>
    </w:p>
    <w:p w14:paraId="3D8A75DD" w14:textId="77777777" w:rsidR="00641A36" w:rsidRDefault="00000000">
      <w:pPr>
        <w:spacing w:after="19" w:line="259" w:lineRule="auto"/>
        <w:ind w:left="0" w:firstLine="0"/>
      </w:pPr>
      <w:r>
        <w:rPr>
          <w:rFonts w:ascii="Arial" w:eastAsia="Arial" w:hAnsi="Arial" w:cs="Arial"/>
        </w:rPr>
        <w:t xml:space="preserve"> </w:t>
      </w:r>
    </w:p>
    <w:p w14:paraId="03D8686B" w14:textId="77777777" w:rsidR="00641A36" w:rsidRDefault="00000000">
      <w:pPr>
        <w:spacing w:after="16" w:line="259" w:lineRule="auto"/>
        <w:ind w:left="0" w:firstLine="0"/>
      </w:pPr>
      <w:r>
        <w:rPr>
          <w:rFonts w:ascii="Arial" w:eastAsia="Arial" w:hAnsi="Arial" w:cs="Arial"/>
        </w:rPr>
        <w:t xml:space="preserve"> </w:t>
      </w:r>
    </w:p>
    <w:p w14:paraId="202A8F24" w14:textId="77777777" w:rsidR="00641A36" w:rsidRDefault="00000000">
      <w:pPr>
        <w:spacing w:after="16" w:line="259" w:lineRule="auto"/>
        <w:ind w:left="0" w:firstLine="0"/>
      </w:pPr>
      <w:r>
        <w:rPr>
          <w:rFonts w:ascii="Arial" w:eastAsia="Arial" w:hAnsi="Arial" w:cs="Arial"/>
        </w:rPr>
        <w:t xml:space="preserve"> </w:t>
      </w:r>
    </w:p>
    <w:p w14:paraId="1BC20962" w14:textId="77777777" w:rsidR="00641A36" w:rsidRDefault="00000000">
      <w:pPr>
        <w:pStyle w:val="Heading2"/>
        <w:ind w:left="-5"/>
      </w:pPr>
      <w:r>
        <w:t xml:space="preserve">1.Teaching Methodologies </w:t>
      </w:r>
    </w:p>
    <w:p w14:paraId="7DEEBC01" w14:textId="77777777" w:rsidR="00641A36" w:rsidRDefault="00000000">
      <w:pPr>
        <w:ind w:right="43"/>
      </w:pPr>
      <w:r>
        <w:t xml:space="preserve">This section encompasses student preferences for various teaching methods, effective activities for language acquisition, and suggested adjustments to make activities more inclusive. </w:t>
      </w:r>
    </w:p>
    <w:p w14:paraId="4AAF7689" w14:textId="77777777" w:rsidR="00641A36" w:rsidRDefault="00000000">
      <w:pPr>
        <w:pStyle w:val="Heading2"/>
        <w:ind w:left="-5"/>
      </w:pPr>
      <w:r>
        <w:t xml:space="preserve">Engagement with Teaching Activities </w:t>
      </w:r>
    </w:p>
    <w:p w14:paraId="48634F7E" w14:textId="77777777" w:rsidR="00641A36" w:rsidRDefault="00000000">
      <w:pPr>
        <w:ind w:right="43"/>
      </w:pPr>
      <w:r>
        <w:t xml:space="preserve">Students </w:t>
      </w:r>
      <w:proofErr w:type="spellStart"/>
      <w:r>
        <w:t>favored</w:t>
      </w:r>
      <w:proofErr w:type="spellEnd"/>
      <w:r>
        <w:t xml:space="preserve"> </w:t>
      </w:r>
      <w:r>
        <w:rPr>
          <w:b/>
        </w:rPr>
        <w:t>real-life conversation practice</w:t>
      </w:r>
      <w:r>
        <w:t xml:space="preserve"> (46 responses) and </w:t>
      </w:r>
      <w:r>
        <w:rPr>
          <w:b/>
        </w:rPr>
        <w:t>interactive games</w:t>
      </w:r>
      <w:r>
        <w:t xml:space="preserve"> (24 responses), indicating that activities mimicking real-world language use enhance engagement. Other popular activities included </w:t>
      </w:r>
      <w:r>
        <w:rPr>
          <w:b/>
        </w:rPr>
        <w:t>group work</w:t>
      </w:r>
      <w:r>
        <w:t xml:space="preserve"> and </w:t>
      </w:r>
      <w:r>
        <w:rPr>
          <w:b/>
        </w:rPr>
        <w:t>writing tasks</w:t>
      </w:r>
      <w:r>
        <w:t xml:space="preserve">, which suggest that collaborative and expressive exercises are also effective. </w:t>
      </w:r>
    </w:p>
    <w:p w14:paraId="24ED79EE" w14:textId="77777777" w:rsidR="00641A36" w:rsidRDefault="00000000">
      <w:pPr>
        <w:pStyle w:val="Heading2"/>
        <w:ind w:left="-5"/>
      </w:pPr>
      <w:r>
        <w:t xml:space="preserve">Learning Activities </w:t>
      </w:r>
    </w:p>
    <w:p w14:paraId="456B5B2E" w14:textId="77777777" w:rsidR="00641A36" w:rsidRDefault="00000000">
      <w:pPr>
        <w:ind w:right="43"/>
      </w:pPr>
      <w:r>
        <w:t xml:space="preserve">Students highlighted </w:t>
      </w:r>
      <w:r>
        <w:rPr>
          <w:b/>
        </w:rPr>
        <w:t>group discussions</w:t>
      </w:r>
      <w:r>
        <w:t xml:space="preserve"> (33 responses) and </w:t>
      </w:r>
      <w:r>
        <w:rPr>
          <w:b/>
        </w:rPr>
        <w:t>writing exercises</w:t>
      </w:r>
      <w:r>
        <w:t xml:space="preserve"> (31 responses) as especially effective for language learning, underscoring the importance of interaction and structured practice. Listening-based tasks like </w:t>
      </w:r>
      <w:r>
        <w:rPr>
          <w:b/>
        </w:rPr>
        <w:t>audio and video analysis</w:t>
      </w:r>
      <w:r>
        <w:t xml:space="preserve"> were also valued for building comprehension. </w:t>
      </w:r>
    </w:p>
    <w:p w14:paraId="4295C4A2" w14:textId="77777777" w:rsidR="00641A36" w:rsidRDefault="00000000">
      <w:pPr>
        <w:pStyle w:val="Heading2"/>
        <w:ind w:left="-5"/>
      </w:pPr>
      <w:r>
        <w:t xml:space="preserve">Desired Adjustments to Activities </w:t>
      </w:r>
    </w:p>
    <w:p w14:paraId="06A55B4A" w14:textId="77777777" w:rsidR="00641A36" w:rsidRDefault="00000000">
      <w:pPr>
        <w:ind w:right="293"/>
      </w:pPr>
      <w:r>
        <w:t xml:space="preserve">Students suggested several changes to improve inclusivity and engagement. For example, balancing </w:t>
      </w:r>
      <w:r>
        <w:rPr>
          <w:b/>
        </w:rPr>
        <w:t>fun activities like games</w:t>
      </w:r>
      <w:r>
        <w:t xml:space="preserve"> (33 responses) and adjusting </w:t>
      </w:r>
      <w:r>
        <w:rPr>
          <w:b/>
        </w:rPr>
        <w:t>listening exercises to comprehension levels</w:t>
      </w:r>
      <w:r>
        <w:t xml:space="preserve"> (23 responses) were frequent suggestions. Additionally, </w:t>
      </w:r>
      <w:r>
        <w:rPr>
          <w:b/>
        </w:rPr>
        <w:t>making group discussions more inclusive</w:t>
      </w:r>
      <w:r>
        <w:t xml:space="preserve"> and adjusting the </w:t>
      </w:r>
      <w:r>
        <w:rPr>
          <w:b/>
        </w:rPr>
        <w:t>length of writing assignments</w:t>
      </w:r>
      <w:r>
        <w:t xml:space="preserve"> could enhance accessibility and interest. </w:t>
      </w:r>
    </w:p>
    <w:p w14:paraId="10ABD098" w14:textId="77777777" w:rsidR="00641A36" w:rsidRDefault="00000000">
      <w:pPr>
        <w:spacing w:after="15" w:line="259" w:lineRule="auto"/>
        <w:ind w:left="0" w:firstLine="0"/>
      </w:pPr>
      <w:r>
        <w:t xml:space="preserve"> </w:t>
      </w:r>
    </w:p>
    <w:p w14:paraId="2A6E1F3A" w14:textId="77777777" w:rsidR="00641A36" w:rsidRDefault="00000000">
      <w:pPr>
        <w:spacing w:after="17" w:line="259" w:lineRule="auto"/>
        <w:ind w:left="0" w:firstLine="0"/>
      </w:pPr>
      <w:r>
        <w:t xml:space="preserve"> </w:t>
      </w:r>
    </w:p>
    <w:p w14:paraId="5DB0BCE6" w14:textId="77777777" w:rsidR="00641A36" w:rsidRDefault="00000000">
      <w:pPr>
        <w:spacing w:after="14" w:line="259" w:lineRule="auto"/>
        <w:ind w:left="0" w:firstLine="0"/>
      </w:pPr>
      <w:r>
        <w:t xml:space="preserve"> </w:t>
      </w:r>
    </w:p>
    <w:p w14:paraId="604BB2AC" w14:textId="77777777" w:rsidR="00641A36" w:rsidRDefault="00000000">
      <w:pPr>
        <w:spacing w:after="14" w:line="259" w:lineRule="auto"/>
        <w:ind w:left="0" w:firstLine="0"/>
      </w:pPr>
      <w:r>
        <w:t xml:space="preserve"> </w:t>
      </w:r>
    </w:p>
    <w:p w14:paraId="531258A2" w14:textId="77777777" w:rsidR="00641A36" w:rsidRDefault="00000000">
      <w:pPr>
        <w:spacing w:after="0" w:line="259" w:lineRule="auto"/>
        <w:ind w:left="0" w:firstLine="0"/>
      </w:pPr>
      <w:r>
        <w:t xml:space="preserve"> </w:t>
      </w:r>
    </w:p>
    <w:p w14:paraId="01DF2B21" w14:textId="77777777" w:rsidR="00641A36" w:rsidRDefault="00000000">
      <w:pPr>
        <w:spacing w:after="14" w:line="259" w:lineRule="auto"/>
        <w:ind w:left="0" w:firstLine="0"/>
      </w:pPr>
      <w:r>
        <w:t xml:space="preserve"> </w:t>
      </w:r>
    </w:p>
    <w:p w14:paraId="69863028" w14:textId="77777777" w:rsidR="00641A36" w:rsidRDefault="00000000">
      <w:pPr>
        <w:spacing w:after="14" w:line="259" w:lineRule="auto"/>
        <w:ind w:left="0" w:firstLine="0"/>
      </w:pPr>
      <w:r>
        <w:t xml:space="preserve"> </w:t>
      </w:r>
    </w:p>
    <w:p w14:paraId="5BF25DF3" w14:textId="77777777" w:rsidR="00641A36" w:rsidRDefault="00000000">
      <w:pPr>
        <w:spacing w:after="17" w:line="259" w:lineRule="auto"/>
        <w:ind w:left="0" w:firstLine="0"/>
      </w:pPr>
      <w:r>
        <w:lastRenderedPageBreak/>
        <w:t xml:space="preserve"> </w:t>
      </w:r>
    </w:p>
    <w:p w14:paraId="7C0B27F0" w14:textId="77777777" w:rsidR="00641A36" w:rsidRDefault="00000000">
      <w:pPr>
        <w:pStyle w:val="Heading2"/>
        <w:ind w:left="-5"/>
      </w:pPr>
      <w:r>
        <w:rPr>
          <w:b w:val="0"/>
        </w:rPr>
        <w:t xml:space="preserve">2. </w:t>
      </w:r>
      <w:r>
        <w:t xml:space="preserve">Student Interaction and Engagement </w:t>
      </w:r>
    </w:p>
    <w:p w14:paraId="53081B45" w14:textId="77777777" w:rsidR="00641A36" w:rsidRDefault="00000000">
      <w:pPr>
        <w:ind w:right="43"/>
      </w:pPr>
      <w:r>
        <w:t xml:space="preserve">This section focuses on students’ interaction challenges, barriers to active participation, and their views on class dynamics. </w:t>
      </w:r>
    </w:p>
    <w:p w14:paraId="790B1448" w14:textId="77777777" w:rsidR="00641A36" w:rsidRDefault="00000000">
      <w:pPr>
        <w:pStyle w:val="Heading2"/>
        <w:ind w:left="-5"/>
      </w:pPr>
      <w:r>
        <w:t xml:space="preserve">Barriers to Interaction </w:t>
      </w:r>
    </w:p>
    <w:p w14:paraId="391615C7" w14:textId="77777777" w:rsidR="00641A36" w:rsidRDefault="00000000">
      <w:pPr>
        <w:ind w:right="43"/>
      </w:pPr>
      <w:r>
        <w:t xml:space="preserve">Many students preferred </w:t>
      </w:r>
      <w:r>
        <w:rPr>
          <w:b/>
        </w:rPr>
        <w:t>listening</w:t>
      </w:r>
      <w:r>
        <w:t xml:space="preserve"> (41 responses) over participating, mainly due to </w:t>
      </w:r>
      <w:r>
        <w:rPr>
          <w:b/>
        </w:rPr>
        <w:t>fear of making mistakes</w:t>
      </w:r>
      <w:r>
        <w:t xml:space="preserve"> (23 responses) and </w:t>
      </w:r>
      <w:r>
        <w:rPr>
          <w:b/>
        </w:rPr>
        <w:t>shyness</w:t>
      </w:r>
      <w:r>
        <w:t xml:space="preserve"> (18 responses). These findings highlight the need for a supportive environment that encourages active speaking without fear of judgment. </w:t>
      </w:r>
    </w:p>
    <w:p w14:paraId="1F4E4471" w14:textId="77777777" w:rsidR="00641A36" w:rsidRDefault="00000000">
      <w:pPr>
        <w:pStyle w:val="Heading2"/>
        <w:ind w:left="-5"/>
      </w:pPr>
      <w:r>
        <w:t xml:space="preserve">Challenges with Class Activities </w:t>
      </w:r>
    </w:p>
    <w:p w14:paraId="18A47207" w14:textId="77777777" w:rsidR="00641A36" w:rsidRDefault="00000000">
      <w:pPr>
        <w:ind w:right="43"/>
      </w:pPr>
      <w:r>
        <w:t xml:space="preserve">The most challenging activities included </w:t>
      </w:r>
      <w:r>
        <w:rPr>
          <w:b/>
        </w:rPr>
        <w:t>speaking in front of the class</w:t>
      </w:r>
      <w:r>
        <w:t xml:space="preserve"> (41 responses) and </w:t>
      </w:r>
      <w:r>
        <w:rPr>
          <w:b/>
        </w:rPr>
        <w:t>rapid quizzes</w:t>
      </w:r>
      <w:r>
        <w:t xml:space="preserve"> (15 responses), pointing to the need for gradual confidence-building steps. Students may benefit from smaller, low-stakes speaking tasks before engaging in full-class participation. </w:t>
      </w:r>
    </w:p>
    <w:p w14:paraId="77B73B40" w14:textId="77777777" w:rsidR="00641A36" w:rsidRDefault="00000000">
      <w:pPr>
        <w:pStyle w:val="Heading2"/>
        <w:ind w:left="-5"/>
      </w:pPr>
      <w:r>
        <w:t xml:space="preserve">Student Perception of Lesson Pace </w:t>
      </w:r>
    </w:p>
    <w:p w14:paraId="4B68F5BE" w14:textId="77777777" w:rsidR="00641A36" w:rsidRDefault="00000000">
      <w:pPr>
        <w:ind w:right="43"/>
      </w:pPr>
      <w:r>
        <w:t xml:space="preserve">While many students felt </w:t>
      </w:r>
      <w:r>
        <w:rPr>
          <w:b/>
        </w:rPr>
        <w:t>able to go with the flow</w:t>
      </w:r>
      <w:r>
        <w:t xml:space="preserve"> (36 responses), others either felt </w:t>
      </w:r>
      <w:r>
        <w:rPr>
          <w:b/>
        </w:rPr>
        <w:t>left behind</w:t>
      </w:r>
      <w:r>
        <w:t xml:space="preserve"> (21 responses) or </w:t>
      </w:r>
      <w:r>
        <w:rPr>
          <w:b/>
        </w:rPr>
        <w:t>unchallenged</w:t>
      </w:r>
      <w:r>
        <w:t xml:space="preserve"> (16 responses). This suggests that a differentiated approach to pacing could keep all students engaged and appropriately challenged. </w:t>
      </w:r>
    </w:p>
    <w:p w14:paraId="14A85EA8" w14:textId="77777777" w:rsidR="00641A36" w:rsidRDefault="00000000">
      <w:pPr>
        <w:spacing w:after="14" w:line="259" w:lineRule="auto"/>
        <w:ind w:left="0" w:firstLine="0"/>
      </w:pPr>
      <w:r>
        <w:t xml:space="preserve"> </w:t>
      </w:r>
    </w:p>
    <w:p w14:paraId="1A440456" w14:textId="77777777" w:rsidR="00641A36" w:rsidRDefault="00000000">
      <w:pPr>
        <w:spacing w:after="478"/>
        <w:ind w:right="43"/>
      </w:pPr>
      <w:r>
        <w:t xml:space="preserve">________________________________________________________________________ </w:t>
      </w:r>
    </w:p>
    <w:p w14:paraId="3E671EA6" w14:textId="77777777" w:rsidR="00641A36" w:rsidRDefault="00000000">
      <w:pPr>
        <w:pStyle w:val="Heading1"/>
        <w:spacing w:after="154"/>
        <w:ind w:left="-5"/>
      </w:pPr>
      <w:r>
        <w:t xml:space="preserve">7. Discussion on Results </w:t>
      </w:r>
    </w:p>
    <w:p w14:paraId="150FA41E" w14:textId="77777777" w:rsidR="00641A36" w:rsidRDefault="00000000">
      <w:pPr>
        <w:spacing w:after="478"/>
        <w:ind w:right="43"/>
      </w:pPr>
      <w:r>
        <w:t xml:space="preserve">The information shows that </w:t>
      </w:r>
      <w:proofErr w:type="gramStart"/>
      <w:r>
        <w:t>in order to</w:t>
      </w:r>
      <w:proofErr w:type="gramEnd"/>
      <w:r>
        <w:t xml:space="preserve"> increase engagement, students choose hands-on, interactive activities such as group discussions, real-world talks, and interactive games. Shyness and fear of making mistakes were among the most common psychological obstacles, indicating that creating a </w:t>
      </w:r>
      <w:proofErr w:type="gramStart"/>
      <w:r>
        <w:t>low-stakes</w:t>
      </w:r>
      <w:proofErr w:type="gramEnd"/>
      <w:r>
        <w:t xml:space="preserve">, encouraging atmosphere may help to overcome these problems. </w:t>
      </w:r>
    </w:p>
    <w:p w14:paraId="1417D643" w14:textId="77777777" w:rsidR="00641A36" w:rsidRDefault="00000000">
      <w:pPr>
        <w:pStyle w:val="Heading1"/>
        <w:spacing w:after="152"/>
        <w:ind w:left="-5"/>
      </w:pPr>
      <w:r>
        <w:t xml:space="preserve">8. Unexpected Findings </w:t>
      </w:r>
    </w:p>
    <w:p w14:paraId="71838721" w14:textId="77777777" w:rsidR="00641A36" w:rsidRDefault="00000000">
      <w:pPr>
        <w:spacing w:after="478"/>
        <w:ind w:right="43"/>
      </w:pPr>
      <w:r>
        <w:t xml:space="preserve">The appeal of story predictions and peer presentations as interesting listening exercises was one surprising discovery. This inclination implies that students relate to peer-led or narrative-based activities more, maybe </w:t>
      </w:r>
      <w:proofErr w:type="gramStart"/>
      <w:r>
        <w:t>as a result of</w:t>
      </w:r>
      <w:proofErr w:type="gramEnd"/>
      <w:r>
        <w:t xml:space="preserve"> their dynamic and cooperative nature. </w:t>
      </w:r>
    </w:p>
    <w:p w14:paraId="5DE3DF11" w14:textId="77777777" w:rsidR="00641A36" w:rsidRDefault="00000000">
      <w:pPr>
        <w:pStyle w:val="Heading1"/>
        <w:spacing w:after="152"/>
        <w:ind w:left="-5"/>
      </w:pPr>
      <w:r>
        <w:t xml:space="preserve">9. Scope for Further Studies </w:t>
      </w:r>
    </w:p>
    <w:p w14:paraId="09F1868A" w14:textId="77777777" w:rsidR="00641A36" w:rsidRDefault="00000000">
      <w:pPr>
        <w:spacing w:after="245"/>
        <w:ind w:right="43"/>
      </w:pPr>
      <w:r>
        <w:t xml:space="preserve">Future studies could examine flexible teaching strategies that accommodate a range of interaction preferences, like breaking up classes into smaller groups or adjusting the tempo of lessons using technology. Studies could also concentrate on methods for getting past psychological obstacles in language acquisition, like exercises that boost confidence.  </w:t>
      </w:r>
    </w:p>
    <w:p w14:paraId="11C31D2C" w14:textId="77777777" w:rsidR="00641A36" w:rsidRDefault="00000000">
      <w:pPr>
        <w:spacing w:after="485" w:line="259" w:lineRule="auto"/>
        <w:ind w:left="0" w:firstLine="0"/>
      </w:pPr>
      <w:r>
        <w:t xml:space="preserve"> </w:t>
      </w:r>
    </w:p>
    <w:p w14:paraId="0542EDF1" w14:textId="77777777" w:rsidR="00641A36" w:rsidRDefault="00000000">
      <w:pPr>
        <w:pStyle w:val="Heading1"/>
        <w:ind w:left="-5"/>
      </w:pPr>
      <w:r>
        <w:t xml:space="preserve">10. Conclusion </w:t>
      </w:r>
    </w:p>
    <w:p w14:paraId="73AED891" w14:textId="77777777" w:rsidR="00641A36" w:rsidRDefault="00000000">
      <w:pPr>
        <w:spacing w:after="322"/>
        <w:ind w:right="43"/>
      </w:pPr>
      <w:r>
        <w:t xml:space="preserve">According to this study, psychological barriers affect student participation in English language learning, while engaging and useful activities increase engagement. Teachers can use the research's insights to inform inclusive and flexible teaching strategies that cater to a range of student requirements, which will eventually boost their confidence and language skills. </w:t>
      </w:r>
    </w:p>
    <w:p w14:paraId="15B71E5A" w14:textId="77777777" w:rsidR="00641A36" w:rsidRDefault="00000000">
      <w:pPr>
        <w:spacing w:after="226" w:line="259" w:lineRule="auto"/>
        <w:ind w:left="-5"/>
      </w:pPr>
      <w:r>
        <w:rPr>
          <w:b/>
          <w:sz w:val="26"/>
        </w:rPr>
        <w:lastRenderedPageBreak/>
        <w:t xml:space="preserve">References </w:t>
      </w:r>
    </w:p>
    <w:p w14:paraId="2D1416EC" w14:textId="77777777" w:rsidR="00641A36" w:rsidRDefault="00000000">
      <w:pPr>
        <w:numPr>
          <w:ilvl w:val="0"/>
          <w:numId w:val="2"/>
        </w:numPr>
        <w:spacing w:after="3" w:line="272" w:lineRule="auto"/>
        <w:ind w:right="43" w:hanging="360"/>
      </w:pPr>
      <w:proofErr w:type="spellStart"/>
      <w:r>
        <w:t>Aljaafreh</w:t>
      </w:r>
      <w:proofErr w:type="spellEnd"/>
      <w:r>
        <w:t xml:space="preserve">, A., &amp; </w:t>
      </w:r>
      <w:proofErr w:type="spellStart"/>
      <w:r>
        <w:t>Lantolf</w:t>
      </w:r>
      <w:proofErr w:type="spellEnd"/>
      <w:r>
        <w:t xml:space="preserve">, J. P. (1994). Negative feedback as regulation and second language learning in the zone of proximal development. </w:t>
      </w:r>
      <w:r>
        <w:rPr>
          <w:i/>
        </w:rPr>
        <w:t>The Modern Language Journal, 78</w:t>
      </w:r>
      <w:r>
        <w:t xml:space="preserve">(4), 465483. </w:t>
      </w:r>
    </w:p>
    <w:p w14:paraId="76C0265C" w14:textId="77777777" w:rsidR="00641A36" w:rsidRDefault="00000000">
      <w:pPr>
        <w:numPr>
          <w:ilvl w:val="0"/>
          <w:numId w:val="2"/>
        </w:numPr>
        <w:ind w:right="43" w:hanging="360"/>
      </w:pPr>
      <w:r>
        <w:t xml:space="preserve">Anderson, N. J. (2008). Practical English language teaching: Reading. New York: McGraw </w:t>
      </w:r>
    </w:p>
    <w:p w14:paraId="448C9454" w14:textId="77777777" w:rsidR="00641A36" w:rsidRDefault="00000000">
      <w:pPr>
        <w:ind w:left="730" w:right="43"/>
      </w:pPr>
      <w:r>
        <w:t xml:space="preserve">Hill. </w:t>
      </w:r>
    </w:p>
    <w:p w14:paraId="60232C8F" w14:textId="77777777" w:rsidR="00641A36" w:rsidRDefault="00000000">
      <w:pPr>
        <w:numPr>
          <w:ilvl w:val="0"/>
          <w:numId w:val="2"/>
        </w:numPr>
        <w:ind w:right="43" w:hanging="360"/>
      </w:pPr>
      <w:r>
        <w:t xml:space="preserve">Atkinson, D. (2011). Alternative approaches to second language acquisition. New York: Routledge. </w:t>
      </w:r>
    </w:p>
    <w:p w14:paraId="4071662E" w14:textId="77777777" w:rsidR="00641A36" w:rsidRDefault="00000000">
      <w:pPr>
        <w:numPr>
          <w:ilvl w:val="0"/>
          <w:numId w:val="2"/>
        </w:numPr>
        <w:ind w:right="43" w:hanging="360"/>
      </w:pPr>
      <w:r>
        <w:t xml:space="preserve">Bachman, L. F., &amp; Palmer, A. S. (1996). </w:t>
      </w:r>
      <w:r>
        <w:rPr>
          <w:i/>
        </w:rPr>
        <w:t>Language testing in practice</w:t>
      </w:r>
      <w:r>
        <w:t xml:space="preserve">. Oxford University Press. </w:t>
      </w:r>
    </w:p>
    <w:p w14:paraId="5969D2B1" w14:textId="77777777" w:rsidR="00641A36" w:rsidRDefault="00000000">
      <w:pPr>
        <w:numPr>
          <w:ilvl w:val="0"/>
          <w:numId w:val="2"/>
        </w:numPr>
        <w:spacing w:after="11" w:line="266" w:lineRule="auto"/>
        <w:ind w:right="43" w:hanging="360"/>
      </w:pPr>
      <w:r>
        <w:t xml:space="preserve">Bailey, K. M., &amp; Nunan, D. (2001). </w:t>
      </w:r>
      <w:r>
        <w:rPr>
          <w:i/>
        </w:rPr>
        <w:t>Voices from the language classroom: Qualitative research in second language education</w:t>
      </w:r>
      <w:r>
        <w:t xml:space="preserve">. Cambridge University Press. </w:t>
      </w:r>
    </w:p>
    <w:p w14:paraId="4BC4C44A" w14:textId="77777777" w:rsidR="00641A36" w:rsidRDefault="00000000">
      <w:pPr>
        <w:numPr>
          <w:ilvl w:val="0"/>
          <w:numId w:val="2"/>
        </w:numPr>
        <w:ind w:right="43" w:hanging="360"/>
      </w:pPr>
      <w:r>
        <w:t xml:space="preserve">Bandura, A. (1997). </w:t>
      </w:r>
      <w:r>
        <w:rPr>
          <w:i/>
        </w:rPr>
        <w:t>Self-efficacy: The exercise of control</w:t>
      </w:r>
      <w:r>
        <w:t xml:space="preserve">. New York: W.H. Freeman. </w:t>
      </w:r>
    </w:p>
    <w:p w14:paraId="56AB2B9D" w14:textId="77777777" w:rsidR="00641A36" w:rsidRDefault="00000000">
      <w:pPr>
        <w:numPr>
          <w:ilvl w:val="0"/>
          <w:numId w:val="2"/>
        </w:numPr>
        <w:spacing w:after="11" w:line="266" w:lineRule="auto"/>
        <w:ind w:right="43" w:hanging="360"/>
      </w:pPr>
      <w:r>
        <w:t xml:space="preserve">Brown, H. D. (2007). </w:t>
      </w:r>
      <w:r>
        <w:rPr>
          <w:i/>
        </w:rPr>
        <w:t>Principles of language learning and teaching</w:t>
      </w:r>
      <w:r>
        <w:t xml:space="preserve">. Pearson Education. </w:t>
      </w:r>
    </w:p>
    <w:p w14:paraId="7FB512FA" w14:textId="77777777" w:rsidR="00641A36" w:rsidRDefault="00000000">
      <w:pPr>
        <w:numPr>
          <w:ilvl w:val="0"/>
          <w:numId w:val="2"/>
        </w:numPr>
        <w:spacing w:after="11" w:line="266" w:lineRule="auto"/>
        <w:ind w:right="43" w:hanging="360"/>
      </w:pPr>
      <w:r>
        <w:t xml:space="preserve">Brown, J. D. (2005). </w:t>
      </w:r>
      <w:r>
        <w:rPr>
          <w:i/>
        </w:rPr>
        <w:t>Testing in language programs: A comprehensive guide to English language assessment</w:t>
      </w:r>
      <w:r>
        <w:t xml:space="preserve">. McGraw Hill. </w:t>
      </w:r>
    </w:p>
    <w:p w14:paraId="60A60511" w14:textId="77777777" w:rsidR="00641A36" w:rsidRDefault="00000000">
      <w:pPr>
        <w:numPr>
          <w:ilvl w:val="0"/>
          <w:numId w:val="2"/>
        </w:numPr>
        <w:spacing w:after="11" w:line="266" w:lineRule="auto"/>
        <w:ind w:right="43" w:hanging="360"/>
      </w:pPr>
      <w:r>
        <w:t xml:space="preserve">Burns, A. (2010). </w:t>
      </w:r>
      <w:r>
        <w:rPr>
          <w:i/>
        </w:rPr>
        <w:t>Doing action research in English language teaching: A guide for practitioners</w:t>
      </w:r>
      <w:r>
        <w:t xml:space="preserve">. New York: Routledge. </w:t>
      </w:r>
    </w:p>
    <w:p w14:paraId="5C1D4DF1" w14:textId="77777777" w:rsidR="00641A36" w:rsidRDefault="00000000">
      <w:pPr>
        <w:numPr>
          <w:ilvl w:val="0"/>
          <w:numId w:val="2"/>
        </w:numPr>
        <w:ind w:right="43" w:hanging="360"/>
      </w:pPr>
      <w:proofErr w:type="spellStart"/>
      <w:r>
        <w:t>Canagarajah</w:t>
      </w:r>
      <w:proofErr w:type="spellEnd"/>
      <w:r>
        <w:t xml:space="preserve">, S. (2005). Critical pedagogy in L2 learning and teaching. </w:t>
      </w:r>
      <w:r>
        <w:rPr>
          <w:i/>
        </w:rPr>
        <w:t>International Journal of Applied Linguistics, 15</w:t>
      </w:r>
      <w:r>
        <w:t xml:space="preserve">(1), 93-119. </w:t>
      </w:r>
    </w:p>
    <w:p w14:paraId="6B43FE8D" w14:textId="77777777" w:rsidR="00641A36" w:rsidRDefault="00000000">
      <w:pPr>
        <w:numPr>
          <w:ilvl w:val="0"/>
          <w:numId w:val="2"/>
        </w:numPr>
        <w:ind w:right="43" w:hanging="360"/>
      </w:pPr>
      <w:proofErr w:type="spellStart"/>
      <w:r>
        <w:t>Celce</w:t>
      </w:r>
      <w:proofErr w:type="spellEnd"/>
      <w:r>
        <w:t xml:space="preserve">-Murcia, M., &amp; Larsen-Freeman, D. (1999). </w:t>
      </w:r>
      <w:r>
        <w:rPr>
          <w:i/>
        </w:rPr>
        <w:t>The grammar book: An ESL/EFL teacher's course</w:t>
      </w:r>
      <w:r>
        <w:t xml:space="preserve">. Heinle &amp; Heinle. </w:t>
      </w:r>
    </w:p>
    <w:p w14:paraId="2A89458F" w14:textId="77777777" w:rsidR="00641A36" w:rsidRDefault="00000000">
      <w:pPr>
        <w:numPr>
          <w:ilvl w:val="0"/>
          <w:numId w:val="2"/>
        </w:numPr>
        <w:ind w:right="43" w:hanging="360"/>
      </w:pPr>
      <w:proofErr w:type="spellStart"/>
      <w:r>
        <w:t>Chamot</w:t>
      </w:r>
      <w:proofErr w:type="spellEnd"/>
      <w:r>
        <w:t xml:space="preserve">, A. U. (2005). Language learning strategy instruction: Current issues and research. </w:t>
      </w:r>
      <w:r>
        <w:rPr>
          <w:i/>
        </w:rPr>
        <w:t>Annual Review of Applied Linguistics, 25</w:t>
      </w:r>
      <w:r>
        <w:t xml:space="preserve">, 112-130. </w:t>
      </w:r>
    </w:p>
    <w:p w14:paraId="6F3E4CCC" w14:textId="77777777" w:rsidR="00641A36" w:rsidRDefault="00000000">
      <w:pPr>
        <w:numPr>
          <w:ilvl w:val="0"/>
          <w:numId w:val="2"/>
        </w:numPr>
        <w:spacing w:after="11" w:line="266" w:lineRule="auto"/>
        <w:ind w:right="43" w:hanging="360"/>
      </w:pPr>
      <w:r>
        <w:t xml:space="preserve">Chaudron, C. (1988). </w:t>
      </w:r>
      <w:r>
        <w:rPr>
          <w:i/>
        </w:rPr>
        <w:t>Second language classrooms: Research on teaching and learning</w:t>
      </w:r>
      <w:r>
        <w:t xml:space="preserve">. Cambridge University Press. </w:t>
      </w:r>
    </w:p>
    <w:p w14:paraId="441523BF" w14:textId="77777777" w:rsidR="00641A36" w:rsidRDefault="00000000">
      <w:pPr>
        <w:numPr>
          <w:ilvl w:val="0"/>
          <w:numId w:val="2"/>
        </w:numPr>
        <w:ind w:right="43" w:hanging="360"/>
      </w:pPr>
      <w:proofErr w:type="spellStart"/>
      <w:r>
        <w:t>Dornyei</w:t>
      </w:r>
      <w:proofErr w:type="spellEnd"/>
      <w:r>
        <w:t xml:space="preserve">, Z. (2001). </w:t>
      </w:r>
      <w:r>
        <w:rPr>
          <w:i/>
        </w:rPr>
        <w:t>Motivational strategies in the language classroom</w:t>
      </w:r>
      <w:r>
        <w:t xml:space="preserve">. Cambridge University Press. </w:t>
      </w:r>
    </w:p>
    <w:p w14:paraId="7A09371E" w14:textId="77777777" w:rsidR="00641A36" w:rsidRDefault="00000000">
      <w:pPr>
        <w:numPr>
          <w:ilvl w:val="0"/>
          <w:numId w:val="2"/>
        </w:numPr>
        <w:ind w:right="43" w:hanging="360"/>
      </w:pPr>
      <w:r>
        <w:t xml:space="preserve">Ellis, R. (2003). </w:t>
      </w:r>
      <w:r>
        <w:rPr>
          <w:i/>
        </w:rPr>
        <w:t>Task-based language learning and teaching</w:t>
      </w:r>
      <w:r>
        <w:t xml:space="preserve">. Oxford University Press. </w:t>
      </w:r>
    </w:p>
    <w:p w14:paraId="4E9466D8" w14:textId="77777777" w:rsidR="00641A36" w:rsidRDefault="00000000">
      <w:pPr>
        <w:numPr>
          <w:ilvl w:val="0"/>
          <w:numId w:val="2"/>
        </w:numPr>
        <w:ind w:right="43" w:hanging="360"/>
      </w:pPr>
      <w:r>
        <w:t xml:space="preserve">Ellis, R. (2015). </w:t>
      </w:r>
      <w:r>
        <w:rPr>
          <w:i/>
        </w:rPr>
        <w:t>Understanding second language acquisition</w:t>
      </w:r>
      <w:r>
        <w:t xml:space="preserve">. Oxford University Press. </w:t>
      </w:r>
    </w:p>
    <w:p w14:paraId="2E3A4A81" w14:textId="77777777" w:rsidR="00641A36" w:rsidRDefault="00000000">
      <w:pPr>
        <w:numPr>
          <w:ilvl w:val="0"/>
          <w:numId w:val="2"/>
        </w:numPr>
        <w:spacing w:after="11" w:line="266" w:lineRule="auto"/>
        <w:ind w:right="43" w:hanging="360"/>
      </w:pPr>
      <w:r>
        <w:t xml:space="preserve">Gardner, R. C. (1985). </w:t>
      </w:r>
      <w:r>
        <w:rPr>
          <w:i/>
        </w:rPr>
        <w:t>Social psychology and second language learning: The role of attitudes and motivation</w:t>
      </w:r>
      <w:r>
        <w:t xml:space="preserve">. Edward Arnold. </w:t>
      </w:r>
    </w:p>
    <w:p w14:paraId="0D490F22" w14:textId="77777777" w:rsidR="00641A36" w:rsidRDefault="00000000">
      <w:pPr>
        <w:numPr>
          <w:ilvl w:val="0"/>
          <w:numId w:val="2"/>
        </w:numPr>
        <w:spacing w:after="11" w:line="266" w:lineRule="auto"/>
        <w:ind w:right="43" w:hanging="360"/>
      </w:pPr>
      <w:r>
        <w:t xml:space="preserve">Gass, S. M., &amp; </w:t>
      </w:r>
      <w:proofErr w:type="spellStart"/>
      <w:r>
        <w:t>Selinker</w:t>
      </w:r>
      <w:proofErr w:type="spellEnd"/>
      <w:r>
        <w:t xml:space="preserve">, L. (2008). </w:t>
      </w:r>
      <w:r>
        <w:rPr>
          <w:i/>
        </w:rPr>
        <w:t>Second language acquisition: An introductory course</w:t>
      </w:r>
      <w:r>
        <w:t xml:space="preserve">. </w:t>
      </w:r>
    </w:p>
    <w:p w14:paraId="46D63DC7" w14:textId="77777777" w:rsidR="00641A36" w:rsidRDefault="00000000">
      <w:pPr>
        <w:ind w:left="730" w:right="43"/>
      </w:pPr>
      <w:r>
        <w:t xml:space="preserve">Routledge. </w:t>
      </w:r>
    </w:p>
    <w:p w14:paraId="240CDE80" w14:textId="77777777" w:rsidR="00641A36" w:rsidRDefault="00000000">
      <w:pPr>
        <w:numPr>
          <w:ilvl w:val="0"/>
          <w:numId w:val="2"/>
        </w:numPr>
        <w:ind w:right="43" w:hanging="360"/>
      </w:pPr>
      <w:r>
        <w:t xml:space="preserve">Hadfield, J., &amp; Dörnyei, Z. (2013). </w:t>
      </w:r>
      <w:r>
        <w:rPr>
          <w:i/>
        </w:rPr>
        <w:t>Motivating learning</w:t>
      </w:r>
      <w:r>
        <w:t xml:space="preserve">. Routledge. </w:t>
      </w:r>
    </w:p>
    <w:p w14:paraId="1CC09ADC" w14:textId="77777777" w:rsidR="00641A36" w:rsidRDefault="00000000">
      <w:pPr>
        <w:numPr>
          <w:ilvl w:val="0"/>
          <w:numId w:val="2"/>
        </w:numPr>
        <w:ind w:right="43" w:hanging="360"/>
      </w:pPr>
      <w:r>
        <w:t xml:space="preserve">Harmer, J. (2007). </w:t>
      </w:r>
      <w:r>
        <w:rPr>
          <w:i/>
        </w:rPr>
        <w:t>How to teach English</w:t>
      </w:r>
      <w:r>
        <w:t xml:space="preserve">. Pearson Education Limited. </w:t>
      </w:r>
    </w:p>
    <w:p w14:paraId="2401B2E7" w14:textId="77777777" w:rsidR="00641A36" w:rsidRDefault="00000000">
      <w:pPr>
        <w:numPr>
          <w:ilvl w:val="0"/>
          <w:numId w:val="2"/>
        </w:numPr>
        <w:ind w:right="43" w:hanging="360"/>
      </w:pPr>
      <w:r>
        <w:t xml:space="preserve">Hattie, J., &amp; Timperley, H. (2007). The power of feedback. </w:t>
      </w:r>
      <w:r>
        <w:rPr>
          <w:i/>
        </w:rPr>
        <w:t>Review of Educational Research, 77</w:t>
      </w:r>
      <w:r>
        <w:t xml:space="preserve">(1), 81-112. </w:t>
      </w:r>
    </w:p>
    <w:p w14:paraId="70391E9B" w14:textId="77777777" w:rsidR="00641A36" w:rsidRDefault="00000000">
      <w:pPr>
        <w:numPr>
          <w:ilvl w:val="0"/>
          <w:numId w:val="2"/>
        </w:numPr>
        <w:spacing w:after="11" w:line="266" w:lineRule="auto"/>
        <w:ind w:right="43" w:hanging="360"/>
      </w:pPr>
      <w:r>
        <w:t xml:space="preserve">Hedge, T. (2000). </w:t>
      </w:r>
      <w:r>
        <w:rPr>
          <w:i/>
        </w:rPr>
        <w:t>Teaching and learning in the language classroom</w:t>
      </w:r>
      <w:r>
        <w:t xml:space="preserve">. Oxford University Press. </w:t>
      </w:r>
    </w:p>
    <w:p w14:paraId="5A582694" w14:textId="77777777" w:rsidR="00641A36" w:rsidRDefault="00000000">
      <w:pPr>
        <w:numPr>
          <w:ilvl w:val="0"/>
          <w:numId w:val="2"/>
        </w:numPr>
        <w:ind w:right="43" w:hanging="360"/>
      </w:pPr>
      <w:r>
        <w:t xml:space="preserve">Horwitz, E. K. (2001). Language anxiety and achievement. </w:t>
      </w:r>
      <w:r>
        <w:rPr>
          <w:i/>
        </w:rPr>
        <w:t>Annual Review of Applied Linguistics, 21</w:t>
      </w:r>
      <w:r>
        <w:t xml:space="preserve">, 112-126. </w:t>
      </w:r>
    </w:p>
    <w:p w14:paraId="02CCE8CA" w14:textId="77777777" w:rsidR="00641A36" w:rsidRDefault="00000000">
      <w:pPr>
        <w:numPr>
          <w:ilvl w:val="0"/>
          <w:numId w:val="2"/>
        </w:numPr>
        <w:spacing w:after="11" w:line="266" w:lineRule="auto"/>
        <w:ind w:right="43" w:hanging="360"/>
      </w:pPr>
      <w:r>
        <w:t xml:space="preserve">Johnson, K. E. (2009). </w:t>
      </w:r>
      <w:r>
        <w:rPr>
          <w:i/>
        </w:rPr>
        <w:t>Second language teacher education: A sociocultural perspective</w:t>
      </w:r>
      <w:r>
        <w:t xml:space="preserve">. Routledge. </w:t>
      </w:r>
    </w:p>
    <w:p w14:paraId="0A0B4BE0" w14:textId="77777777" w:rsidR="00641A36" w:rsidRDefault="00000000">
      <w:pPr>
        <w:numPr>
          <w:ilvl w:val="0"/>
          <w:numId w:val="2"/>
        </w:numPr>
        <w:spacing w:after="11" w:line="266" w:lineRule="auto"/>
        <w:ind w:right="43" w:hanging="360"/>
      </w:pPr>
      <w:r>
        <w:t xml:space="preserve">Krashen, S. D. (1982). </w:t>
      </w:r>
      <w:r>
        <w:rPr>
          <w:i/>
        </w:rPr>
        <w:t>Principles and practice in second language acquisition</w:t>
      </w:r>
      <w:r>
        <w:t xml:space="preserve">. Pergamon. </w:t>
      </w:r>
    </w:p>
    <w:p w14:paraId="6E6A9695" w14:textId="77777777" w:rsidR="00641A36" w:rsidRDefault="00000000">
      <w:pPr>
        <w:numPr>
          <w:ilvl w:val="0"/>
          <w:numId w:val="2"/>
        </w:numPr>
        <w:ind w:right="43" w:hanging="360"/>
      </w:pPr>
      <w:r>
        <w:t xml:space="preserve">Larsen-Freeman, D., &amp; Anderson, M. (2011). </w:t>
      </w:r>
      <w:r>
        <w:rPr>
          <w:i/>
        </w:rPr>
        <w:t>Techniques and principles in language teaching</w:t>
      </w:r>
      <w:r>
        <w:t xml:space="preserve">. Oxford University Press. </w:t>
      </w:r>
    </w:p>
    <w:p w14:paraId="0A1FCA88" w14:textId="77777777" w:rsidR="00641A36" w:rsidRDefault="00000000">
      <w:pPr>
        <w:numPr>
          <w:ilvl w:val="0"/>
          <w:numId w:val="2"/>
        </w:numPr>
        <w:ind w:right="43" w:hanging="360"/>
      </w:pPr>
      <w:r>
        <w:lastRenderedPageBreak/>
        <w:t xml:space="preserve">Lightbown, P. M., &amp; Spada, N. (2013). </w:t>
      </w:r>
      <w:r>
        <w:rPr>
          <w:i/>
        </w:rPr>
        <w:t>How languages are learned</w:t>
      </w:r>
      <w:r>
        <w:t>. Oxford University Press. 28.</w:t>
      </w:r>
      <w:r>
        <w:rPr>
          <w:rFonts w:ascii="Arial" w:eastAsia="Arial" w:hAnsi="Arial" w:cs="Arial"/>
        </w:rPr>
        <w:t xml:space="preserve"> </w:t>
      </w:r>
      <w:r>
        <w:t xml:space="preserve">Long, M. H. (2014). </w:t>
      </w:r>
      <w:r>
        <w:rPr>
          <w:i/>
        </w:rPr>
        <w:t>Second language acquisition and task-based language teaching</w:t>
      </w:r>
      <w:r>
        <w:t xml:space="preserve">. </w:t>
      </w:r>
      <w:proofErr w:type="spellStart"/>
      <w:r>
        <w:t>WileyBlackwell</w:t>
      </w:r>
      <w:proofErr w:type="spellEnd"/>
      <w:r>
        <w:t xml:space="preserve">. </w:t>
      </w:r>
    </w:p>
    <w:p w14:paraId="00A98A11" w14:textId="77777777" w:rsidR="00641A36" w:rsidRDefault="00000000">
      <w:pPr>
        <w:numPr>
          <w:ilvl w:val="0"/>
          <w:numId w:val="3"/>
        </w:numPr>
        <w:spacing w:after="31"/>
        <w:ind w:right="43" w:hanging="360"/>
      </w:pPr>
      <w:proofErr w:type="spellStart"/>
      <w:r>
        <w:t>MacIntyre</w:t>
      </w:r>
      <w:proofErr w:type="spellEnd"/>
      <w:r>
        <w:t xml:space="preserve">, P. D., &amp; Gardner, R. C. (1994). The effects of induced anxiety on cognitive processing in second language learning. </w:t>
      </w:r>
      <w:r>
        <w:rPr>
          <w:i/>
        </w:rPr>
        <w:t>Studies in Second Language Acquisition, 16</w:t>
      </w:r>
      <w:r>
        <w:t xml:space="preserve">(1), 1-17. </w:t>
      </w:r>
    </w:p>
    <w:p w14:paraId="03226CAC" w14:textId="77777777" w:rsidR="00641A36" w:rsidRDefault="00000000">
      <w:pPr>
        <w:numPr>
          <w:ilvl w:val="0"/>
          <w:numId w:val="3"/>
        </w:numPr>
        <w:ind w:right="43" w:hanging="360"/>
      </w:pPr>
      <w:r>
        <w:t xml:space="preserve">McDonough, J., &amp; Shaw, C. (2012). </w:t>
      </w:r>
      <w:r>
        <w:rPr>
          <w:i/>
        </w:rPr>
        <w:t>Materials and methods in ELT: A teacher’s guide</w:t>
      </w:r>
      <w:r>
        <w:t xml:space="preserve">. Wiley-Blackwell. </w:t>
      </w:r>
    </w:p>
    <w:p w14:paraId="5AAFA254" w14:textId="77777777" w:rsidR="00641A36" w:rsidRDefault="00000000">
      <w:pPr>
        <w:numPr>
          <w:ilvl w:val="0"/>
          <w:numId w:val="3"/>
        </w:numPr>
        <w:ind w:right="43" w:hanging="360"/>
      </w:pPr>
      <w:r>
        <w:t xml:space="preserve">Meddings, L., &amp; Thornbury, S. (2009). </w:t>
      </w:r>
      <w:r>
        <w:rPr>
          <w:i/>
        </w:rPr>
        <w:t>Teaching unplugged: Dogme in English language teaching</w:t>
      </w:r>
      <w:r>
        <w:t xml:space="preserve">. Delta Publishing. </w:t>
      </w:r>
    </w:p>
    <w:p w14:paraId="1EF35D6D" w14:textId="77777777" w:rsidR="00641A36" w:rsidRDefault="00000000">
      <w:pPr>
        <w:numPr>
          <w:ilvl w:val="0"/>
          <w:numId w:val="3"/>
        </w:numPr>
        <w:ind w:right="43" w:hanging="360"/>
      </w:pPr>
      <w:r>
        <w:t xml:space="preserve">Mercer, S. (2011). Towards an understanding of language learner self-concept. </w:t>
      </w:r>
      <w:r>
        <w:rPr>
          <w:i/>
        </w:rPr>
        <w:t>Educational Psychology, 31</w:t>
      </w:r>
      <w:r>
        <w:t xml:space="preserve">(3), 339-357. </w:t>
      </w:r>
    </w:p>
    <w:p w14:paraId="7953CED9" w14:textId="77777777" w:rsidR="00641A36" w:rsidRDefault="00000000">
      <w:pPr>
        <w:numPr>
          <w:ilvl w:val="0"/>
          <w:numId w:val="3"/>
        </w:numPr>
        <w:ind w:right="43" w:hanging="360"/>
      </w:pPr>
      <w:r>
        <w:t xml:space="preserve">Nation, I. S. P., &amp; Newton, J. (2009). </w:t>
      </w:r>
      <w:r>
        <w:rPr>
          <w:i/>
        </w:rPr>
        <w:t>Teaching ESL/EFL listening and speaking</w:t>
      </w:r>
      <w:r>
        <w:t xml:space="preserve">. Routledge. </w:t>
      </w:r>
    </w:p>
    <w:p w14:paraId="1F335A23" w14:textId="77777777" w:rsidR="00641A36" w:rsidRDefault="00000000">
      <w:pPr>
        <w:numPr>
          <w:ilvl w:val="0"/>
          <w:numId w:val="3"/>
        </w:numPr>
        <w:spacing w:after="11" w:line="266" w:lineRule="auto"/>
        <w:ind w:right="43" w:hanging="360"/>
      </w:pPr>
      <w:r>
        <w:t xml:space="preserve">Norton, B. (2000). </w:t>
      </w:r>
      <w:r>
        <w:rPr>
          <w:i/>
        </w:rPr>
        <w:t>Identity and language learning: Gender, ethnicity and educational change</w:t>
      </w:r>
      <w:r>
        <w:t xml:space="preserve">. Pearson Education. </w:t>
      </w:r>
    </w:p>
    <w:p w14:paraId="1015BB92" w14:textId="77777777" w:rsidR="00641A36" w:rsidRDefault="00000000">
      <w:pPr>
        <w:numPr>
          <w:ilvl w:val="0"/>
          <w:numId w:val="3"/>
        </w:numPr>
        <w:ind w:right="43" w:hanging="360"/>
      </w:pPr>
      <w:r>
        <w:t xml:space="preserve">Nunan, D. (2004). </w:t>
      </w:r>
      <w:r>
        <w:rPr>
          <w:i/>
        </w:rPr>
        <w:t>Task-based language teaching</w:t>
      </w:r>
      <w:r>
        <w:t xml:space="preserve">. Cambridge University Press. </w:t>
      </w:r>
    </w:p>
    <w:p w14:paraId="2CC99520" w14:textId="77777777" w:rsidR="00641A36" w:rsidRDefault="00000000">
      <w:pPr>
        <w:numPr>
          <w:ilvl w:val="0"/>
          <w:numId w:val="3"/>
        </w:numPr>
        <w:spacing w:after="11" w:line="266" w:lineRule="auto"/>
        <w:ind w:right="43" w:hanging="360"/>
      </w:pPr>
      <w:r>
        <w:t xml:space="preserve">Ortega, L. (2009). </w:t>
      </w:r>
      <w:r>
        <w:rPr>
          <w:i/>
        </w:rPr>
        <w:t>Understanding second language acquisition</w:t>
      </w:r>
      <w:r>
        <w:t xml:space="preserve">. Routledge. </w:t>
      </w:r>
    </w:p>
    <w:p w14:paraId="4C6AB23C" w14:textId="77777777" w:rsidR="00641A36" w:rsidRDefault="00000000">
      <w:pPr>
        <w:numPr>
          <w:ilvl w:val="0"/>
          <w:numId w:val="3"/>
        </w:numPr>
        <w:spacing w:after="11" w:line="266" w:lineRule="auto"/>
        <w:ind w:right="43" w:hanging="360"/>
      </w:pPr>
      <w:r>
        <w:t xml:space="preserve">Oxford, R. L. (1990). </w:t>
      </w:r>
      <w:r>
        <w:rPr>
          <w:i/>
        </w:rPr>
        <w:t>Language learning strategies: What every teacher should know</w:t>
      </w:r>
      <w:r>
        <w:t xml:space="preserve">. Heinle &amp; Heinle. </w:t>
      </w:r>
    </w:p>
    <w:p w14:paraId="344477D2" w14:textId="77777777" w:rsidR="00641A36" w:rsidRDefault="00000000">
      <w:pPr>
        <w:numPr>
          <w:ilvl w:val="0"/>
          <w:numId w:val="3"/>
        </w:numPr>
        <w:ind w:right="43" w:hanging="360"/>
      </w:pPr>
      <w:r>
        <w:t xml:space="preserve">Richards, J. C. (2001). </w:t>
      </w:r>
      <w:r>
        <w:rPr>
          <w:i/>
        </w:rPr>
        <w:t>Curriculum development in language teaching</w:t>
      </w:r>
      <w:r>
        <w:t xml:space="preserve">. Cambridge University Press. </w:t>
      </w:r>
    </w:p>
    <w:p w14:paraId="41B58CD4" w14:textId="77777777" w:rsidR="00641A36" w:rsidRDefault="00000000">
      <w:pPr>
        <w:numPr>
          <w:ilvl w:val="0"/>
          <w:numId w:val="3"/>
        </w:numPr>
        <w:ind w:right="43" w:hanging="360"/>
      </w:pPr>
      <w:r>
        <w:t xml:space="preserve">Richards, J. C., &amp; Rodgers, T. S. (2014). </w:t>
      </w:r>
      <w:r>
        <w:rPr>
          <w:i/>
        </w:rPr>
        <w:t>Approaches and methods in language teaching</w:t>
      </w:r>
      <w:r>
        <w:t xml:space="preserve">. Cambridge University Press. </w:t>
      </w:r>
    </w:p>
    <w:p w14:paraId="6CE87D2D" w14:textId="77777777" w:rsidR="00641A36" w:rsidRDefault="00000000">
      <w:pPr>
        <w:numPr>
          <w:ilvl w:val="0"/>
          <w:numId w:val="3"/>
        </w:numPr>
        <w:ind w:right="43" w:hanging="360"/>
      </w:pPr>
      <w:r>
        <w:t xml:space="preserve">Schunk, D. H., &amp; Pajares, F. (2009). Self-efficacy theory. In K. R. Wentzel &amp; A. Wigfield (Eds.), </w:t>
      </w:r>
      <w:r>
        <w:rPr>
          <w:i/>
        </w:rPr>
        <w:t>Handbook of motivation at school</w:t>
      </w:r>
      <w:r>
        <w:t xml:space="preserve"> (pp. 35-54). Routledge. </w:t>
      </w:r>
    </w:p>
    <w:p w14:paraId="2E171139" w14:textId="77777777" w:rsidR="00641A36" w:rsidRDefault="00000000">
      <w:pPr>
        <w:numPr>
          <w:ilvl w:val="0"/>
          <w:numId w:val="3"/>
        </w:numPr>
        <w:ind w:right="43" w:hanging="360"/>
      </w:pPr>
      <w:r>
        <w:t xml:space="preserve">Skehan, P. (1996). A framework for the implementation of task-based instruction. </w:t>
      </w:r>
      <w:r>
        <w:rPr>
          <w:i/>
        </w:rPr>
        <w:t>Applied Linguistics, 17</w:t>
      </w:r>
      <w:r>
        <w:t xml:space="preserve">(1), 38-62. </w:t>
      </w:r>
    </w:p>
    <w:p w14:paraId="45FC8482" w14:textId="77777777" w:rsidR="00641A36" w:rsidRDefault="00000000">
      <w:pPr>
        <w:numPr>
          <w:ilvl w:val="0"/>
          <w:numId w:val="3"/>
        </w:numPr>
        <w:spacing w:after="50"/>
        <w:ind w:right="43" w:hanging="360"/>
      </w:pPr>
      <w:r>
        <w:t xml:space="preserve">Swain, M. (1995). Three functions of output in second language learning. In G. Cook &amp; B. </w:t>
      </w:r>
      <w:proofErr w:type="spellStart"/>
      <w:r>
        <w:t>Seidlhofer</w:t>
      </w:r>
      <w:proofErr w:type="spellEnd"/>
      <w:r>
        <w:t xml:space="preserve"> (Eds.), </w:t>
      </w:r>
      <w:r>
        <w:rPr>
          <w:i/>
        </w:rPr>
        <w:t>Principle and practice in applied linguistics</w:t>
      </w:r>
      <w:r>
        <w:t xml:space="preserve"> (pp. 125-144). Oxford University Press. </w:t>
      </w:r>
    </w:p>
    <w:p w14:paraId="0374500A" w14:textId="77777777" w:rsidR="00641A36" w:rsidRDefault="00000000">
      <w:pPr>
        <w:numPr>
          <w:ilvl w:val="0"/>
          <w:numId w:val="3"/>
        </w:numPr>
        <w:ind w:right="43" w:hanging="360"/>
      </w:pPr>
      <w:r>
        <w:t xml:space="preserve">Swain, M., &amp; Lapkin, S. (2002). Talking it through: Two French immersion learners’ response to reformulation. </w:t>
      </w:r>
      <w:r>
        <w:rPr>
          <w:i/>
        </w:rPr>
        <w:t>International Journal of Educational Research, 37</w:t>
      </w:r>
      <w:r>
        <w:t xml:space="preserve">(3-4), 285-304. </w:t>
      </w:r>
    </w:p>
    <w:p w14:paraId="202F36D3" w14:textId="77777777" w:rsidR="00641A36" w:rsidRDefault="00000000">
      <w:pPr>
        <w:numPr>
          <w:ilvl w:val="0"/>
          <w:numId w:val="3"/>
        </w:numPr>
        <w:ind w:right="43" w:hanging="360"/>
      </w:pPr>
      <w:r>
        <w:t xml:space="preserve">Thornbury, S. (2005). </w:t>
      </w:r>
      <w:r>
        <w:rPr>
          <w:i/>
        </w:rPr>
        <w:t>How to teach speaking</w:t>
      </w:r>
      <w:r>
        <w:t xml:space="preserve">. Pearson Education. </w:t>
      </w:r>
    </w:p>
    <w:p w14:paraId="4E56F00D" w14:textId="77777777" w:rsidR="00641A36" w:rsidRDefault="00000000">
      <w:pPr>
        <w:numPr>
          <w:ilvl w:val="0"/>
          <w:numId w:val="3"/>
        </w:numPr>
        <w:ind w:right="43" w:hanging="360"/>
      </w:pPr>
      <w:r>
        <w:t xml:space="preserve">Ur, P. (2012). </w:t>
      </w:r>
      <w:r>
        <w:rPr>
          <w:i/>
        </w:rPr>
        <w:t>A course in English language teaching</w:t>
      </w:r>
      <w:r>
        <w:t xml:space="preserve">. Cambridge University Press. </w:t>
      </w:r>
    </w:p>
    <w:p w14:paraId="784413C9" w14:textId="77777777" w:rsidR="00641A36" w:rsidRDefault="00000000">
      <w:pPr>
        <w:numPr>
          <w:ilvl w:val="0"/>
          <w:numId w:val="3"/>
        </w:numPr>
        <w:ind w:right="43" w:hanging="360"/>
      </w:pPr>
      <w:r>
        <w:t xml:space="preserve">Ushioda, E. (2008). Motivation and good language learners. In C. Griffiths (Ed.), </w:t>
      </w:r>
      <w:r>
        <w:rPr>
          <w:i/>
        </w:rPr>
        <w:t>Lessons from good language learners</w:t>
      </w:r>
      <w:r>
        <w:t xml:space="preserve"> (pp. 19-34). Cambridge University Press. </w:t>
      </w:r>
    </w:p>
    <w:p w14:paraId="66B809E4" w14:textId="77777777" w:rsidR="00641A36" w:rsidRDefault="00000000">
      <w:pPr>
        <w:numPr>
          <w:ilvl w:val="0"/>
          <w:numId w:val="3"/>
        </w:numPr>
        <w:spacing w:after="11" w:line="266" w:lineRule="auto"/>
        <w:ind w:right="43" w:hanging="360"/>
      </w:pPr>
      <w:r>
        <w:t xml:space="preserve">van Lier, L. (2004). </w:t>
      </w:r>
      <w:r>
        <w:rPr>
          <w:i/>
        </w:rPr>
        <w:t>The ecology and semiotics of language learning: A sociocultural perspective</w:t>
      </w:r>
      <w:r>
        <w:t xml:space="preserve">. Kluwer Academic. </w:t>
      </w:r>
    </w:p>
    <w:p w14:paraId="3D60640B" w14:textId="77777777" w:rsidR="00641A36" w:rsidRDefault="00000000">
      <w:pPr>
        <w:numPr>
          <w:ilvl w:val="0"/>
          <w:numId w:val="3"/>
        </w:numPr>
        <w:spacing w:after="11" w:line="266" w:lineRule="auto"/>
        <w:ind w:right="43" w:hanging="360"/>
      </w:pPr>
      <w:r>
        <w:t xml:space="preserve">Vygotsky, L. S. (1978). </w:t>
      </w:r>
      <w:r>
        <w:rPr>
          <w:i/>
        </w:rPr>
        <w:t>Mind in society: The development of higher psychological processes</w:t>
      </w:r>
      <w:r>
        <w:t xml:space="preserve">. </w:t>
      </w:r>
    </w:p>
    <w:p w14:paraId="35EAC945" w14:textId="77777777" w:rsidR="00641A36" w:rsidRDefault="00000000">
      <w:pPr>
        <w:ind w:left="730" w:right="43"/>
      </w:pPr>
      <w:r>
        <w:t xml:space="preserve">Harvard University Press. </w:t>
      </w:r>
    </w:p>
    <w:p w14:paraId="0B383CA7" w14:textId="77777777" w:rsidR="00641A36" w:rsidRDefault="00000000">
      <w:pPr>
        <w:numPr>
          <w:ilvl w:val="0"/>
          <w:numId w:val="3"/>
        </w:numPr>
        <w:spacing w:after="11" w:line="266" w:lineRule="auto"/>
        <w:ind w:right="43" w:hanging="360"/>
      </w:pPr>
      <w:r>
        <w:t xml:space="preserve">Walsh, S. (2006). </w:t>
      </w:r>
      <w:r>
        <w:rPr>
          <w:i/>
        </w:rPr>
        <w:t>Investigating classroom discourse</w:t>
      </w:r>
      <w:r>
        <w:t xml:space="preserve">. Routledge. </w:t>
      </w:r>
    </w:p>
    <w:p w14:paraId="077B8B51" w14:textId="77777777" w:rsidR="00641A36" w:rsidRDefault="00000000">
      <w:pPr>
        <w:numPr>
          <w:ilvl w:val="0"/>
          <w:numId w:val="3"/>
        </w:numPr>
        <w:ind w:right="43" w:hanging="360"/>
      </w:pPr>
      <w:r>
        <w:t xml:space="preserve">Williams, M., &amp; Burden, R. L. (1997). </w:t>
      </w:r>
      <w:r>
        <w:rPr>
          <w:i/>
        </w:rPr>
        <w:t>Psychology for language teachers: A social constructivist approach</w:t>
      </w:r>
      <w:r>
        <w:t xml:space="preserve">. Cambridge University Press. </w:t>
      </w:r>
    </w:p>
    <w:p w14:paraId="299C6231" w14:textId="77777777" w:rsidR="00641A36" w:rsidRDefault="00000000">
      <w:pPr>
        <w:numPr>
          <w:ilvl w:val="0"/>
          <w:numId w:val="3"/>
        </w:numPr>
        <w:ind w:right="43" w:hanging="360"/>
      </w:pPr>
      <w:r>
        <w:t xml:space="preserve">Winke, P., &amp; </w:t>
      </w:r>
      <w:proofErr w:type="spellStart"/>
      <w:r>
        <w:t>Goertler</w:t>
      </w:r>
      <w:proofErr w:type="spellEnd"/>
      <w:r>
        <w:t xml:space="preserve">, S. (2008). Did we forget someone? Students’ computer access and literacy for CALL. </w:t>
      </w:r>
      <w:r>
        <w:rPr>
          <w:i/>
        </w:rPr>
        <w:t>CALICO Journal, 25</w:t>
      </w:r>
      <w:r>
        <w:t xml:space="preserve">(3), 482-509. </w:t>
      </w:r>
    </w:p>
    <w:p w14:paraId="6F6FBB61" w14:textId="77777777" w:rsidR="00641A36" w:rsidRDefault="00000000">
      <w:pPr>
        <w:numPr>
          <w:ilvl w:val="0"/>
          <w:numId w:val="3"/>
        </w:numPr>
        <w:ind w:right="43" w:hanging="360"/>
      </w:pPr>
      <w:r>
        <w:t xml:space="preserve">Wright, T. (1987). </w:t>
      </w:r>
      <w:r>
        <w:rPr>
          <w:i/>
        </w:rPr>
        <w:t>Roles of teachers and learners</w:t>
      </w:r>
      <w:r>
        <w:t xml:space="preserve">. Oxford University Press. </w:t>
      </w:r>
    </w:p>
    <w:p w14:paraId="2C746051" w14:textId="77777777" w:rsidR="00641A36" w:rsidRDefault="00000000">
      <w:pPr>
        <w:numPr>
          <w:ilvl w:val="0"/>
          <w:numId w:val="3"/>
        </w:numPr>
        <w:spacing w:after="11" w:line="266" w:lineRule="auto"/>
        <w:ind w:right="43" w:hanging="360"/>
      </w:pPr>
      <w:r>
        <w:t xml:space="preserve">Young, D. J. (1999). </w:t>
      </w:r>
      <w:r>
        <w:rPr>
          <w:i/>
        </w:rPr>
        <w:t>Affect in foreign language and second language learning: A practical guide to creating a low-anxiety classroom atmosphere</w:t>
      </w:r>
      <w:r>
        <w:t xml:space="preserve">. McGraw-Hill. </w:t>
      </w:r>
    </w:p>
    <w:p w14:paraId="079FC272" w14:textId="77777777" w:rsidR="00641A36" w:rsidRDefault="00000000">
      <w:pPr>
        <w:numPr>
          <w:ilvl w:val="0"/>
          <w:numId w:val="3"/>
        </w:numPr>
        <w:ind w:right="43" w:hanging="360"/>
      </w:pPr>
      <w:proofErr w:type="spellStart"/>
      <w:r>
        <w:lastRenderedPageBreak/>
        <w:t>Zamel</w:t>
      </w:r>
      <w:proofErr w:type="spellEnd"/>
      <w:r>
        <w:t xml:space="preserve">, V. (1983). The composing processes of advanced ESL students: Six case studies. </w:t>
      </w:r>
      <w:r>
        <w:rPr>
          <w:i/>
        </w:rPr>
        <w:t>TESOL Quarterly, 17</w:t>
      </w:r>
      <w:r>
        <w:t xml:space="preserve">(2), 165-187. </w:t>
      </w:r>
    </w:p>
    <w:p w14:paraId="16F339AD" w14:textId="77777777" w:rsidR="00641A36" w:rsidRDefault="00000000">
      <w:pPr>
        <w:numPr>
          <w:ilvl w:val="0"/>
          <w:numId w:val="3"/>
        </w:numPr>
        <w:ind w:right="43" w:hanging="360"/>
      </w:pPr>
      <w:r>
        <w:t xml:space="preserve">Zhang, L. J., &amp; Watkins, D. (2007). Conceptions of memorization and vocabulary learning strategies: A comparison of approaches to learning in Hong Kong and mainland China. </w:t>
      </w:r>
      <w:r>
        <w:rPr>
          <w:i/>
        </w:rPr>
        <w:t>The Modern Language Journal, 91</w:t>
      </w:r>
      <w:r>
        <w:t xml:space="preserve">(4), 665-680. </w:t>
      </w:r>
    </w:p>
    <w:p w14:paraId="0BF86669" w14:textId="77777777" w:rsidR="00641A36" w:rsidRDefault="00000000">
      <w:pPr>
        <w:numPr>
          <w:ilvl w:val="0"/>
          <w:numId w:val="3"/>
        </w:numPr>
        <w:ind w:right="43" w:hanging="360"/>
      </w:pPr>
      <w:r>
        <w:t xml:space="preserve">Zimmerman, B. J. (2000). Self-efficacy: An essential motive to learn. </w:t>
      </w:r>
      <w:r>
        <w:rPr>
          <w:i/>
        </w:rPr>
        <w:t>Contemporary Educational Psychology, 25</w:t>
      </w:r>
      <w:r>
        <w:t xml:space="preserve">(1), 82-91. </w:t>
      </w:r>
    </w:p>
    <w:p w14:paraId="537D8556" w14:textId="77777777" w:rsidR="00641A36" w:rsidRDefault="00000000">
      <w:pPr>
        <w:numPr>
          <w:ilvl w:val="0"/>
          <w:numId w:val="3"/>
        </w:numPr>
        <w:ind w:right="43" w:hanging="360"/>
      </w:pPr>
      <w:r>
        <w:t xml:space="preserve">Al-Qahtani, M. (2015). The importance of vocabulary in language learning and how to be taught. </w:t>
      </w:r>
      <w:r>
        <w:rPr>
          <w:i/>
        </w:rPr>
        <w:t>International Journal of Teaching and Education, 3</w:t>
      </w:r>
      <w:r>
        <w:t xml:space="preserve">(3), 21-34. </w:t>
      </w:r>
    </w:p>
    <w:p w14:paraId="1171211E" w14:textId="77777777" w:rsidR="00641A36" w:rsidRDefault="00000000">
      <w:pPr>
        <w:numPr>
          <w:ilvl w:val="0"/>
          <w:numId w:val="3"/>
        </w:numPr>
        <w:ind w:right="43" w:hanging="360"/>
      </w:pPr>
      <w:r>
        <w:t xml:space="preserve">Berwick, R., &amp; Ross, S. (1989). Motivation after matriculation: Are Japanese learners of English still alive after examination hell? </w:t>
      </w:r>
      <w:r>
        <w:rPr>
          <w:i/>
        </w:rPr>
        <w:t>JALT Journal, 11</w:t>
      </w:r>
      <w:r>
        <w:t xml:space="preserve">(2), 193-210. </w:t>
      </w:r>
    </w:p>
    <w:p w14:paraId="3C102C74" w14:textId="77777777" w:rsidR="00641A36" w:rsidRDefault="00000000">
      <w:pPr>
        <w:numPr>
          <w:ilvl w:val="0"/>
          <w:numId w:val="3"/>
        </w:numPr>
        <w:ind w:right="43" w:hanging="360"/>
      </w:pPr>
      <w:r>
        <w:t xml:space="preserve">Bligh, D. A. (2000). </w:t>
      </w:r>
      <w:r>
        <w:rPr>
          <w:i/>
        </w:rPr>
        <w:t>What’s the use of lectures?</w:t>
      </w:r>
      <w:r>
        <w:t xml:space="preserve"> Intellect Books. </w:t>
      </w:r>
    </w:p>
    <w:p w14:paraId="53862C97" w14:textId="77777777" w:rsidR="00641A36" w:rsidRDefault="00000000">
      <w:pPr>
        <w:numPr>
          <w:ilvl w:val="0"/>
          <w:numId w:val="3"/>
        </w:numPr>
        <w:spacing w:after="248" w:line="266" w:lineRule="auto"/>
        <w:ind w:right="43" w:hanging="360"/>
      </w:pPr>
      <w:r>
        <w:t xml:space="preserve">Johnson, K. (2016). </w:t>
      </w:r>
      <w:r>
        <w:rPr>
          <w:i/>
        </w:rPr>
        <w:t>An introduction to foreign language learning and teaching</w:t>
      </w:r>
      <w:r>
        <w:t xml:space="preserve">. Routledge. </w:t>
      </w:r>
    </w:p>
    <w:p w14:paraId="5D697D83" w14:textId="77777777" w:rsidR="00641A36" w:rsidRDefault="00000000">
      <w:pPr>
        <w:spacing w:after="254" w:line="259" w:lineRule="auto"/>
        <w:ind w:left="0" w:firstLine="0"/>
      </w:pPr>
      <w:r>
        <w:t xml:space="preserve"> </w:t>
      </w:r>
    </w:p>
    <w:p w14:paraId="3300F092" w14:textId="77777777" w:rsidR="00641A36" w:rsidRDefault="00000000">
      <w:pPr>
        <w:spacing w:after="0" w:line="259" w:lineRule="auto"/>
        <w:ind w:left="0" w:firstLine="0"/>
      </w:pPr>
      <w:r>
        <w:t xml:space="preserve"> </w:t>
      </w:r>
    </w:p>
    <w:sectPr w:rsidR="00641A36">
      <w:pgSz w:w="11909" w:h="16834"/>
      <w:pgMar w:top="1450" w:right="1383" w:bottom="139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63A5"/>
    <w:multiLevelType w:val="hybridMultilevel"/>
    <w:tmpl w:val="DE064714"/>
    <w:lvl w:ilvl="0" w:tplc="23142EA4">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F00F10">
      <w:start w:val="1"/>
      <w:numFmt w:val="lowerLetter"/>
      <w:lvlText w:val="%2"/>
      <w:lvlJc w:val="left"/>
      <w:pPr>
        <w:ind w:left="1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CE9E24">
      <w:start w:val="1"/>
      <w:numFmt w:val="lowerRoman"/>
      <w:lvlText w:val="%3"/>
      <w:lvlJc w:val="left"/>
      <w:pPr>
        <w:ind w:left="2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D49366">
      <w:start w:val="1"/>
      <w:numFmt w:val="decimal"/>
      <w:lvlText w:val="%4"/>
      <w:lvlJc w:val="left"/>
      <w:pPr>
        <w:ind w:left="2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BAE366">
      <w:start w:val="1"/>
      <w:numFmt w:val="lowerLetter"/>
      <w:lvlText w:val="%5"/>
      <w:lvlJc w:val="left"/>
      <w:pPr>
        <w:ind w:left="3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DC7BA4">
      <w:start w:val="1"/>
      <w:numFmt w:val="lowerRoman"/>
      <w:lvlText w:val="%6"/>
      <w:lvlJc w:val="left"/>
      <w:pPr>
        <w:ind w:left="4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765D54">
      <w:start w:val="1"/>
      <w:numFmt w:val="decimal"/>
      <w:lvlText w:val="%7"/>
      <w:lvlJc w:val="left"/>
      <w:pPr>
        <w:ind w:left="4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208F7A">
      <w:start w:val="1"/>
      <w:numFmt w:val="lowerLetter"/>
      <w:lvlText w:val="%8"/>
      <w:lvlJc w:val="left"/>
      <w:pPr>
        <w:ind w:left="5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907240">
      <w:start w:val="1"/>
      <w:numFmt w:val="lowerRoman"/>
      <w:lvlText w:val="%9"/>
      <w:lvlJc w:val="left"/>
      <w:pPr>
        <w:ind w:left="6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4623DB"/>
    <w:multiLevelType w:val="hybridMultilevel"/>
    <w:tmpl w:val="791804B2"/>
    <w:lvl w:ilvl="0" w:tplc="7EFC22D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B8D4E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26102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E827A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D2010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D8FF6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4E1C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3E4B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62F0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02A128C"/>
    <w:multiLevelType w:val="hybridMultilevel"/>
    <w:tmpl w:val="6CFEBC06"/>
    <w:lvl w:ilvl="0" w:tplc="BD82DCD4">
      <w:start w:val="29"/>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3A14CE">
      <w:start w:val="1"/>
      <w:numFmt w:val="lowerLetter"/>
      <w:lvlText w:val="%2"/>
      <w:lvlJc w:val="left"/>
      <w:pPr>
        <w:ind w:left="1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00085C">
      <w:start w:val="1"/>
      <w:numFmt w:val="lowerRoman"/>
      <w:lvlText w:val="%3"/>
      <w:lvlJc w:val="left"/>
      <w:pPr>
        <w:ind w:left="1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E4710C">
      <w:start w:val="1"/>
      <w:numFmt w:val="decimal"/>
      <w:lvlText w:val="%4"/>
      <w:lvlJc w:val="left"/>
      <w:pPr>
        <w:ind w:left="2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9EA77C">
      <w:start w:val="1"/>
      <w:numFmt w:val="lowerLetter"/>
      <w:lvlText w:val="%5"/>
      <w:lvlJc w:val="left"/>
      <w:pPr>
        <w:ind w:left="3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64FDBC">
      <w:start w:val="1"/>
      <w:numFmt w:val="lowerRoman"/>
      <w:lvlText w:val="%6"/>
      <w:lvlJc w:val="left"/>
      <w:pPr>
        <w:ind w:left="4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6AC76C">
      <w:start w:val="1"/>
      <w:numFmt w:val="decimal"/>
      <w:lvlText w:val="%7"/>
      <w:lvlJc w:val="left"/>
      <w:pPr>
        <w:ind w:left="4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226A80">
      <w:start w:val="1"/>
      <w:numFmt w:val="lowerLetter"/>
      <w:lvlText w:val="%8"/>
      <w:lvlJc w:val="left"/>
      <w:pPr>
        <w:ind w:left="5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DC7802">
      <w:start w:val="1"/>
      <w:numFmt w:val="lowerRoman"/>
      <w:lvlText w:val="%9"/>
      <w:lvlJc w:val="left"/>
      <w:pPr>
        <w:ind w:left="62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01831906">
    <w:abstractNumId w:val="1"/>
  </w:num>
  <w:num w:numId="2" w16cid:durableId="1056779625">
    <w:abstractNumId w:val="0"/>
  </w:num>
  <w:num w:numId="3" w16cid:durableId="1715352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A36"/>
    <w:rsid w:val="004B501D"/>
    <w:rsid w:val="00641A36"/>
    <w:rsid w:val="00A65B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C29F"/>
  <w15:docId w15:val="{EE5D9DA6-35B0-4015-BEDF-D201EA5F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7" w:lineRule="auto"/>
      <w:ind w:left="1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b/>
      <w:color w:val="000000"/>
      <w:sz w:val="34"/>
    </w:rPr>
  </w:style>
  <w:style w:type="paragraph" w:styleId="Heading2">
    <w:name w:val="heading 2"/>
    <w:next w:val="Normal"/>
    <w:link w:val="Heading2Char"/>
    <w:uiPriority w:val="9"/>
    <w:unhideWhenUsed/>
    <w:qFormat/>
    <w:pPr>
      <w:keepNext/>
      <w:keepLines/>
      <w:spacing w:after="15" w:line="259" w:lineRule="auto"/>
      <w:ind w:left="10"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2465</Words>
  <Characters>14053</Characters>
  <Application>Microsoft Office Word</Application>
  <DocSecurity>0</DocSecurity>
  <Lines>117</Lines>
  <Paragraphs>32</Paragraphs>
  <ScaleCrop>false</ScaleCrop>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Aswanrajakrishna</dc:creator>
  <cp:keywords/>
  <cp:lastModifiedBy>Aswanrajakrishna</cp:lastModifiedBy>
  <cp:revision>2</cp:revision>
  <dcterms:created xsi:type="dcterms:W3CDTF">2024-12-03T03:29:00Z</dcterms:created>
  <dcterms:modified xsi:type="dcterms:W3CDTF">2024-12-03T03:29:00Z</dcterms:modified>
</cp:coreProperties>
</file>