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80CF5" w14:textId="172B0F22" w:rsidR="00AA379A" w:rsidRPr="00EA68B9" w:rsidRDefault="00AA379A" w:rsidP="00EA68B9">
      <w:pPr>
        <w:pStyle w:val="NoSpacing"/>
        <w:spacing w:line="360" w:lineRule="auto"/>
        <w:jc w:val="center"/>
        <w:rPr>
          <w:b/>
          <w:bCs/>
          <w:spacing w:val="-1"/>
          <w:sz w:val="28"/>
          <w:szCs w:val="28"/>
        </w:rPr>
      </w:pPr>
      <w:r w:rsidRPr="00EA68B9">
        <w:rPr>
          <w:b/>
          <w:bCs/>
          <w:sz w:val="28"/>
          <w:szCs w:val="28"/>
        </w:rPr>
        <w:t xml:space="preserve">AN EMPIRICAL STUDY TO MEASURE THE PERFORMANCE OF 3PL SERVICES </w:t>
      </w:r>
      <w:r w:rsidR="007A4142" w:rsidRPr="00EA68B9">
        <w:rPr>
          <w:b/>
          <w:bCs/>
          <w:sz w:val="28"/>
          <w:szCs w:val="28"/>
        </w:rPr>
        <w:t>IN TAMILNADU</w:t>
      </w:r>
    </w:p>
    <w:p w14:paraId="0E59501A" w14:textId="286DC745" w:rsidR="00EA68B9" w:rsidRPr="007D452A" w:rsidRDefault="00EA68B9" w:rsidP="00EA68B9">
      <w:pPr>
        <w:pStyle w:val="NoSpacing"/>
        <w:jc w:val="center"/>
        <w:rPr>
          <w:b/>
          <w:bCs/>
          <w:i/>
          <w:iCs/>
          <w:lang w:val="en-IN"/>
        </w:rPr>
      </w:pPr>
      <w:r w:rsidRPr="007D452A">
        <w:rPr>
          <w:b/>
          <w:bCs/>
          <w:i/>
          <w:iCs/>
          <w:vertAlign w:val="superscript"/>
          <w:lang w:val="en-IN"/>
        </w:rPr>
        <w:t>1</w:t>
      </w:r>
      <w:r w:rsidRPr="007D452A">
        <w:rPr>
          <w:b/>
          <w:bCs/>
          <w:i/>
          <w:iCs/>
          <w:lang w:val="en-IN"/>
        </w:rPr>
        <w:t xml:space="preserve">Dr </w:t>
      </w:r>
      <w:r w:rsidRPr="00EA68B9">
        <w:rPr>
          <w:b/>
          <w:bCs/>
          <w:i/>
          <w:iCs/>
          <w:lang w:val="en-IN"/>
        </w:rPr>
        <w:t>Dr T A M Hameed Kan</w:t>
      </w:r>
      <w:r w:rsidRPr="007D452A">
        <w:rPr>
          <w:b/>
          <w:bCs/>
          <w:i/>
          <w:iCs/>
          <w:lang w:val="en-IN"/>
        </w:rPr>
        <w:t>, Associate Professor, MEASI Institute of Management</w:t>
      </w:r>
    </w:p>
    <w:p w14:paraId="1362A734" w14:textId="75FBD110" w:rsidR="00EA68B9" w:rsidRPr="007D452A" w:rsidRDefault="00EA68B9" w:rsidP="00EA68B9">
      <w:pPr>
        <w:pStyle w:val="NoSpacing"/>
        <w:jc w:val="center"/>
        <w:rPr>
          <w:rStyle w:val="Hyperlink"/>
          <w:b/>
          <w:bCs/>
          <w:i/>
          <w:iCs/>
        </w:rPr>
      </w:pPr>
      <w:hyperlink r:id="rId7" w:history="1">
        <w:r w:rsidRPr="00EA68B9">
          <w:rPr>
            <w:rStyle w:val="Hyperlink"/>
            <w:b/>
            <w:bCs/>
            <w:color w:val="450EB2"/>
          </w:rPr>
          <w:t>hameed.kan@measiim.edu.in</w:t>
        </w:r>
      </w:hyperlink>
      <w:r w:rsidRPr="00EA68B9">
        <w:rPr>
          <w:color w:val="0070C0"/>
        </w:rPr>
        <w:t xml:space="preserve"> </w:t>
      </w:r>
      <w:r w:rsidRPr="007D452A">
        <w:rPr>
          <w:b/>
          <w:bCs/>
          <w:i/>
          <w:iCs/>
        </w:rPr>
        <w:t>,9</w:t>
      </w:r>
      <w:r>
        <w:rPr>
          <w:b/>
          <w:bCs/>
          <w:i/>
          <w:iCs/>
        </w:rPr>
        <w:t>884401786</w:t>
      </w:r>
    </w:p>
    <w:p w14:paraId="4AB528BF" w14:textId="4A5780C8" w:rsidR="00EA68B9" w:rsidRPr="007D452A" w:rsidRDefault="00EA68B9" w:rsidP="00EA68B9">
      <w:pPr>
        <w:pStyle w:val="NoSpacing"/>
        <w:jc w:val="center"/>
        <w:rPr>
          <w:b/>
          <w:bCs/>
          <w:i/>
          <w:iCs/>
          <w:lang w:val="en-IN"/>
        </w:rPr>
      </w:pPr>
      <w:r w:rsidRPr="007D452A">
        <w:rPr>
          <w:b/>
          <w:bCs/>
          <w:i/>
          <w:iCs/>
          <w:vertAlign w:val="superscript"/>
          <w:lang w:val="en-IN"/>
        </w:rPr>
        <w:t>2</w:t>
      </w:r>
      <w:r w:rsidRPr="007D452A">
        <w:rPr>
          <w:i/>
          <w:iCs/>
        </w:rPr>
        <w:t xml:space="preserve"> </w:t>
      </w:r>
      <w:r w:rsidRPr="00EA68B9">
        <w:rPr>
          <w:b/>
          <w:bCs/>
          <w:i/>
          <w:iCs/>
          <w:lang w:val="en-IN"/>
        </w:rPr>
        <w:t>Vaseem Muhammed M</w:t>
      </w:r>
      <w:r w:rsidRPr="007D452A">
        <w:rPr>
          <w:b/>
          <w:bCs/>
          <w:i/>
          <w:iCs/>
          <w:lang w:val="en-IN"/>
        </w:rPr>
        <w:t>, Final year MBA, MEASI Institute of Management</w:t>
      </w:r>
    </w:p>
    <w:p w14:paraId="422D3BEB" w14:textId="14DD59F0" w:rsidR="00AA379A" w:rsidRPr="001B662D" w:rsidRDefault="00EA68B9" w:rsidP="001B662D">
      <w:pPr>
        <w:pStyle w:val="NoSpacing"/>
        <w:jc w:val="center"/>
        <w:rPr>
          <w:b/>
          <w:bCs/>
          <w:i/>
          <w:iCs/>
          <w:lang w:val="en-IN"/>
        </w:rPr>
      </w:pPr>
      <w:r w:rsidRPr="00EA68B9">
        <w:rPr>
          <w:b/>
          <w:bCs/>
          <w:i/>
          <w:iCs/>
          <w:color w:val="000000" w:themeColor="text1"/>
        </w:rPr>
        <w:t>vaseem.23m121@measiim.edu.in</w:t>
      </w:r>
      <w:r w:rsidRPr="007D452A">
        <w:rPr>
          <w:b/>
          <w:bCs/>
          <w:i/>
          <w:iCs/>
          <w:color w:val="000000" w:themeColor="text1"/>
        </w:rPr>
        <w:t>,</w:t>
      </w:r>
      <w:r w:rsidRPr="007D452A">
        <w:rPr>
          <w:b/>
          <w:bCs/>
          <w:i/>
          <w:iCs/>
          <w:color w:val="000000" w:themeColor="text1"/>
          <w:lang w:val="en-IN"/>
        </w:rPr>
        <w:t xml:space="preserve"> </w:t>
      </w:r>
      <w:r w:rsidRPr="00EA68B9">
        <w:rPr>
          <w:b/>
          <w:bCs/>
          <w:i/>
          <w:iCs/>
          <w:color w:val="000000" w:themeColor="text1"/>
          <w:lang w:val="en-IN"/>
        </w:rPr>
        <w:t>9846688334</w:t>
      </w:r>
    </w:p>
    <w:p w14:paraId="205951D2" w14:textId="294D6866" w:rsidR="00A72E1F" w:rsidRPr="000F001D" w:rsidRDefault="007A4142" w:rsidP="007A4142">
      <w:pPr>
        <w:spacing w:line="250" w:lineRule="exact"/>
        <w:rPr>
          <w:b/>
          <w:iCs/>
          <w:sz w:val="28"/>
          <w:szCs w:val="28"/>
        </w:rPr>
      </w:pPr>
      <w:r w:rsidRPr="000F001D">
        <w:rPr>
          <w:b/>
          <w:iCs/>
          <w:sz w:val="28"/>
          <w:szCs w:val="28"/>
        </w:rPr>
        <w:t>ABSTRACT</w:t>
      </w:r>
    </w:p>
    <w:p w14:paraId="4F2661A2" w14:textId="48341741" w:rsidR="00A72E1F" w:rsidRPr="00EB66B8" w:rsidRDefault="00EB66B8" w:rsidP="00EB66B8">
      <w:pPr>
        <w:pStyle w:val="NormalWeb"/>
        <w:spacing w:line="360" w:lineRule="auto"/>
        <w:jc w:val="both"/>
      </w:pPr>
      <w:r>
        <w:t>Third-</w:t>
      </w:r>
      <w:r w:rsidR="004F326F">
        <w:t>party l</w:t>
      </w:r>
      <w:r>
        <w:t xml:space="preserve">ogistics services </w:t>
      </w:r>
      <w:r w:rsidR="005401DC">
        <w:t>p</w:t>
      </w:r>
      <w:r w:rsidR="004F326F">
        <w:t>lay</w:t>
      </w:r>
      <w:r>
        <w:t xml:space="preserve"> a </w:t>
      </w:r>
      <w:r w:rsidR="004F326F">
        <w:t>dynamic</w:t>
      </w:r>
      <w:r>
        <w:t xml:space="preserve"> role in enhancing the </w:t>
      </w:r>
      <w:r w:rsidR="00C22A4A">
        <w:t>competence</w:t>
      </w:r>
      <w:r>
        <w:t xml:space="preserve"> of supply chain </w:t>
      </w:r>
      <w:r w:rsidR="00C22A4A">
        <w:t>actions</w:t>
      </w:r>
      <w:r>
        <w:t xml:space="preserve">. In Tamil Nadu, a state recognized as a hub for industrial and manufacturing activities, the demand for 3PL services has grown </w:t>
      </w:r>
      <w:r w:rsidR="007B0E4B">
        <w:t>significantly. With</w:t>
      </w:r>
      <w:r>
        <w:t xml:space="preserve"> continuous investments in logistics parks and technological innovations, the 3PL sector in Tamil Nadu is expected to grow exponentially. Emphasis on sustainability and green logistics solutions will further reshape the industry dynamics. This</w:t>
      </w:r>
      <w:r w:rsidR="007A4142">
        <w:t xml:space="preserve"> empirical study evaluates the effectiveness of Third-Party Logistics (3PL) services and their impact on firms' performance in Tamil Nadu. The research focuses on understanding client preferences, identifying key factors influencing 3PL services, and </w:t>
      </w:r>
      <w:r>
        <w:t>analy</w:t>
      </w:r>
      <w:r w:rsidR="004F326F">
        <w:t>z</w:t>
      </w:r>
      <w:r>
        <w:t>ing</w:t>
      </w:r>
      <w:r w:rsidR="007A4142">
        <w:t xml:space="preserve"> the significant differences in these factors. A descriptive research design was employed, utilizing convenience sampling to collect data from 137 respondents through structured </w:t>
      </w:r>
      <w:r>
        <w:t>questionnaires. Statistical</w:t>
      </w:r>
      <w:r w:rsidR="007A4142">
        <w:t xml:space="preserve"> analyses such as </w:t>
      </w:r>
      <w:r w:rsidR="00C22A4A">
        <w:rPr>
          <w:rStyle w:val="Strong"/>
          <w:b w:val="0"/>
          <w:bCs w:val="0"/>
        </w:rPr>
        <w:t>Wilcoxon Signed Ranks tests</w:t>
      </w:r>
      <w:r w:rsidR="007A4142">
        <w:t xml:space="preserve"> </w:t>
      </w:r>
      <w:r w:rsidR="00C22A4A">
        <w:t xml:space="preserve">and </w:t>
      </w:r>
      <w:r w:rsidR="00C22A4A" w:rsidRPr="00C22A4A">
        <w:t xml:space="preserve">Discriminant </w:t>
      </w:r>
      <w:r w:rsidR="004F326F">
        <w:t xml:space="preserve">analysis </w:t>
      </w:r>
      <w:r w:rsidR="007A4142">
        <w:t>were applied to examine the data. The results revealed significant differences in the mean ranks of various 3PL service factors, with flexibility emerging as a critical determinant of service quality. The findings emphasize the need for 3PL providers to leverage advanced technologies, prioritize customer satisfaction, and adopt innovative logistics solutions to remain competitive</w:t>
      </w:r>
      <w:r>
        <w:t xml:space="preserve">. </w:t>
      </w:r>
      <w:r w:rsidR="007A4142">
        <w:t>The study highlights the strategic importance of 3PL services in modern supply chain management and underscores their potential to enhance operational efficiency and customer retention. The research concludes with recommendations for firms to integrate cutting-edge logistics practices and suggests avenues for future studies in this dynamic and evolving field.</w:t>
      </w:r>
    </w:p>
    <w:p w14:paraId="289E4F93" w14:textId="1DF9C2A8" w:rsidR="00EB66B8" w:rsidRPr="00EB66B8" w:rsidRDefault="00A72E1F" w:rsidP="004F326F">
      <w:pPr>
        <w:pStyle w:val="BodyText"/>
        <w:spacing w:before="1" w:line="360" w:lineRule="auto"/>
        <w:rPr>
          <w:b/>
          <w:bCs/>
          <w:iCs/>
          <w:sz w:val="24"/>
          <w:szCs w:val="24"/>
        </w:rPr>
      </w:pPr>
      <w:r w:rsidRPr="00EB66B8">
        <w:rPr>
          <w:b/>
          <w:bCs/>
          <w:iCs/>
          <w:sz w:val="24"/>
          <w:szCs w:val="24"/>
        </w:rPr>
        <w:t xml:space="preserve">Keywords: </w:t>
      </w:r>
      <w:r w:rsidR="00EB66B8" w:rsidRPr="00EB66B8">
        <w:rPr>
          <w:b/>
          <w:bCs/>
          <w:iCs/>
          <w:sz w:val="24"/>
          <w:szCs w:val="24"/>
        </w:rPr>
        <w:t>Flexibility</w:t>
      </w:r>
      <w:r w:rsidR="00EB66B8">
        <w:rPr>
          <w:b/>
          <w:bCs/>
          <w:iCs/>
          <w:sz w:val="24"/>
          <w:szCs w:val="24"/>
        </w:rPr>
        <w:t>,</w:t>
      </w:r>
      <w:r w:rsidR="00EB66B8" w:rsidRPr="00EB66B8">
        <w:rPr>
          <w:b/>
          <w:bCs/>
          <w:iCs/>
          <w:sz w:val="24"/>
          <w:szCs w:val="24"/>
        </w:rPr>
        <w:t xml:space="preserve"> Value Creation</w:t>
      </w:r>
      <w:r w:rsidR="00EB66B8">
        <w:rPr>
          <w:b/>
          <w:bCs/>
          <w:iCs/>
          <w:sz w:val="24"/>
          <w:szCs w:val="24"/>
        </w:rPr>
        <w:t xml:space="preserve">, </w:t>
      </w:r>
      <w:r w:rsidR="00EB66B8" w:rsidRPr="00EB66B8">
        <w:rPr>
          <w:b/>
          <w:bCs/>
          <w:iCs/>
          <w:sz w:val="24"/>
          <w:szCs w:val="24"/>
        </w:rPr>
        <w:t>Security and Tracking System</w:t>
      </w:r>
      <w:r w:rsidR="00EB66B8">
        <w:rPr>
          <w:b/>
          <w:bCs/>
          <w:iCs/>
          <w:sz w:val="24"/>
          <w:szCs w:val="24"/>
        </w:rPr>
        <w:t xml:space="preserve">, </w:t>
      </w:r>
      <w:r w:rsidR="00EB66B8" w:rsidRPr="00EB66B8">
        <w:rPr>
          <w:b/>
          <w:bCs/>
          <w:iCs/>
          <w:sz w:val="24"/>
          <w:szCs w:val="24"/>
        </w:rPr>
        <w:t>IT Integration System</w:t>
      </w:r>
      <w:r w:rsidR="004F326F">
        <w:rPr>
          <w:b/>
          <w:bCs/>
          <w:iCs/>
          <w:sz w:val="24"/>
          <w:szCs w:val="24"/>
        </w:rPr>
        <w:t>,</w:t>
      </w:r>
    </w:p>
    <w:p w14:paraId="5C5F930B" w14:textId="116D0231" w:rsidR="00EB66B8" w:rsidRPr="00EB66B8" w:rsidRDefault="00EB66B8" w:rsidP="004F326F">
      <w:pPr>
        <w:pStyle w:val="BodyText"/>
        <w:spacing w:before="1" w:line="360" w:lineRule="auto"/>
        <w:rPr>
          <w:b/>
          <w:bCs/>
          <w:iCs/>
          <w:sz w:val="24"/>
          <w:szCs w:val="24"/>
        </w:rPr>
      </w:pPr>
      <w:r w:rsidRPr="00EB66B8">
        <w:rPr>
          <w:b/>
          <w:bCs/>
          <w:iCs/>
          <w:sz w:val="24"/>
          <w:szCs w:val="24"/>
        </w:rPr>
        <w:t>Customer Service</w:t>
      </w:r>
      <w:r>
        <w:rPr>
          <w:b/>
          <w:bCs/>
          <w:iCs/>
          <w:sz w:val="24"/>
          <w:szCs w:val="24"/>
        </w:rPr>
        <w:t xml:space="preserve"> and firm performance. </w:t>
      </w:r>
    </w:p>
    <w:p w14:paraId="021049C1" w14:textId="77777777" w:rsidR="00EB66B8" w:rsidRDefault="00EB66B8" w:rsidP="00AF5BC7">
      <w:pPr>
        <w:pStyle w:val="BodyText"/>
        <w:spacing w:before="1"/>
        <w:ind w:left="0"/>
        <w:rPr>
          <w:b/>
          <w:bCs/>
          <w:iCs/>
          <w:sz w:val="24"/>
          <w:szCs w:val="24"/>
        </w:rPr>
      </w:pPr>
    </w:p>
    <w:p w14:paraId="05151551" w14:textId="11AD6AFF" w:rsidR="007B0E4B" w:rsidRDefault="007B0E4B" w:rsidP="007B0E4B">
      <w:pPr>
        <w:spacing w:line="360" w:lineRule="auto"/>
        <w:jc w:val="both"/>
        <w:rPr>
          <w:b/>
          <w:bCs/>
          <w:sz w:val="28"/>
          <w:szCs w:val="28"/>
          <w:lang w:val="en-IN"/>
        </w:rPr>
      </w:pPr>
      <w:r>
        <w:rPr>
          <w:b/>
          <w:bCs/>
          <w:sz w:val="28"/>
          <w:szCs w:val="28"/>
          <w:lang w:val="en-IN"/>
        </w:rPr>
        <w:t>1.</w:t>
      </w:r>
      <w:r w:rsidR="004F326F">
        <w:rPr>
          <w:b/>
          <w:bCs/>
          <w:sz w:val="28"/>
          <w:szCs w:val="28"/>
          <w:lang w:val="en-IN"/>
        </w:rPr>
        <w:t xml:space="preserve"> </w:t>
      </w:r>
      <w:r w:rsidRPr="00B525FD">
        <w:rPr>
          <w:b/>
          <w:bCs/>
          <w:sz w:val="28"/>
          <w:szCs w:val="28"/>
          <w:lang w:val="en-IN"/>
        </w:rPr>
        <w:t>INTRODUCTION</w:t>
      </w:r>
    </w:p>
    <w:p w14:paraId="650F79BD" w14:textId="457A6EBE" w:rsidR="007B0E4B" w:rsidRPr="007B0E4B" w:rsidRDefault="007B0E4B" w:rsidP="007B0E4B">
      <w:pPr>
        <w:spacing w:line="360" w:lineRule="auto"/>
        <w:jc w:val="both"/>
        <w:rPr>
          <w:b/>
          <w:bCs/>
          <w:sz w:val="24"/>
          <w:szCs w:val="24"/>
          <w:lang w:val="en-IN"/>
        </w:rPr>
      </w:pPr>
      <w:r w:rsidRPr="007B0E4B">
        <w:rPr>
          <w:sz w:val="24"/>
          <w:szCs w:val="24"/>
        </w:rPr>
        <w:t xml:space="preserve">The rapid globalization and increased complexity of supply chain networks have elevated the significance of Third-Party Logistics (3PL) services in ensuring efficient and cost-effective logistics operations. Tamil Nadu, known for its industrial and commercial prominence, has emerged as a critical hub for logistics activities in India. With its strong infrastructure, strategic location, and thriving industries, the state presents </w:t>
      </w:r>
      <w:r w:rsidRPr="007B0E4B">
        <w:rPr>
          <w:sz w:val="24"/>
          <w:szCs w:val="24"/>
        </w:rPr>
        <w:lastRenderedPageBreak/>
        <w:t>a unique ecosystem for 3PL service providers to deliver value through transportation, warehousing, order fulfi</w:t>
      </w:r>
      <w:r w:rsidR="004F326F">
        <w:rPr>
          <w:sz w:val="24"/>
          <w:szCs w:val="24"/>
        </w:rPr>
        <w:t>l</w:t>
      </w:r>
      <w:r w:rsidRPr="007B0E4B">
        <w:rPr>
          <w:sz w:val="24"/>
          <w:szCs w:val="24"/>
        </w:rPr>
        <w:t>lment, and integrated logistics solutions.</w:t>
      </w:r>
      <w:r w:rsidRPr="007B0E4B">
        <w:rPr>
          <w:iCs/>
          <w:sz w:val="24"/>
          <w:szCs w:val="24"/>
        </w:rPr>
        <w:t xml:space="preserve"> Despite the growing importance of 3PL services in supply chain management, </w:t>
      </w:r>
      <w:r w:rsidR="005401DC">
        <w:rPr>
          <w:iCs/>
          <w:sz w:val="24"/>
          <w:szCs w:val="24"/>
        </w:rPr>
        <w:t>a gap exists</w:t>
      </w:r>
      <w:r w:rsidRPr="007B0E4B">
        <w:rPr>
          <w:iCs/>
          <w:sz w:val="24"/>
          <w:szCs w:val="24"/>
        </w:rPr>
        <w:t xml:space="preserve"> in understanding how well these services are performing in Tamil Nadu. Key challenges such as service reliability, cost efficiency, and technology adoption often limit the ability of 3PL providers to deliver optimal value. The lack of localized empirical studies creates a void in identifying specific client preferences and the effectiveness of various 3PL service parameters.</w:t>
      </w:r>
      <w:r w:rsidRPr="007B0E4B">
        <w:rPr>
          <w:sz w:val="24"/>
          <w:szCs w:val="24"/>
        </w:rPr>
        <w:t xml:space="preserve"> This study focuses on assessing the performance of 3PL services in Tamil Nadu by examining the factors influencing their efficiency, the preferences of client firms, and the service provider</w:t>
      </w:r>
      <w:r w:rsidR="004F326F">
        <w:rPr>
          <w:sz w:val="24"/>
          <w:szCs w:val="24"/>
        </w:rPr>
        <w:t>’s</w:t>
      </w:r>
      <w:r w:rsidRPr="007B0E4B">
        <w:rPr>
          <w:sz w:val="24"/>
          <w:szCs w:val="24"/>
        </w:rPr>
        <w:t xml:space="preserve"> ability to meet the dynamic requirements of their clients. By leveraging empirical data, this research aims to provide actionable insights into the strengths and weaknesses of the current 3PL landscape in the state.</w:t>
      </w:r>
    </w:p>
    <w:p w14:paraId="2F107A8D" w14:textId="1DBE252C" w:rsidR="007B0E4B" w:rsidRPr="007B0E4B" w:rsidRDefault="007B0E4B" w:rsidP="007B0E4B">
      <w:pPr>
        <w:spacing w:line="360" w:lineRule="auto"/>
        <w:jc w:val="both"/>
        <w:rPr>
          <w:iCs/>
          <w:sz w:val="24"/>
          <w:szCs w:val="24"/>
        </w:rPr>
      </w:pPr>
    </w:p>
    <w:p w14:paraId="635B302C" w14:textId="44EE6272" w:rsidR="00E975D5" w:rsidRPr="00B525FD" w:rsidRDefault="00E975D5" w:rsidP="00E975D5">
      <w:pPr>
        <w:spacing w:line="360" w:lineRule="auto"/>
        <w:jc w:val="both"/>
        <w:rPr>
          <w:b/>
          <w:bCs/>
          <w:sz w:val="28"/>
          <w:szCs w:val="28"/>
        </w:rPr>
      </w:pPr>
      <w:r>
        <w:rPr>
          <w:b/>
          <w:bCs/>
          <w:sz w:val="28"/>
          <w:szCs w:val="28"/>
        </w:rPr>
        <w:t>2.</w:t>
      </w:r>
      <w:r w:rsidR="004F326F">
        <w:rPr>
          <w:b/>
          <w:bCs/>
          <w:sz w:val="28"/>
          <w:szCs w:val="28"/>
        </w:rPr>
        <w:t xml:space="preserve"> </w:t>
      </w:r>
      <w:r w:rsidRPr="00B525FD">
        <w:rPr>
          <w:b/>
          <w:bCs/>
          <w:sz w:val="28"/>
          <w:szCs w:val="28"/>
        </w:rPr>
        <w:t>REVIEW OF LITERATURE</w:t>
      </w:r>
    </w:p>
    <w:p w14:paraId="4715B2F2" w14:textId="4E863941" w:rsidR="00E975D5" w:rsidRPr="00E975D5" w:rsidRDefault="00E975D5" w:rsidP="00E975D5">
      <w:pPr>
        <w:widowControl/>
        <w:adjustRightInd w:val="0"/>
        <w:spacing w:line="360" w:lineRule="auto"/>
        <w:jc w:val="both"/>
        <w:rPr>
          <w:rFonts w:eastAsiaTheme="minorHAnsi"/>
          <w:sz w:val="24"/>
          <w:szCs w:val="24"/>
          <w:lang w:val="en-IN"/>
        </w:rPr>
      </w:pPr>
      <w:r w:rsidRPr="00E975D5">
        <w:rPr>
          <w:rFonts w:eastAsiaTheme="minorHAnsi"/>
          <w:b/>
          <w:sz w:val="24"/>
          <w:szCs w:val="24"/>
          <w:lang w:val="en-IN"/>
        </w:rPr>
        <w:t>Mvubu, M., &amp; Naude, M. (2020)</w:t>
      </w:r>
      <w:r w:rsidRPr="00E975D5">
        <w:rPr>
          <w:rFonts w:eastAsiaTheme="minorHAnsi"/>
          <w:sz w:val="24"/>
          <w:szCs w:val="24"/>
          <w:lang w:val="en-IN"/>
        </w:rPr>
        <w:t xml:space="preserve"> </w:t>
      </w:r>
      <w:r w:rsidR="005401DC">
        <w:rPr>
          <w:rFonts w:eastAsiaTheme="minorHAnsi"/>
          <w:sz w:val="24"/>
          <w:szCs w:val="24"/>
          <w:lang w:val="en-IN"/>
        </w:rPr>
        <w:t>evaluated the supply chain risk management techniques used by South African third-party logistics service providers to mitigate risks, the extent to which these strategies are implemented, and the benefits received from them. An exploratory and descriptive method approach was used. The empirical study consisted of email surveys sent to 398 supply chain managers working for South African 3PLs. The data show that respondents place a higher value on risk identification than on other SCRM tactics. Risk assessment had the lowest rating, indicating that 3PL providers placed the least value on this risk assessment technique. Risk response, monitoring, reporting, and control are all practiced to a far lesser extent. The data also showed that 3PL providers gain significantly from all SCRM solutions. One disadvantage of this study is that not all 3PL providers affiliated with SAAFF participated. Furthermore, because the survey primarily included members of senior management, perspectives from operational and tactical staff were not acquired. The study adds to the existing body of information on SCRM by investigating how 3PL providers in a developing nation, such as South Africa, assess supply chain risks, the techniques they employ to mitigate them, and the procedures to monitor and control SCM risks.</w:t>
      </w:r>
    </w:p>
    <w:p w14:paraId="26F3F6CA" w14:textId="77777777" w:rsidR="00AF5BC7" w:rsidRPr="00E975D5" w:rsidRDefault="00AF5BC7" w:rsidP="000F001D">
      <w:pPr>
        <w:pStyle w:val="Heading1"/>
        <w:spacing w:line="360" w:lineRule="auto"/>
        <w:ind w:left="0"/>
        <w:rPr>
          <w:b w:val="0"/>
          <w:bCs w:val="0"/>
        </w:rPr>
      </w:pPr>
    </w:p>
    <w:p w14:paraId="1AD1B8E9" w14:textId="41BE9603" w:rsidR="00AF5BC7" w:rsidRDefault="00E975D5" w:rsidP="000F001D">
      <w:pPr>
        <w:pStyle w:val="Heading1"/>
        <w:spacing w:line="360" w:lineRule="auto"/>
        <w:rPr>
          <w:b w:val="0"/>
          <w:bCs w:val="0"/>
        </w:rPr>
      </w:pPr>
      <w:r w:rsidRPr="00E975D5">
        <w:rPr>
          <w:sz w:val="24"/>
          <w:szCs w:val="24"/>
        </w:rPr>
        <w:t>Chen, X., Xu, P., Li, J., Walker, T., &amp; Yang, G. (2022)</w:t>
      </w:r>
      <w:r w:rsidR="005401DC">
        <w:rPr>
          <w:b w:val="0"/>
          <w:bCs w:val="0"/>
          <w:sz w:val="24"/>
          <w:szCs w:val="24"/>
        </w:rPr>
        <w:t xml:space="preserve"> explored that in a three-tiered closed-loop supply </w:t>
      </w:r>
      <w:r w:rsidR="004F326F">
        <w:rPr>
          <w:b w:val="0"/>
          <w:bCs w:val="0"/>
          <w:sz w:val="24"/>
          <w:szCs w:val="24"/>
        </w:rPr>
        <w:t>shackle</w:t>
      </w:r>
      <w:r w:rsidR="005401DC">
        <w:rPr>
          <w:b w:val="0"/>
          <w:bCs w:val="0"/>
          <w:sz w:val="24"/>
          <w:szCs w:val="24"/>
        </w:rPr>
        <w:t xml:space="preserve"> </w:t>
      </w:r>
      <w:r w:rsidR="004F326F">
        <w:rPr>
          <w:b w:val="0"/>
          <w:bCs w:val="0"/>
          <w:sz w:val="24"/>
          <w:szCs w:val="24"/>
        </w:rPr>
        <w:t>entailing</w:t>
      </w:r>
      <w:r w:rsidR="005401DC">
        <w:rPr>
          <w:b w:val="0"/>
          <w:bCs w:val="0"/>
          <w:sz w:val="24"/>
          <w:szCs w:val="24"/>
        </w:rPr>
        <w:t xml:space="preserve"> one manufacturer, one retailer, and one third-party logistics provider (3PL), with the retailer dominating. Inspired by game theory, we create an equilibrium model for a retailer-led, closed-loop supply chain with logistical outsourcing. We determine each supply chain member's optimal forward and reverse logistics options. This article investigates the impact of market size, consumer sensitivity to sales </w:t>
      </w:r>
      <w:r w:rsidR="005401DC">
        <w:rPr>
          <w:b w:val="0"/>
          <w:bCs w:val="0"/>
          <w:sz w:val="24"/>
          <w:szCs w:val="24"/>
        </w:rPr>
        <w:lastRenderedPageBreak/>
        <w:t>prices, the share of logistics expenses, consumer environmental awareness, and consumer sensitivity to recycling pricing on the decision-making process. Finally, we present a numerical example to demonstrate the validity of our findings. Our findings show that the more the manufacturer's portion of the forward logistics cost, the higher the sales, wholesale, and forward logistics service prices, and the smaller the order quantity. The more the manufacturer's part of reverse logistics costs, the lower the recycling price, transfer price, and recycling amount, and the higher the reverse logistics service price. Whether it is forward logistics or not, the greater the manufacturer's portion of the logistics costs, the lower the earnings of each member.</w:t>
      </w:r>
    </w:p>
    <w:p w14:paraId="7AAF7E36" w14:textId="77777777" w:rsidR="00AF5BC7" w:rsidRDefault="00AF5BC7" w:rsidP="00AF5BC7">
      <w:pPr>
        <w:pStyle w:val="Heading1"/>
        <w:rPr>
          <w:b w:val="0"/>
          <w:bCs w:val="0"/>
        </w:rPr>
      </w:pPr>
    </w:p>
    <w:p w14:paraId="501783E4" w14:textId="7575DBB4" w:rsidR="000A183C" w:rsidRDefault="00E975D5" w:rsidP="00E975D5">
      <w:pPr>
        <w:widowControl/>
        <w:adjustRightInd w:val="0"/>
        <w:spacing w:line="360" w:lineRule="auto"/>
        <w:jc w:val="both"/>
      </w:pPr>
      <w:r w:rsidRPr="00E975D5">
        <w:rPr>
          <w:rFonts w:eastAsiaTheme="minorHAnsi"/>
          <w:b/>
          <w:sz w:val="24"/>
          <w:szCs w:val="24"/>
          <w:lang w:val="en-IN"/>
        </w:rPr>
        <w:t>Juma, L., &amp; Basheer, M. (2023)</w:t>
      </w:r>
      <w:r w:rsidRPr="00E975D5">
        <w:rPr>
          <w:rFonts w:eastAsiaTheme="minorHAnsi"/>
          <w:sz w:val="24"/>
          <w:szCs w:val="24"/>
          <w:lang w:val="en-IN"/>
        </w:rPr>
        <w:t xml:space="preserve"> </w:t>
      </w:r>
      <w:r w:rsidR="005401DC">
        <w:rPr>
          <w:rFonts w:eastAsiaTheme="minorHAnsi"/>
          <w:sz w:val="24"/>
          <w:szCs w:val="24"/>
          <w:lang w:val="en-IN"/>
        </w:rPr>
        <w:t>assessed warehouse value-added services data for a third-party logistics (3PL) provider, facilitating the identification of service enhancements and cost-reduction opportunities in executing VAS for clients through Pareto analysis as a quality instrument. A case study methodology was employed to gather qualitative and quantitative data from a prominent third-party logistics organi</w:t>
      </w:r>
      <w:r w:rsidR="004F326F">
        <w:rPr>
          <w:rFonts w:eastAsiaTheme="minorHAnsi"/>
          <w:sz w:val="24"/>
          <w:szCs w:val="24"/>
          <w:lang w:val="en-IN"/>
        </w:rPr>
        <w:t>z</w:t>
      </w:r>
      <w:r w:rsidR="005401DC">
        <w:rPr>
          <w:rFonts w:eastAsiaTheme="minorHAnsi"/>
          <w:sz w:val="24"/>
          <w:szCs w:val="24"/>
          <w:lang w:val="en-IN"/>
        </w:rPr>
        <w:t>ation in Belgium. The methodology is executed through the implementation of critical stages of Pareto analysis. Two pharmaceutical items were evaluated based on medical general classification: narcotic analgesics (NA) and ophthalmic antihistamines and decongestants (OAD). The findings demonstrated that the Pareto principle is validated in the NA—ticketing scenario, with five actions accounting for 83.3 percent of the total time spent on VAS procedures. Moreover, in the OAD display scenario, the Pareto principle is substantiated, with six actions verified for comprising 81.26 percent of the entire duration of primary VAS operations. The study proposed a remedy for the four delay factors: insufficient training/best practices, ineffective space utili</w:t>
      </w:r>
      <w:r w:rsidR="004F326F">
        <w:rPr>
          <w:rFonts w:eastAsiaTheme="minorHAnsi"/>
          <w:sz w:val="24"/>
          <w:szCs w:val="24"/>
          <w:lang w:val="en-IN"/>
        </w:rPr>
        <w:t>z</w:t>
      </w:r>
      <w:r w:rsidR="005401DC">
        <w:rPr>
          <w:rFonts w:eastAsiaTheme="minorHAnsi"/>
          <w:sz w:val="24"/>
          <w:szCs w:val="24"/>
          <w:lang w:val="en-IN"/>
        </w:rPr>
        <w:t xml:space="preserve">ation, absence of automation, and lack of cohesion and planning. Although the significance of mitigating inefficiencies in warehouse operations is acknowledged, the literature is deficient in practical research, and there are limited contributions concerning the analysis of warehousing value-added services data from third-party logistics providers. This research delineated all Value-Added Services operations for temperature-sensitive pharmaceutical products. The study presents a methodology for enhancing warehouse operations in non-automated third-party logistics (3PL) facilities and assists managers using Pareto analysis. </w:t>
      </w:r>
    </w:p>
    <w:p w14:paraId="2CCE8D3D" w14:textId="77777777" w:rsidR="00E975D5" w:rsidRDefault="00E975D5" w:rsidP="000F001D">
      <w:pPr>
        <w:pStyle w:val="Heading1"/>
        <w:ind w:left="0"/>
      </w:pPr>
    </w:p>
    <w:p w14:paraId="14C48F85" w14:textId="5F1EC4EE" w:rsidR="00E975D5" w:rsidRPr="008F67D0" w:rsidRDefault="00E975D5" w:rsidP="008F67D0">
      <w:pPr>
        <w:spacing w:line="360" w:lineRule="auto"/>
        <w:jc w:val="both"/>
        <w:rPr>
          <w:b/>
          <w:bCs/>
          <w:sz w:val="28"/>
          <w:szCs w:val="28"/>
        </w:rPr>
      </w:pPr>
      <w:r>
        <w:rPr>
          <w:b/>
          <w:bCs/>
          <w:sz w:val="28"/>
          <w:szCs w:val="28"/>
        </w:rPr>
        <w:t xml:space="preserve">3. </w:t>
      </w:r>
      <w:r w:rsidRPr="00B525FD">
        <w:rPr>
          <w:b/>
          <w:bCs/>
          <w:sz w:val="28"/>
          <w:szCs w:val="28"/>
        </w:rPr>
        <w:t xml:space="preserve">STATEMENT OF THE RESEARCH PROBLEM </w:t>
      </w:r>
    </w:p>
    <w:p w14:paraId="2C3EB5AA" w14:textId="16DD8DBE" w:rsidR="0018544C" w:rsidRDefault="005401DC" w:rsidP="0018544C">
      <w:pPr>
        <w:pStyle w:val="NormalWeb"/>
        <w:spacing w:line="360" w:lineRule="auto"/>
        <w:jc w:val="both"/>
      </w:pPr>
      <w:r>
        <w:t>Logistics services have become an indispensable part of organizational success in today's competitive business environment</w:t>
      </w:r>
      <w:r w:rsidR="0018544C">
        <w:t xml:space="preserve">. The effective movement of goods and services is a critical determinant of customer satisfaction and business sustainability. As companies increasingly focus on their core competencies, </w:t>
      </w:r>
      <w:r>
        <w:lastRenderedPageBreak/>
        <w:t>outsourcing</w:t>
      </w:r>
      <w:r w:rsidR="0018544C">
        <w:t xml:space="preserve"> logistics and supply chain management activities has become a strategic necessity. This shift has driven the growth of Third-Party Logistics (3PL) services, especially in industrially vibrant regions like Tamil Nadu. However, selecting the most suitable 3PL provider remains </w:t>
      </w:r>
      <w:r>
        <w:t>challenging</w:t>
      </w:r>
      <w:r w:rsidR="0018544C">
        <w:t xml:space="preserve"> for logistics managers. Poor outsourcing decisions can lead to increased operational costs, service disruptions, loss of customer trust, and even business failure. Conversely, effective outsourcing decisions </w:t>
      </w:r>
      <w:r>
        <w:t>can potentially</w:t>
      </w:r>
      <w:r w:rsidR="0018544C">
        <w:t xml:space="preserve"> enhance cost efficiency, service quality, and overall competitive </w:t>
      </w:r>
      <w:r w:rsidR="004F326F">
        <w:t>A</w:t>
      </w:r>
      <w:r w:rsidR="0018544C">
        <w:t>dvantage. Despite these high stakes, many firms lack a clear framework for evaluating the performance of 3PL services, leading to inadequate outsourcing decisions that may also result in a loss of institutional knowledge and operational inefficiencies. IN Tamil Nadu, where industries such as automotive, textiles, electronics, and manufacturing thrive, the role of 3PL services is particularly significant. Yet, there is limited empirical research focused on assessing the performance and suitability of 3PL providers in this region. This study addresses this gap by evaluating the performance of 3PL services in Tamil Nadu, focusing on critical factors such as flexibility, reliability, cost efficiency, and technological innovation</w:t>
      </w:r>
      <w:r w:rsidR="004F326F">
        <w:t>.</w:t>
      </w:r>
    </w:p>
    <w:p w14:paraId="7717F492" w14:textId="77777777" w:rsidR="0018544C" w:rsidRDefault="0018544C" w:rsidP="000F001D">
      <w:pPr>
        <w:pStyle w:val="Heading1"/>
        <w:ind w:left="0"/>
      </w:pPr>
    </w:p>
    <w:p w14:paraId="03B2BD30" w14:textId="5853CB59" w:rsidR="0018544C" w:rsidRDefault="006E54A9" w:rsidP="006E54A9">
      <w:pPr>
        <w:spacing w:line="360" w:lineRule="auto"/>
        <w:jc w:val="both"/>
        <w:rPr>
          <w:b/>
          <w:bCs/>
          <w:sz w:val="28"/>
          <w:szCs w:val="28"/>
        </w:rPr>
      </w:pPr>
      <w:r>
        <w:rPr>
          <w:b/>
          <w:bCs/>
          <w:sz w:val="28"/>
          <w:szCs w:val="28"/>
        </w:rPr>
        <w:t xml:space="preserve">4. </w:t>
      </w:r>
      <w:r w:rsidRPr="00B525FD">
        <w:rPr>
          <w:b/>
          <w:bCs/>
          <w:sz w:val="28"/>
          <w:szCs w:val="28"/>
        </w:rPr>
        <w:t>OBJECTIVES OF THE STUDY</w:t>
      </w:r>
    </w:p>
    <w:p w14:paraId="75E97E8D" w14:textId="5D295CE4" w:rsidR="0018544C" w:rsidRPr="00826500" w:rsidRDefault="006E54A9" w:rsidP="00826500">
      <w:pPr>
        <w:pStyle w:val="Heading1"/>
        <w:numPr>
          <w:ilvl w:val="0"/>
          <w:numId w:val="9"/>
        </w:numPr>
        <w:spacing w:line="360" w:lineRule="auto"/>
      </w:pPr>
      <w:r w:rsidRPr="00826500">
        <w:rPr>
          <w:b w:val="0"/>
          <w:bCs w:val="0"/>
          <w:sz w:val="24"/>
          <w:szCs w:val="24"/>
        </w:rPr>
        <w:t xml:space="preserve">To investigate client preferences and mean ranks </w:t>
      </w:r>
      <w:r w:rsidR="004F326F">
        <w:rPr>
          <w:b w:val="0"/>
          <w:bCs w:val="0"/>
          <w:sz w:val="24"/>
          <w:szCs w:val="24"/>
        </w:rPr>
        <w:t>relative to the factors of third-party l</w:t>
      </w:r>
      <w:r w:rsidR="00826500" w:rsidRPr="00826500">
        <w:rPr>
          <w:b w:val="0"/>
          <w:bCs w:val="0"/>
          <w:sz w:val="24"/>
          <w:szCs w:val="24"/>
        </w:rPr>
        <w:t>ogistics</w:t>
      </w:r>
      <w:r w:rsidRPr="00826500">
        <w:rPr>
          <w:b w:val="0"/>
          <w:bCs w:val="0"/>
          <w:sz w:val="24"/>
          <w:szCs w:val="24"/>
        </w:rPr>
        <w:t xml:space="preserve"> services</w:t>
      </w:r>
      <w:r w:rsidR="00826500" w:rsidRPr="00826500">
        <w:rPr>
          <w:b w:val="0"/>
          <w:bCs w:val="0"/>
          <w:sz w:val="24"/>
          <w:szCs w:val="24"/>
        </w:rPr>
        <w:t>.</w:t>
      </w:r>
    </w:p>
    <w:p w14:paraId="0E6D169A" w14:textId="36B6FCCE" w:rsidR="006E54A9" w:rsidRPr="00826500" w:rsidRDefault="006E54A9" w:rsidP="00826500">
      <w:pPr>
        <w:pStyle w:val="Heading1"/>
        <w:numPr>
          <w:ilvl w:val="0"/>
          <w:numId w:val="8"/>
        </w:numPr>
        <w:spacing w:line="360" w:lineRule="auto"/>
        <w:rPr>
          <w:b w:val="0"/>
          <w:bCs w:val="0"/>
          <w:sz w:val="24"/>
          <w:szCs w:val="24"/>
        </w:rPr>
      </w:pPr>
      <w:r w:rsidRPr="00826500">
        <w:rPr>
          <w:b w:val="0"/>
          <w:bCs w:val="0"/>
          <w:sz w:val="24"/>
          <w:szCs w:val="24"/>
        </w:rPr>
        <w:t xml:space="preserve">To study the significant difference in the mean score of value creation and Flexibility as a dimension towards 3PL service. </w:t>
      </w:r>
    </w:p>
    <w:p w14:paraId="7CE01285" w14:textId="2D778A8C" w:rsidR="00826500" w:rsidRPr="00826500" w:rsidRDefault="00826500" w:rsidP="00826500">
      <w:pPr>
        <w:pStyle w:val="Heading1"/>
        <w:numPr>
          <w:ilvl w:val="0"/>
          <w:numId w:val="8"/>
        </w:numPr>
        <w:spacing w:line="360" w:lineRule="auto"/>
        <w:rPr>
          <w:b w:val="0"/>
          <w:bCs w:val="0"/>
          <w:sz w:val="24"/>
          <w:szCs w:val="24"/>
        </w:rPr>
      </w:pPr>
      <w:r w:rsidRPr="00826500">
        <w:rPr>
          <w:b w:val="0"/>
          <w:bCs w:val="0"/>
          <w:sz w:val="24"/>
          <w:szCs w:val="24"/>
        </w:rPr>
        <w:t>To identify Group clients based on their responses and validate the discriminant function to assess its accuracy in classifying respondents into predefined performance categories.</w:t>
      </w:r>
    </w:p>
    <w:p w14:paraId="0DA597FB" w14:textId="77777777" w:rsidR="006E54A9" w:rsidRDefault="006E54A9" w:rsidP="00826500">
      <w:pPr>
        <w:pStyle w:val="Heading1"/>
        <w:spacing w:line="360" w:lineRule="auto"/>
        <w:ind w:left="0"/>
        <w:rPr>
          <w:b w:val="0"/>
          <w:bCs w:val="0"/>
        </w:rPr>
      </w:pPr>
    </w:p>
    <w:p w14:paraId="2D30D3F8" w14:textId="77777777" w:rsidR="006E54A9" w:rsidRDefault="006E54A9" w:rsidP="006E54A9">
      <w:pPr>
        <w:spacing w:line="360" w:lineRule="auto"/>
        <w:jc w:val="both"/>
        <w:rPr>
          <w:b/>
          <w:bCs/>
          <w:sz w:val="28"/>
          <w:szCs w:val="28"/>
        </w:rPr>
      </w:pPr>
      <w:r>
        <w:rPr>
          <w:b/>
          <w:bCs/>
          <w:sz w:val="28"/>
          <w:szCs w:val="28"/>
        </w:rPr>
        <w:t xml:space="preserve">5. </w:t>
      </w:r>
      <w:r w:rsidRPr="005A68FC">
        <w:rPr>
          <w:b/>
          <w:bCs/>
          <w:sz w:val="28"/>
          <w:szCs w:val="28"/>
        </w:rPr>
        <w:t>RESEARCH METHODOLOGY</w:t>
      </w:r>
    </w:p>
    <w:p w14:paraId="223E9BF5" w14:textId="61523F03" w:rsidR="006E54A9" w:rsidRPr="006E54A9" w:rsidRDefault="006E54A9" w:rsidP="006E54A9">
      <w:pPr>
        <w:spacing w:line="360" w:lineRule="auto"/>
        <w:jc w:val="both"/>
        <w:rPr>
          <w:sz w:val="24"/>
          <w:szCs w:val="24"/>
        </w:rPr>
      </w:pPr>
      <w:r w:rsidRPr="006E54A9">
        <w:rPr>
          <w:sz w:val="24"/>
          <w:szCs w:val="24"/>
        </w:rPr>
        <w:t xml:space="preserve">The research adopted a </w:t>
      </w:r>
      <w:r w:rsidRPr="006E54A9">
        <w:rPr>
          <w:rStyle w:val="Strong"/>
          <w:b w:val="0"/>
          <w:bCs w:val="0"/>
          <w:sz w:val="24"/>
          <w:szCs w:val="24"/>
        </w:rPr>
        <w:t>descriptive design</w:t>
      </w:r>
      <w:r w:rsidRPr="006E54A9">
        <w:rPr>
          <w:sz w:val="24"/>
          <w:szCs w:val="24"/>
        </w:rPr>
        <w:t xml:space="preserve"> to systematically explore and analyze the performance of 3PL services in the Chennai region of Tamil Nadu. This design was selected to provide a comprehensive understanding of the factors influencing client satisfaction and the overall efficiency of 3PL services. The study targeted </w:t>
      </w:r>
      <w:r w:rsidRPr="006E54A9">
        <w:rPr>
          <w:rStyle w:val="Strong"/>
          <w:b w:val="0"/>
          <w:bCs w:val="0"/>
          <w:sz w:val="24"/>
          <w:szCs w:val="24"/>
        </w:rPr>
        <w:t>137 clients</w:t>
      </w:r>
      <w:r w:rsidRPr="006E54A9">
        <w:rPr>
          <w:sz w:val="24"/>
          <w:szCs w:val="24"/>
        </w:rPr>
        <w:t xml:space="preserve"> involved in logistics activities, using a </w:t>
      </w:r>
      <w:r w:rsidRPr="006E54A9">
        <w:rPr>
          <w:rStyle w:val="Strong"/>
          <w:b w:val="0"/>
          <w:bCs w:val="0"/>
          <w:sz w:val="24"/>
          <w:szCs w:val="24"/>
        </w:rPr>
        <w:t>convenience sampling</w:t>
      </w:r>
      <w:r w:rsidRPr="006E54A9">
        <w:rPr>
          <w:sz w:val="24"/>
          <w:szCs w:val="24"/>
        </w:rPr>
        <w:t xml:space="preserve"> approach to ensure accessibility and relevance.</w:t>
      </w:r>
      <w:r w:rsidRPr="006E54A9">
        <w:t xml:space="preserve"> </w:t>
      </w:r>
      <w:r w:rsidRPr="006E54A9">
        <w:rPr>
          <w:sz w:val="24"/>
          <w:szCs w:val="24"/>
        </w:rPr>
        <w:t xml:space="preserve">Data was </w:t>
      </w:r>
      <w:r w:rsidR="004F326F">
        <w:rPr>
          <w:sz w:val="24"/>
          <w:szCs w:val="24"/>
        </w:rPr>
        <w:t>compose</w:t>
      </w:r>
      <w:r w:rsidR="004F326F" w:rsidRPr="006E54A9">
        <w:rPr>
          <w:sz w:val="24"/>
          <w:szCs w:val="24"/>
        </w:rPr>
        <w:t>d</w:t>
      </w:r>
      <w:r w:rsidRPr="006E54A9">
        <w:rPr>
          <w:sz w:val="24"/>
          <w:szCs w:val="24"/>
        </w:rPr>
        <w:t xml:space="preserve"> using a structured questionnaire to gather insights into the performance, reliability, and technological adoption of 3PL services. The questionnaire included items rated on a Likert scale, ranging from 1 (Strongly Disagree) to 5 (Strongly Agree), to measure respondents' perceptions across multiple dimensions of 3PL service quality.</w:t>
      </w:r>
      <w:r w:rsidRPr="006E54A9">
        <w:t xml:space="preserve"> </w:t>
      </w:r>
      <w:r w:rsidRPr="006E54A9">
        <w:rPr>
          <w:sz w:val="24"/>
          <w:szCs w:val="24"/>
        </w:rPr>
        <w:t xml:space="preserve">e hypotheses were assessed to explore </w:t>
      </w:r>
      <w:r w:rsidR="005401DC">
        <w:rPr>
          <w:sz w:val="24"/>
          <w:szCs w:val="24"/>
        </w:rPr>
        <w:t>critical</w:t>
      </w:r>
      <w:r w:rsidRPr="006E54A9">
        <w:rPr>
          <w:sz w:val="24"/>
          <w:szCs w:val="24"/>
        </w:rPr>
        <w:t xml:space="preserve"> </w:t>
      </w:r>
      <w:r w:rsidRPr="006E54A9">
        <w:rPr>
          <w:sz w:val="24"/>
          <w:szCs w:val="24"/>
        </w:rPr>
        <w:lastRenderedPageBreak/>
        <w:t>factors influencing the performance of 3PL services.</w:t>
      </w:r>
      <w:r w:rsidRPr="006E54A9">
        <w:t xml:space="preserve"> </w:t>
      </w:r>
      <w:r w:rsidRPr="006E54A9">
        <w:rPr>
          <w:sz w:val="24"/>
          <w:szCs w:val="24"/>
        </w:rPr>
        <w:t>The Cronbach's alpha coefficient of 0.953 for the 42 items indicates a high level of internal consistency among the questionnaire items. This suggests that the instrument is reliable and well-suited for measuring perceptions and experiences related to 3PL service performance in the Chennai region.</w:t>
      </w:r>
    </w:p>
    <w:p w14:paraId="1667A730" w14:textId="77777777" w:rsidR="006E54A9" w:rsidRDefault="006E54A9" w:rsidP="006E54A9">
      <w:pPr>
        <w:spacing w:line="360" w:lineRule="auto"/>
        <w:jc w:val="both"/>
        <w:rPr>
          <w:b/>
          <w:bCs/>
          <w:sz w:val="28"/>
          <w:szCs w:val="28"/>
        </w:rPr>
      </w:pPr>
    </w:p>
    <w:p w14:paraId="7F562945" w14:textId="77777777" w:rsidR="006E54A9" w:rsidRPr="005A68FC" w:rsidRDefault="006E54A9" w:rsidP="006E54A9">
      <w:pPr>
        <w:spacing w:line="360" w:lineRule="auto"/>
        <w:jc w:val="both"/>
        <w:rPr>
          <w:b/>
          <w:bCs/>
          <w:sz w:val="28"/>
          <w:szCs w:val="28"/>
        </w:rPr>
      </w:pPr>
      <w:r>
        <w:rPr>
          <w:b/>
          <w:bCs/>
          <w:sz w:val="28"/>
          <w:szCs w:val="28"/>
        </w:rPr>
        <w:t xml:space="preserve">6. </w:t>
      </w:r>
      <w:r w:rsidRPr="005A68FC">
        <w:rPr>
          <w:b/>
          <w:bCs/>
          <w:sz w:val="28"/>
          <w:szCs w:val="28"/>
        </w:rPr>
        <w:t>DATA ANALYSIS AND INTERPRETATION</w:t>
      </w:r>
    </w:p>
    <w:p w14:paraId="3D232070" w14:textId="7197788D" w:rsidR="00C86B4F" w:rsidRPr="00C86B4F" w:rsidRDefault="00C86B4F" w:rsidP="00C86B4F">
      <w:pPr>
        <w:spacing w:line="360" w:lineRule="auto"/>
        <w:jc w:val="center"/>
        <w:rPr>
          <w:b/>
          <w:bCs/>
          <w:sz w:val="24"/>
          <w:szCs w:val="24"/>
          <w:lang w:val="en-IN" w:eastAsia="en-IN"/>
        </w:rPr>
      </w:pPr>
      <w:bookmarkStart w:id="0" w:name="_Hlk183862239"/>
      <w:r w:rsidRPr="00C86B4F">
        <w:rPr>
          <w:b/>
          <w:bCs/>
          <w:sz w:val="24"/>
          <w:szCs w:val="24"/>
        </w:rPr>
        <w:t>Friedman test</w:t>
      </w:r>
    </w:p>
    <w:p w14:paraId="594D5E18" w14:textId="0ED1FBB7" w:rsidR="006E54A9" w:rsidRPr="006E54A9" w:rsidRDefault="006E54A9" w:rsidP="006E54A9">
      <w:pPr>
        <w:spacing w:line="360" w:lineRule="auto"/>
        <w:jc w:val="both"/>
        <w:rPr>
          <w:sz w:val="24"/>
          <w:szCs w:val="24"/>
        </w:rPr>
      </w:pPr>
      <w:r w:rsidRPr="006E54A9">
        <w:rPr>
          <w:sz w:val="24"/>
          <w:szCs w:val="24"/>
          <w:lang w:val="en-IN" w:eastAsia="en-IN"/>
        </w:rPr>
        <w:t>H₀:</w:t>
      </w:r>
      <w:bookmarkEnd w:id="0"/>
      <w:r w:rsidRPr="006E54A9">
        <w:rPr>
          <w:sz w:val="24"/>
          <w:szCs w:val="24"/>
        </w:rPr>
        <w:t xml:space="preserve"> </w:t>
      </w:r>
      <w:r w:rsidRPr="006E54A9">
        <w:rPr>
          <w:sz w:val="24"/>
          <w:szCs w:val="24"/>
          <w:lang w:val="en-IN" w:eastAsia="en-IN"/>
        </w:rPr>
        <w:t xml:space="preserve">There is no significant difference among mean ranks towards the factors of </w:t>
      </w:r>
      <w:r w:rsidR="000F001D" w:rsidRPr="000F001D">
        <w:rPr>
          <w:sz w:val="24"/>
          <w:szCs w:val="24"/>
          <w:lang w:val="en-IN" w:eastAsia="en-IN"/>
        </w:rPr>
        <w:t>third-party Logistics services.</w:t>
      </w:r>
    </w:p>
    <w:tbl>
      <w:tblPr>
        <w:tblStyle w:val="TableGrid"/>
        <w:tblpPr w:leftFromText="180" w:rightFromText="180" w:vertAnchor="text" w:horzAnchor="margin" w:tblpY="173"/>
        <w:tblW w:w="10381" w:type="dxa"/>
        <w:tblLook w:val="04A0" w:firstRow="1" w:lastRow="0" w:firstColumn="1" w:lastColumn="0" w:noHBand="0" w:noVBand="1"/>
      </w:tblPr>
      <w:tblGrid>
        <w:gridCol w:w="4106"/>
        <w:gridCol w:w="2051"/>
        <w:gridCol w:w="2769"/>
        <w:gridCol w:w="1455"/>
      </w:tblGrid>
      <w:tr w:rsidR="00C86B4F" w:rsidRPr="00FF621F" w14:paraId="159DDE8A" w14:textId="77777777" w:rsidTr="00C86B4F">
        <w:trPr>
          <w:trHeight w:val="132"/>
        </w:trPr>
        <w:tc>
          <w:tcPr>
            <w:tcW w:w="4106" w:type="dxa"/>
            <w:vAlign w:val="center"/>
          </w:tcPr>
          <w:p w14:paraId="7855300E" w14:textId="77777777" w:rsidR="00C86B4F" w:rsidRPr="00FF621F" w:rsidRDefault="00C86B4F" w:rsidP="00AF25C2">
            <w:pPr>
              <w:spacing w:line="360" w:lineRule="auto"/>
              <w:jc w:val="center"/>
              <w:rPr>
                <w:b/>
                <w:sz w:val="24"/>
              </w:rPr>
            </w:pPr>
            <w:r w:rsidRPr="00FF621F">
              <w:rPr>
                <w:b/>
                <w:sz w:val="24"/>
              </w:rPr>
              <w:t>FACTORS OF 3PL SERVICE</w:t>
            </w:r>
            <w:r>
              <w:rPr>
                <w:b/>
                <w:sz w:val="24"/>
              </w:rPr>
              <w:t>S</w:t>
            </w:r>
          </w:p>
        </w:tc>
        <w:tc>
          <w:tcPr>
            <w:tcW w:w="2051" w:type="dxa"/>
            <w:vAlign w:val="center"/>
          </w:tcPr>
          <w:p w14:paraId="77218756" w14:textId="77777777" w:rsidR="00C86B4F" w:rsidRPr="00FF621F" w:rsidRDefault="00C86B4F" w:rsidP="00AF25C2">
            <w:pPr>
              <w:spacing w:line="360" w:lineRule="auto"/>
              <w:jc w:val="center"/>
              <w:rPr>
                <w:b/>
                <w:sz w:val="24"/>
              </w:rPr>
            </w:pPr>
            <w:r w:rsidRPr="00FF621F">
              <w:rPr>
                <w:b/>
                <w:sz w:val="24"/>
              </w:rPr>
              <w:t>MEAN RANK</w:t>
            </w:r>
          </w:p>
        </w:tc>
        <w:tc>
          <w:tcPr>
            <w:tcW w:w="2769" w:type="dxa"/>
            <w:vAlign w:val="center"/>
          </w:tcPr>
          <w:p w14:paraId="5C51F0FE" w14:textId="739E3186" w:rsidR="00C86B4F" w:rsidRPr="00FF621F" w:rsidRDefault="00C86B4F" w:rsidP="00AF25C2">
            <w:pPr>
              <w:spacing w:line="360" w:lineRule="auto"/>
              <w:jc w:val="center"/>
              <w:rPr>
                <w:b/>
                <w:sz w:val="24"/>
              </w:rPr>
            </w:pPr>
            <w:r w:rsidRPr="00FF621F">
              <w:rPr>
                <w:b/>
                <w:sz w:val="24"/>
              </w:rPr>
              <w:t>CHI</w:t>
            </w:r>
            <w:r w:rsidR="004F326F">
              <w:rPr>
                <w:b/>
                <w:sz w:val="24"/>
              </w:rPr>
              <w:t>-</w:t>
            </w:r>
            <w:r w:rsidRPr="00FF621F">
              <w:rPr>
                <w:b/>
                <w:sz w:val="24"/>
              </w:rPr>
              <w:t>SQUARE VALUE</w:t>
            </w:r>
          </w:p>
        </w:tc>
        <w:tc>
          <w:tcPr>
            <w:tcW w:w="1455" w:type="dxa"/>
            <w:vAlign w:val="center"/>
          </w:tcPr>
          <w:p w14:paraId="4E9718C3" w14:textId="77777777" w:rsidR="00C86B4F" w:rsidRPr="00FF621F" w:rsidRDefault="00C86B4F" w:rsidP="00AF25C2">
            <w:pPr>
              <w:spacing w:line="360" w:lineRule="auto"/>
              <w:jc w:val="center"/>
              <w:rPr>
                <w:b/>
                <w:sz w:val="24"/>
              </w:rPr>
            </w:pPr>
            <w:r w:rsidRPr="00FF621F">
              <w:rPr>
                <w:b/>
                <w:sz w:val="24"/>
              </w:rPr>
              <w:t>P VALUE</w:t>
            </w:r>
          </w:p>
        </w:tc>
      </w:tr>
      <w:tr w:rsidR="00C86B4F" w:rsidRPr="00FF621F" w14:paraId="2367A24D" w14:textId="77777777" w:rsidTr="00C86B4F">
        <w:trPr>
          <w:trHeight w:val="319"/>
        </w:trPr>
        <w:tc>
          <w:tcPr>
            <w:tcW w:w="4106" w:type="dxa"/>
            <w:vAlign w:val="center"/>
          </w:tcPr>
          <w:p w14:paraId="646F049C" w14:textId="77777777" w:rsidR="00C86B4F" w:rsidRPr="00FF621F" w:rsidRDefault="00C86B4F" w:rsidP="00AF25C2">
            <w:pPr>
              <w:spacing w:line="320" w:lineRule="atLeast"/>
              <w:ind w:left="60" w:right="60"/>
              <w:jc w:val="center"/>
              <w:rPr>
                <w:sz w:val="24"/>
                <w:szCs w:val="24"/>
              </w:rPr>
            </w:pPr>
            <w:r w:rsidRPr="00FF621F">
              <w:rPr>
                <w:sz w:val="24"/>
                <w:szCs w:val="24"/>
              </w:rPr>
              <w:t>Flexibility</w:t>
            </w:r>
          </w:p>
        </w:tc>
        <w:tc>
          <w:tcPr>
            <w:tcW w:w="2051" w:type="dxa"/>
            <w:vAlign w:val="center"/>
          </w:tcPr>
          <w:p w14:paraId="1210C285" w14:textId="77777777" w:rsidR="00C86B4F" w:rsidRPr="00FF621F" w:rsidRDefault="00C86B4F" w:rsidP="00AF25C2">
            <w:pPr>
              <w:spacing w:line="320" w:lineRule="atLeast"/>
              <w:ind w:left="60" w:right="60"/>
              <w:jc w:val="center"/>
              <w:rPr>
                <w:sz w:val="24"/>
                <w:szCs w:val="18"/>
              </w:rPr>
            </w:pPr>
            <w:r w:rsidRPr="00FF621F">
              <w:rPr>
                <w:sz w:val="24"/>
                <w:szCs w:val="18"/>
              </w:rPr>
              <w:t>(3.92)</w:t>
            </w:r>
          </w:p>
        </w:tc>
        <w:tc>
          <w:tcPr>
            <w:tcW w:w="2769" w:type="dxa"/>
            <w:vMerge w:val="restart"/>
            <w:vAlign w:val="center"/>
          </w:tcPr>
          <w:p w14:paraId="280326BC" w14:textId="77777777" w:rsidR="00C86B4F" w:rsidRPr="00FF621F" w:rsidRDefault="00C86B4F" w:rsidP="00AF25C2">
            <w:pPr>
              <w:spacing w:line="360" w:lineRule="auto"/>
              <w:ind w:left="60" w:right="60"/>
              <w:jc w:val="center"/>
              <w:rPr>
                <w:sz w:val="24"/>
                <w:szCs w:val="18"/>
              </w:rPr>
            </w:pPr>
            <w:r w:rsidRPr="00FF621F">
              <w:rPr>
                <w:sz w:val="24"/>
                <w:szCs w:val="18"/>
              </w:rPr>
              <w:t>(25.380)</w:t>
            </w:r>
          </w:p>
        </w:tc>
        <w:tc>
          <w:tcPr>
            <w:tcW w:w="1455" w:type="dxa"/>
            <w:vMerge w:val="restart"/>
            <w:vAlign w:val="center"/>
          </w:tcPr>
          <w:p w14:paraId="1BF1B98A" w14:textId="77777777" w:rsidR="00C86B4F" w:rsidRPr="00FF621F" w:rsidRDefault="00C86B4F" w:rsidP="00AF25C2">
            <w:pPr>
              <w:spacing w:line="360" w:lineRule="auto"/>
              <w:ind w:left="60" w:right="60"/>
              <w:jc w:val="center"/>
              <w:rPr>
                <w:sz w:val="24"/>
                <w:szCs w:val="18"/>
              </w:rPr>
            </w:pPr>
            <w:r w:rsidRPr="00FF621F">
              <w:rPr>
                <w:sz w:val="24"/>
                <w:szCs w:val="18"/>
              </w:rPr>
              <w:t>(.000)</w:t>
            </w:r>
          </w:p>
        </w:tc>
      </w:tr>
      <w:tr w:rsidR="00C86B4F" w:rsidRPr="00FF621F" w14:paraId="4F35B8D5" w14:textId="77777777" w:rsidTr="00C86B4F">
        <w:trPr>
          <w:trHeight w:val="282"/>
        </w:trPr>
        <w:tc>
          <w:tcPr>
            <w:tcW w:w="4106" w:type="dxa"/>
            <w:vAlign w:val="center"/>
          </w:tcPr>
          <w:p w14:paraId="59CA1C2B" w14:textId="77777777" w:rsidR="00C86B4F" w:rsidRPr="00FF621F" w:rsidRDefault="00C86B4F" w:rsidP="00AF25C2">
            <w:pPr>
              <w:spacing w:line="320" w:lineRule="atLeast"/>
              <w:ind w:left="60" w:right="60"/>
              <w:jc w:val="center"/>
              <w:rPr>
                <w:sz w:val="24"/>
                <w:szCs w:val="24"/>
              </w:rPr>
            </w:pPr>
            <w:r w:rsidRPr="00FF621F">
              <w:rPr>
                <w:sz w:val="24"/>
                <w:szCs w:val="24"/>
              </w:rPr>
              <w:t>Value Creation</w:t>
            </w:r>
          </w:p>
        </w:tc>
        <w:tc>
          <w:tcPr>
            <w:tcW w:w="2051" w:type="dxa"/>
            <w:vAlign w:val="center"/>
          </w:tcPr>
          <w:p w14:paraId="39A7804D" w14:textId="77777777" w:rsidR="00C86B4F" w:rsidRPr="00FF621F" w:rsidRDefault="00C86B4F" w:rsidP="00AF25C2">
            <w:pPr>
              <w:spacing w:line="320" w:lineRule="atLeast"/>
              <w:ind w:left="60" w:right="60"/>
              <w:jc w:val="center"/>
              <w:rPr>
                <w:sz w:val="24"/>
                <w:szCs w:val="18"/>
              </w:rPr>
            </w:pPr>
            <w:r w:rsidRPr="00FF621F">
              <w:rPr>
                <w:sz w:val="24"/>
                <w:szCs w:val="18"/>
              </w:rPr>
              <w:t>(3.24)</w:t>
            </w:r>
          </w:p>
        </w:tc>
        <w:tc>
          <w:tcPr>
            <w:tcW w:w="2769" w:type="dxa"/>
            <w:vMerge/>
          </w:tcPr>
          <w:p w14:paraId="69F1EC47" w14:textId="77777777" w:rsidR="00C86B4F" w:rsidRPr="00FF621F" w:rsidRDefault="00C86B4F" w:rsidP="00AF25C2">
            <w:pPr>
              <w:spacing w:line="360" w:lineRule="auto"/>
              <w:ind w:left="60" w:right="60"/>
              <w:jc w:val="center"/>
              <w:rPr>
                <w:szCs w:val="18"/>
              </w:rPr>
            </w:pPr>
          </w:p>
        </w:tc>
        <w:tc>
          <w:tcPr>
            <w:tcW w:w="1455" w:type="dxa"/>
            <w:vMerge/>
          </w:tcPr>
          <w:p w14:paraId="010245A0" w14:textId="77777777" w:rsidR="00C86B4F" w:rsidRPr="00FF621F" w:rsidRDefault="00C86B4F" w:rsidP="00AF25C2">
            <w:pPr>
              <w:spacing w:line="360" w:lineRule="auto"/>
              <w:ind w:left="60" w:right="60"/>
              <w:jc w:val="center"/>
              <w:rPr>
                <w:szCs w:val="18"/>
              </w:rPr>
            </w:pPr>
          </w:p>
        </w:tc>
      </w:tr>
      <w:tr w:rsidR="00C86B4F" w:rsidRPr="00FF621F" w14:paraId="029C50CE" w14:textId="77777777" w:rsidTr="00C86B4F">
        <w:trPr>
          <w:trHeight w:val="282"/>
        </w:trPr>
        <w:tc>
          <w:tcPr>
            <w:tcW w:w="4106" w:type="dxa"/>
            <w:vAlign w:val="center"/>
          </w:tcPr>
          <w:p w14:paraId="5B009593" w14:textId="77777777" w:rsidR="00C86B4F" w:rsidRPr="00FF621F" w:rsidRDefault="00C86B4F" w:rsidP="00AF25C2">
            <w:pPr>
              <w:spacing w:line="320" w:lineRule="atLeast"/>
              <w:ind w:left="60" w:right="60"/>
              <w:jc w:val="center"/>
              <w:rPr>
                <w:sz w:val="24"/>
                <w:szCs w:val="24"/>
              </w:rPr>
            </w:pPr>
            <w:r w:rsidRPr="00FF621F">
              <w:rPr>
                <w:sz w:val="24"/>
                <w:szCs w:val="24"/>
              </w:rPr>
              <w:t>Security and Tracking System</w:t>
            </w:r>
          </w:p>
        </w:tc>
        <w:tc>
          <w:tcPr>
            <w:tcW w:w="2051" w:type="dxa"/>
            <w:vAlign w:val="center"/>
          </w:tcPr>
          <w:p w14:paraId="407717AC" w14:textId="77777777" w:rsidR="00C86B4F" w:rsidRPr="00FF621F" w:rsidRDefault="00C86B4F" w:rsidP="00AF25C2">
            <w:pPr>
              <w:spacing w:line="320" w:lineRule="atLeast"/>
              <w:ind w:left="60" w:right="60"/>
              <w:jc w:val="center"/>
              <w:rPr>
                <w:sz w:val="24"/>
                <w:szCs w:val="18"/>
              </w:rPr>
            </w:pPr>
            <w:r w:rsidRPr="00FF621F">
              <w:rPr>
                <w:sz w:val="24"/>
                <w:szCs w:val="18"/>
              </w:rPr>
              <w:t>(3.34)</w:t>
            </w:r>
          </w:p>
        </w:tc>
        <w:tc>
          <w:tcPr>
            <w:tcW w:w="2769" w:type="dxa"/>
            <w:vMerge/>
          </w:tcPr>
          <w:p w14:paraId="33D3F136" w14:textId="77777777" w:rsidR="00C86B4F" w:rsidRPr="00FF621F" w:rsidRDefault="00C86B4F" w:rsidP="00AF25C2">
            <w:pPr>
              <w:spacing w:line="360" w:lineRule="auto"/>
              <w:ind w:left="60" w:right="60"/>
              <w:jc w:val="center"/>
              <w:rPr>
                <w:szCs w:val="18"/>
              </w:rPr>
            </w:pPr>
          </w:p>
        </w:tc>
        <w:tc>
          <w:tcPr>
            <w:tcW w:w="1455" w:type="dxa"/>
            <w:vMerge/>
          </w:tcPr>
          <w:p w14:paraId="64D96248" w14:textId="77777777" w:rsidR="00C86B4F" w:rsidRPr="00FF621F" w:rsidRDefault="00C86B4F" w:rsidP="00AF25C2">
            <w:pPr>
              <w:spacing w:line="360" w:lineRule="auto"/>
              <w:ind w:left="60" w:right="60"/>
              <w:jc w:val="center"/>
              <w:rPr>
                <w:szCs w:val="18"/>
              </w:rPr>
            </w:pPr>
          </w:p>
        </w:tc>
      </w:tr>
      <w:tr w:rsidR="00C86B4F" w:rsidRPr="00FF621F" w14:paraId="228F3408" w14:textId="77777777" w:rsidTr="00C86B4F">
        <w:trPr>
          <w:trHeight w:val="319"/>
        </w:trPr>
        <w:tc>
          <w:tcPr>
            <w:tcW w:w="4106" w:type="dxa"/>
            <w:vAlign w:val="center"/>
          </w:tcPr>
          <w:p w14:paraId="41D4B0D9" w14:textId="77777777" w:rsidR="00C86B4F" w:rsidRPr="00FF621F" w:rsidRDefault="00C86B4F" w:rsidP="00AF25C2">
            <w:pPr>
              <w:spacing w:line="320" w:lineRule="atLeast"/>
              <w:ind w:left="60" w:right="60"/>
              <w:jc w:val="center"/>
              <w:rPr>
                <w:sz w:val="24"/>
                <w:szCs w:val="24"/>
              </w:rPr>
            </w:pPr>
            <w:r w:rsidRPr="00FF621F">
              <w:rPr>
                <w:sz w:val="24"/>
                <w:szCs w:val="24"/>
              </w:rPr>
              <w:t>IT Integration System</w:t>
            </w:r>
          </w:p>
        </w:tc>
        <w:tc>
          <w:tcPr>
            <w:tcW w:w="2051" w:type="dxa"/>
            <w:vAlign w:val="center"/>
          </w:tcPr>
          <w:p w14:paraId="17914FA6" w14:textId="77777777" w:rsidR="00C86B4F" w:rsidRPr="00FF621F" w:rsidRDefault="00C86B4F" w:rsidP="00AF25C2">
            <w:pPr>
              <w:spacing w:line="320" w:lineRule="atLeast"/>
              <w:ind w:left="60" w:right="60"/>
              <w:jc w:val="center"/>
              <w:rPr>
                <w:sz w:val="24"/>
                <w:szCs w:val="18"/>
              </w:rPr>
            </w:pPr>
            <w:r w:rsidRPr="00FF621F">
              <w:rPr>
                <w:sz w:val="24"/>
                <w:szCs w:val="18"/>
              </w:rPr>
              <w:t>(3.19)</w:t>
            </w:r>
          </w:p>
        </w:tc>
        <w:tc>
          <w:tcPr>
            <w:tcW w:w="2769" w:type="dxa"/>
            <w:vMerge/>
          </w:tcPr>
          <w:p w14:paraId="3CA9637A" w14:textId="77777777" w:rsidR="00C86B4F" w:rsidRPr="00FF621F" w:rsidRDefault="00C86B4F" w:rsidP="00AF25C2">
            <w:pPr>
              <w:spacing w:line="360" w:lineRule="auto"/>
              <w:ind w:left="60" w:right="60"/>
              <w:jc w:val="center"/>
              <w:rPr>
                <w:szCs w:val="18"/>
              </w:rPr>
            </w:pPr>
          </w:p>
        </w:tc>
        <w:tc>
          <w:tcPr>
            <w:tcW w:w="1455" w:type="dxa"/>
            <w:vMerge/>
          </w:tcPr>
          <w:p w14:paraId="495A26CC" w14:textId="77777777" w:rsidR="00C86B4F" w:rsidRPr="00FF621F" w:rsidRDefault="00C86B4F" w:rsidP="00AF25C2">
            <w:pPr>
              <w:spacing w:line="360" w:lineRule="auto"/>
              <w:ind w:left="60" w:right="60"/>
              <w:jc w:val="center"/>
              <w:rPr>
                <w:szCs w:val="18"/>
              </w:rPr>
            </w:pPr>
          </w:p>
        </w:tc>
      </w:tr>
      <w:tr w:rsidR="00C86B4F" w:rsidRPr="00FF621F" w14:paraId="25AB3D25" w14:textId="77777777" w:rsidTr="00C86B4F">
        <w:trPr>
          <w:trHeight w:val="247"/>
        </w:trPr>
        <w:tc>
          <w:tcPr>
            <w:tcW w:w="4106" w:type="dxa"/>
            <w:vAlign w:val="center"/>
          </w:tcPr>
          <w:p w14:paraId="6ACBDB2A" w14:textId="77777777" w:rsidR="00C86B4F" w:rsidRPr="00FF621F" w:rsidRDefault="00C86B4F" w:rsidP="00AF25C2">
            <w:pPr>
              <w:spacing w:line="320" w:lineRule="atLeast"/>
              <w:ind w:left="60" w:right="60"/>
              <w:jc w:val="center"/>
              <w:rPr>
                <w:sz w:val="24"/>
                <w:szCs w:val="24"/>
              </w:rPr>
            </w:pPr>
            <w:r w:rsidRPr="00FF621F">
              <w:rPr>
                <w:sz w:val="24"/>
                <w:szCs w:val="24"/>
              </w:rPr>
              <w:t>Customer Service</w:t>
            </w:r>
          </w:p>
        </w:tc>
        <w:tc>
          <w:tcPr>
            <w:tcW w:w="2051" w:type="dxa"/>
            <w:vAlign w:val="center"/>
          </w:tcPr>
          <w:p w14:paraId="29A3C64E" w14:textId="77777777" w:rsidR="00C86B4F" w:rsidRPr="00FF621F" w:rsidRDefault="00C86B4F" w:rsidP="00AF25C2">
            <w:pPr>
              <w:spacing w:line="320" w:lineRule="atLeast"/>
              <w:ind w:left="60" w:right="60"/>
              <w:jc w:val="center"/>
              <w:rPr>
                <w:sz w:val="24"/>
                <w:szCs w:val="18"/>
              </w:rPr>
            </w:pPr>
            <w:r w:rsidRPr="00FF621F">
              <w:rPr>
                <w:sz w:val="24"/>
                <w:szCs w:val="18"/>
              </w:rPr>
              <w:t>(3.42)</w:t>
            </w:r>
          </w:p>
        </w:tc>
        <w:tc>
          <w:tcPr>
            <w:tcW w:w="2769" w:type="dxa"/>
            <w:vMerge/>
          </w:tcPr>
          <w:p w14:paraId="0AFB757B" w14:textId="77777777" w:rsidR="00C86B4F" w:rsidRPr="00FF621F" w:rsidRDefault="00C86B4F" w:rsidP="00AF25C2">
            <w:pPr>
              <w:spacing w:line="360" w:lineRule="auto"/>
              <w:ind w:left="60" w:right="60"/>
              <w:jc w:val="center"/>
              <w:rPr>
                <w:szCs w:val="18"/>
              </w:rPr>
            </w:pPr>
          </w:p>
        </w:tc>
        <w:tc>
          <w:tcPr>
            <w:tcW w:w="1455" w:type="dxa"/>
            <w:vMerge/>
          </w:tcPr>
          <w:p w14:paraId="6BD6ACAC" w14:textId="77777777" w:rsidR="00C86B4F" w:rsidRPr="00FF621F" w:rsidRDefault="00C86B4F" w:rsidP="00AF25C2">
            <w:pPr>
              <w:spacing w:line="360" w:lineRule="auto"/>
              <w:ind w:left="60" w:right="60"/>
              <w:jc w:val="center"/>
              <w:rPr>
                <w:szCs w:val="18"/>
              </w:rPr>
            </w:pPr>
          </w:p>
        </w:tc>
      </w:tr>
      <w:tr w:rsidR="00C86B4F" w:rsidRPr="00FF621F" w14:paraId="1E93723D" w14:textId="77777777" w:rsidTr="00C86B4F">
        <w:trPr>
          <w:trHeight w:val="247"/>
        </w:trPr>
        <w:tc>
          <w:tcPr>
            <w:tcW w:w="4106" w:type="dxa"/>
            <w:vAlign w:val="center"/>
          </w:tcPr>
          <w:p w14:paraId="35557541" w14:textId="77777777" w:rsidR="00C86B4F" w:rsidRPr="00FF621F" w:rsidRDefault="00C86B4F" w:rsidP="00AF25C2">
            <w:pPr>
              <w:spacing w:line="320" w:lineRule="atLeast"/>
              <w:ind w:left="60" w:right="60"/>
              <w:jc w:val="center"/>
              <w:rPr>
                <w:sz w:val="24"/>
                <w:szCs w:val="24"/>
              </w:rPr>
            </w:pPr>
            <w:r w:rsidRPr="00FF621F">
              <w:rPr>
                <w:sz w:val="24"/>
                <w:szCs w:val="24"/>
              </w:rPr>
              <w:t>Customer Accommodation</w:t>
            </w:r>
          </w:p>
        </w:tc>
        <w:tc>
          <w:tcPr>
            <w:tcW w:w="2051" w:type="dxa"/>
            <w:vAlign w:val="center"/>
          </w:tcPr>
          <w:p w14:paraId="2A801D06" w14:textId="77777777" w:rsidR="00C86B4F" w:rsidRPr="00FF621F" w:rsidRDefault="00C86B4F" w:rsidP="00AF25C2">
            <w:pPr>
              <w:spacing w:line="320" w:lineRule="atLeast"/>
              <w:ind w:left="60" w:right="60"/>
              <w:jc w:val="center"/>
              <w:rPr>
                <w:sz w:val="24"/>
                <w:szCs w:val="18"/>
              </w:rPr>
            </w:pPr>
            <w:r w:rsidRPr="00FF621F">
              <w:rPr>
                <w:sz w:val="24"/>
                <w:szCs w:val="18"/>
              </w:rPr>
              <w:t>(3.89)</w:t>
            </w:r>
          </w:p>
        </w:tc>
        <w:tc>
          <w:tcPr>
            <w:tcW w:w="2769" w:type="dxa"/>
            <w:vMerge/>
          </w:tcPr>
          <w:p w14:paraId="0FE643ED" w14:textId="77777777" w:rsidR="00C86B4F" w:rsidRPr="00FF621F" w:rsidRDefault="00C86B4F" w:rsidP="00AF25C2">
            <w:pPr>
              <w:spacing w:line="360" w:lineRule="auto"/>
              <w:ind w:left="60" w:right="60"/>
              <w:jc w:val="center"/>
              <w:rPr>
                <w:szCs w:val="18"/>
              </w:rPr>
            </w:pPr>
          </w:p>
        </w:tc>
        <w:tc>
          <w:tcPr>
            <w:tcW w:w="1455" w:type="dxa"/>
            <w:vMerge/>
          </w:tcPr>
          <w:p w14:paraId="0FC89F49" w14:textId="77777777" w:rsidR="00C86B4F" w:rsidRPr="00FF621F" w:rsidRDefault="00C86B4F" w:rsidP="00AF25C2">
            <w:pPr>
              <w:spacing w:line="360" w:lineRule="auto"/>
              <w:ind w:left="60" w:right="60"/>
              <w:jc w:val="center"/>
              <w:rPr>
                <w:szCs w:val="18"/>
              </w:rPr>
            </w:pPr>
          </w:p>
        </w:tc>
      </w:tr>
    </w:tbl>
    <w:p w14:paraId="3F96D2D6" w14:textId="7F382627" w:rsidR="006E54A9" w:rsidRPr="00F213F6" w:rsidRDefault="00C86B4F" w:rsidP="006E54A9">
      <w:pPr>
        <w:spacing w:line="360" w:lineRule="auto"/>
        <w:jc w:val="both"/>
        <w:rPr>
          <w:b/>
          <w:sz w:val="24"/>
          <w:szCs w:val="24"/>
        </w:rPr>
      </w:pPr>
      <w:r w:rsidRPr="00FF621F">
        <w:rPr>
          <w:sz w:val="24"/>
          <w:szCs w:val="24"/>
        </w:rPr>
        <w:t xml:space="preserve">The results of </w:t>
      </w:r>
      <w:r w:rsidR="004F326F">
        <w:rPr>
          <w:sz w:val="24"/>
          <w:szCs w:val="24"/>
        </w:rPr>
        <w:t xml:space="preserve">the </w:t>
      </w:r>
      <w:r w:rsidRPr="00FF621F">
        <w:rPr>
          <w:sz w:val="24"/>
          <w:szCs w:val="24"/>
        </w:rPr>
        <w:t>Friedman test determine that the observed probability value (P = 0.000) is less than 0.05. Hence</w:t>
      </w:r>
      <w:r w:rsidR="004F326F">
        <w:rPr>
          <w:sz w:val="24"/>
          <w:szCs w:val="24"/>
        </w:rPr>
        <w:t>, the</w:t>
      </w:r>
      <w:r w:rsidRPr="00FF621F">
        <w:rPr>
          <w:sz w:val="24"/>
          <w:szCs w:val="24"/>
        </w:rPr>
        <w:t xml:space="preserve"> null hypothesis </w:t>
      </w:r>
      <w:r>
        <w:rPr>
          <w:sz w:val="24"/>
          <w:szCs w:val="24"/>
        </w:rPr>
        <w:t xml:space="preserve">is </w:t>
      </w:r>
      <w:r w:rsidRPr="00FF621F">
        <w:rPr>
          <w:sz w:val="24"/>
          <w:szCs w:val="24"/>
        </w:rPr>
        <w:t xml:space="preserve">rejected </w:t>
      </w:r>
      <w:r w:rsidR="004F326F">
        <w:rPr>
          <w:sz w:val="24"/>
          <w:szCs w:val="24"/>
        </w:rPr>
        <w:t xml:space="preserve">at a </w:t>
      </w:r>
      <w:r w:rsidRPr="00FF621F">
        <w:rPr>
          <w:sz w:val="24"/>
          <w:szCs w:val="24"/>
        </w:rPr>
        <w:t xml:space="preserve">5% </w:t>
      </w:r>
      <w:r w:rsidR="004F326F">
        <w:rPr>
          <w:sz w:val="24"/>
          <w:szCs w:val="24"/>
        </w:rPr>
        <w:t>significance level,</w:t>
      </w:r>
      <w:r w:rsidRPr="00FF621F">
        <w:rPr>
          <w:sz w:val="24"/>
          <w:szCs w:val="24"/>
        </w:rPr>
        <w:t xml:space="preserve"> and there is</w:t>
      </w:r>
      <w:r>
        <w:rPr>
          <w:sz w:val="24"/>
          <w:szCs w:val="24"/>
        </w:rPr>
        <w:t xml:space="preserve"> a significant difference among </w:t>
      </w:r>
      <w:r w:rsidRPr="00FF621F">
        <w:rPr>
          <w:sz w:val="24"/>
        </w:rPr>
        <w:t xml:space="preserve">mean ranks towards the factors of </w:t>
      </w:r>
      <w:r w:rsidR="000F001D" w:rsidRPr="000F001D">
        <w:rPr>
          <w:sz w:val="24"/>
        </w:rPr>
        <w:t>third-party Logistics services.</w:t>
      </w:r>
      <w:r w:rsidR="000F001D" w:rsidRPr="00FF621F">
        <w:rPr>
          <w:sz w:val="24"/>
          <w:szCs w:val="24"/>
        </w:rPr>
        <w:t xml:space="preserve"> Based</w:t>
      </w:r>
      <w:r w:rsidRPr="00FF621F">
        <w:rPr>
          <w:sz w:val="24"/>
          <w:szCs w:val="24"/>
        </w:rPr>
        <w:t xml:space="preserve"> on the mean value, it was observed that flexibility (3.92) is the most </w:t>
      </w:r>
      <w:r w:rsidR="004F326F">
        <w:rPr>
          <w:sz w:val="24"/>
          <w:szCs w:val="24"/>
        </w:rPr>
        <w:t>critical</w:t>
      </w:r>
      <w:r w:rsidRPr="00FF621F">
        <w:rPr>
          <w:sz w:val="24"/>
          <w:szCs w:val="24"/>
        </w:rPr>
        <w:t xml:space="preserve"> factor of </w:t>
      </w:r>
      <w:r w:rsidR="000F001D" w:rsidRPr="000F001D">
        <w:rPr>
          <w:sz w:val="24"/>
          <w:szCs w:val="24"/>
        </w:rPr>
        <w:t>third-party Logistics services.</w:t>
      </w:r>
    </w:p>
    <w:p w14:paraId="19DF85E6" w14:textId="0949B2BF" w:rsidR="006E54A9" w:rsidRPr="00F213F6" w:rsidRDefault="00F213F6" w:rsidP="00F213F6">
      <w:pPr>
        <w:spacing w:line="360" w:lineRule="auto"/>
        <w:jc w:val="center"/>
        <w:rPr>
          <w:b/>
          <w:bCs/>
          <w:sz w:val="28"/>
          <w:szCs w:val="28"/>
        </w:rPr>
      </w:pPr>
      <w:r w:rsidRPr="00F213F6">
        <w:rPr>
          <w:b/>
          <w:bCs/>
          <w:sz w:val="24"/>
          <w:szCs w:val="24"/>
        </w:rPr>
        <w:t>Wilcoxon Signed Ranks Test</w:t>
      </w:r>
    </w:p>
    <w:p w14:paraId="0D9EE0EF" w14:textId="1CEB47DC" w:rsidR="006E54A9" w:rsidRDefault="00F213F6" w:rsidP="006E54A9">
      <w:pPr>
        <w:spacing w:line="360" w:lineRule="auto"/>
        <w:jc w:val="both"/>
        <w:rPr>
          <w:b/>
          <w:bCs/>
          <w:sz w:val="28"/>
          <w:szCs w:val="28"/>
        </w:rPr>
      </w:pPr>
      <w:r w:rsidRPr="006E54A9">
        <w:rPr>
          <w:sz w:val="24"/>
          <w:szCs w:val="24"/>
          <w:lang w:val="en-IN" w:eastAsia="en-IN"/>
        </w:rPr>
        <w:t>H₀:</w:t>
      </w:r>
      <w:r w:rsidRPr="00F213F6">
        <w:t xml:space="preserve"> </w:t>
      </w:r>
      <w:r w:rsidRPr="00F213F6">
        <w:rPr>
          <w:sz w:val="24"/>
          <w:szCs w:val="24"/>
          <w:lang w:val="en-IN" w:eastAsia="en-IN"/>
        </w:rPr>
        <w:t>There is no significant difference in the mean score of value creation and Flexibility as a dimension towards 3PL service</w:t>
      </w:r>
      <w:r w:rsidR="000F001D">
        <w:rPr>
          <w:sz w:val="24"/>
          <w:szCs w:val="24"/>
          <w:lang w:val="en-IN" w:eastAsia="en-IN"/>
        </w:rPr>
        <w:t>s.</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gridCol w:w="1715"/>
        <w:gridCol w:w="2028"/>
        <w:gridCol w:w="1561"/>
        <w:gridCol w:w="1561"/>
        <w:gridCol w:w="1561"/>
      </w:tblGrid>
      <w:tr w:rsidR="00F213F6" w:rsidRPr="00FF621F" w14:paraId="21D693B7" w14:textId="6D9751CA" w:rsidTr="00F213F6">
        <w:trPr>
          <w:trHeight w:val="406"/>
        </w:trPr>
        <w:tc>
          <w:tcPr>
            <w:tcW w:w="1867" w:type="dxa"/>
          </w:tcPr>
          <w:p w14:paraId="4719FE48" w14:textId="77777777" w:rsidR="00F213F6" w:rsidRPr="00F213F6" w:rsidRDefault="00F213F6" w:rsidP="00F213F6">
            <w:pPr>
              <w:rPr>
                <w:bCs/>
                <w:sz w:val="24"/>
                <w:szCs w:val="24"/>
              </w:rPr>
            </w:pPr>
            <w:r w:rsidRPr="00F213F6">
              <w:rPr>
                <w:bCs/>
                <w:sz w:val="24"/>
                <w:szCs w:val="24"/>
              </w:rPr>
              <w:t>Dimensions</w:t>
            </w:r>
          </w:p>
        </w:tc>
        <w:tc>
          <w:tcPr>
            <w:tcW w:w="1715" w:type="dxa"/>
          </w:tcPr>
          <w:p w14:paraId="79939CB2" w14:textId="539420D3" w:rsidR="00F213F6" w:rsidRPr="00FF621F" w:rsidRDefault="00F213F6" w:rsidP="00F213F6">
            <w:pPr>
              <w:spacing w:line="320" w:lineRule="atLeast"/>
              <w:ind w:left="60" w:right="60"/>
              <w:jc w:val="center"/>
              <w:rPr>
                <w:sz w:val="24"/>
                <w:szCs w:val="24"/>
              </w:rPr>
            </w:pPr>
            <w:r w:rsidRPr="00F213F6">
              <w:rPr>
                <w:sz w:val="24"/>
                <w:szCs w:val="24"/>
              </w:rPr>
              <w:t>N</w:t>
            </w:r>
          </w:p>
        </w:tc>
        <w:tc>
          <w:tcPr>
            <w:tcW w:w="2028" w:type="dxa"/>
          </w:tcPr>
          <w:p w14:paraId="2EEF501A" w14:textId="722BE1CA" w:rsidR="00F213F6" w:rsidRPr="00FF621F" w:rsidRDefault="00F213F6" w:rsidP="00F213F6">
            <w:pPr>
              <w:spacing w:line="320" w:lineRule="atLeast"/>
              <w:ind w:left="60" w:right="60"/>
              <w:jc w:val="center"/>
              <w:rPr>
                <w:sz w:val="24"/>
                <w:szCs w:val="24"/>
              </w:rPr>
            </w:pPr>
            <w:r w:rsidRPr="00FF621F">
              <w:rPr>
                <w:sz w:val="24"/>
                <w:szCs w:val="24"/>
              </w:rPr>
              <w:t>Mean Rank</w:t>
            </w:r>
          </w:p>
        </w:tc>
        <w:tc>
          <w:tcPr>
            <w:tcW w:w="1561" w:type="dxa"/>
          </w:tcPr>
          <w:p w14:paraId="2DE0BD9A" w14:textId="1881FA32" w:rsidR="00F213F6" w:rsidRPr="00F213F6" w:rsidRDefault="00F213F6" w:rsidP="00F213F6">
            <w:pPr>
              <w:jc w:val="center"/>
              <w:rPr>
                <w:bCs/>
                <w:sz w:val="24"/>
                <w:szCs w:val="24"/>
              </w:rPr>
            </w:pPr>
            <w:r w:rsidRPr="00FF621F">
              <w:rPr>
                <w:sz w:val="24"/>
                <w:szCs w:val="24"/>
              </w:rPr>
              <w:t>Sum of Ranks</w:t>
            </w:r>
          </w:p>
        </w:tc>
        <w:tc>
          <w:tcPr>
            <w:tcW w:w="1561" w:type="dxa"/>
          </w:tcPr>
          <w:p w14:paraId="6D700239" w14:textId="4ADC383C" w:rsidR="00F213F6" w:rsidRPr="00F213F6" w:rsidRDefault="00F213F6" w:rsidP="00F213F6">
            <w:pPr>
              <w:jc w:val="center"/>
              <w:rPr>
                <w:bCs/>
                <w:sz w:val="24"/>
                <w:szCs w:val="24"/>
              </w:rPr>
            </w:pPr>
            <w:r w:rsidRPr="00F213F6">
              <w:rPr>
                <w:bCs/>
                <w:sz w:val="24"/>
                <w:szCs w:val="24"/>
              </w:rPr>
              <w:t>Z</w:t>
            </w:r>
          </w:p>
        </w:tc>
        <w:tc>
          <w:tcPr>
            <w:tcW w:w="1561" w:type="dxa"/>
          </w:tcPr>
          <w:p w14:paraId="6129968F" w14:textId="672F60E5" w:rsidR="00F213F6" w:rsidRPr="00F213F6" w:rsidRDefault="00F213F6" w:rsidP="00F213F6">
            <w:pPr>
              <w:jc w:val="center"/>
              <w:rPr>
                <w:bCs/>
                <w:sz w:val="24"/>
                <w:szCs w:val="24"/>
              </w:rPr>
            </w:pPr>
            <w:r w:rsidRPr="00F213F6">
              <w:rPr>
                <w:bCs/>
                <w:sz w:val="24"/>
                <w:szCs w:val="24"/>
              </w:rPr>
              <w:t>Asymp. Sig. (2-tailed)</w:t>
            </w:r>
          </w:p>
        </w:tc>
      </w:tr>
      <w:tr w:rsidR="00F213F6" w:rsidRPr="00FF621F" w14:paraId="20654B8B" w14:textId="1381E69C" w:rsidTr="00F213F6">
        <w:trPr>
          <w:trHeight w:val="217"/>
        </w:trPr>
        <w:tc>
          <w:tcPr>
            <w:tcW w:w="1867" w:type="dxa"/>
            <w:vMerge w:val="restart"/>
            <w:vAlign w:val="center"/>
          </w:tcPr>
          <w:p w14:paraId="3FED93FE" w14:textId="77777777" w:rsidR="00F213F6" w:rsidRPr="00FF621F" w:rsidRDefault="00F213F6" w:rsidP="00F213F6">
            <w:pPr>
              <w:spacing w:line="320" w:lineRule="atLeast"/>
              <w:ind w:left="60" w:right="60"/>
              <w:jc w:val="center"/>
              <w:rPr>
                <w:sz w:val="24"/>
                <w:szCs w:val="24"/>
              </w:rPr>
            </w:pPr>
            <w:r w:rsidRPr="00FF621F">
              <w:rPr>
                <w:sz w:val="24"/>
                <w:szCs w:val="24"/>
              </w:rPr>
              <w:t>Value Creation  - Flexibility</w:t>
            </w:r>
          </w:p>
        </w:tc>
        <w:tc>
          <w:tcPr>
            <w:tcW w:w="1715" w:type="dxa"/>
            <w:vAlign w:val="center"/>
          </w:tcPr>
          <w:p w14:paraId="519D5D36" w14:textId="77777777" w:rsidR="00F213F6" w:rsidRPr="00FF621F" w:rsidRDefault="00F213F6" w:rsidP="00F213F6">
            <w:pPr>
              <w:spacing w:line="320" w:lineRule="atLeast"/>
              <w:ind w:left="60" w:right="60"/>
              <w:jc w:val="center"/>
              <w:rPr>
                <w:sz w:val="24"/>
                <w:szCs w:val="24"/>
              </w:rPr>
            </w:pPr>
            <w:r w:rsidRPr="00FF621F">
              <w:rPr>
                <w:sz w:val="24"/>
                <w:szCs w:val="24"/>
              </w:rPr>
              <w:t>(65)</w:t>
            </w:r>
          </w:p>
        </w:tc>
        <w:tc>
          <w:tcPr>
            <w:tcW w:w="2028" w:type="dxa"/>
            <w:vAlign w:val="center"/>
          </w:tcPr>
          <w:p w14:paraId="1D0DC9AB" w14:textId="77777777" w:rsidR="00F213F6" w:rsidRPr="00FF621F" w:rsidRDefault="00F213F6" w:rsidP="00F213F6">
            <w:pPr>
              <w:spacing w:line="320" w:lineRule="atLeast"/>
              <w:ind w:left="60" w:right="60"/>
              <w:jc w:val="center"/>
              <w:rPr>
                <w:sz w:val="24"/>
                <w:szCs w:val="24"/>
              </w:rPr>
            </w:pPr>
            <w:r w:rsidRPr="00FF621F">
              <w:rPr>
                <w:sz w:val="24"/>
                <w:szCs w:val="24"/>
              </w:rPr>
              <w:t>(55.08)</w:t>
            </w:r>
          </w:p>
        </w:tc>
        <w:tc>
          <w:tcPr>
            <w:tcW w:w="1561" w:type="dxa"/>
            <w:vAlign w:val="center"/>
          </w:tcPr>
          <w:p w14:paraId="34FE71EC" w14:textId="77777777" w:rsidR="00F213F6" w:rsidRPr="00FF621F" w:rsidRDefault="00F213F6" w:rsidP="00F213F6">
            <w:pPr>
              <w:spacing w:line="320" w:lineRule="atLeast"/>
              <w:ind w:left="60" w:right="60"/>
              <w:jc w:val="center"/>
              <w:rPr>
                <w:sz w:val="24"/>
                <w:szCs w:val="24"/>
              </w:rPr>
            </w:pPr>
            <w:r w:rsidRPr="00FF621F">
              <w:rPr>
                <w:sz w:val="24"/>
                <w:szCs w:val="24"/>
              </w:rPr>
              <w:t>(3580.00)</w:t>
            </w:r>
          </w:p>
        </w:tc>
        <w:tc>
          <w:tcPr>
            <w:tcW w:w="1561" w:type="dxa"/>
            <w:vMerge w:val="restart"/>
          </w:tcPr>
          <w:p w14:paraId="3FA2BF23" w14:textId="0D7B41FA" w:rsidR="00F213F6" w:rsidRPr="00FF621F" w:rsidRDefault="00F213F6" w:rsidP="00F213F6">
            <w:pPr>
              <w:spacing w:line="320" w:lineRule="atLeast"/>
              <w:ind w:left="60" w:right="60"/>
              <w:jc w:val="center"/>
              <w:rPr>
                <w:sz w:val="24"/>
                <w:szCs w:val="24"/>
              </w:rPr>
            </w:pPr>
            <w:r>
              <w:rPr>
                <w:sz w:val="24"/>
                <w:szCs w:val="24"/>
              </w:rPr>
              <w:t>-3.692</w:t>
            </w:r>
          </w:p>
        </w:tc>
        <w:tc>
          <w:tcPr>
            <w:tcW w:w="1561" w:type="dxa"/>
            <w:vMerge w:val="restart"/>
          </w:tcPr>
          <w:p w14:paraId="7978AF68" w14:textId="1E338C85" w:rsidR="00F213F6" w:rsidRPr="00FF621F" w:rsidRDefault="00F213F6" w:rsidP="00F213F6">
            <w:pPr>
              <w:spacing w:line="320" w:lineRule="atLeast"/>
              <w:ind w:left="60" w:right="60"/>
              <w:jc w:val="center"/>
              <w:rPr>
                <w:sz w:val="24"/>
                <w:szCs w:val="24"/>
              </w:rPr>
            </w:pPr>
            <w:r>
              <w:rPr>
                <w:sz w:val="24"/>
                <w:szCs w:val="24"/>
              </w:rPr>
              <w:t>0.000</w:t>
            </w:r>
          </w:p>
        </w:tc>
      </w:tr>
      <w:tr w:rsidR="00F213F6" w:rsidRPr="00FF621F" w14:paraId="1856F8F8" w14:textId="25EE2696" w:rsidTr="00F213F6">
        <w:trPr>
          <w:trHeight w:val="231"/>
        </w:trPr>
        <w:tc>
          <w:tcPr>
            <w:tcW w:w="1867" w:type="dxa"/>
            <w:vMerge/>
            <w:vAlign w:val="center"/>
          </w:tcPr>
          <w:p w14:paraId="690FE10B" w14:textId="77777777" w:rsidR="00F213F6" w:rsidRPr="00FF621F" w:rsidRDefault="00F213F6" w:rsidP="00F213F6">
            <w:pPr>
              <w:spacing w:line="320" w:lineRule="atLeast"/>
              <w:ind w:left="60" w:right="60"/>
              <w:jc w:val="center"/>
              <w:rPr>
                <w:sz w:val="24"/>
                <w:szCs w:val="24"/>
              </w:rPr>
            </w:pPr>
          </w:p>
        </w:tc>
        <w:tc>
          <w:tcPr>
            <w:tcW w:w="1715" w:type="dxa"/>
            <w:vAlign w:val="center"/>
          </w:tcPr>
          <w:p w14:paraId="319C8D54" w14:textId="77777777" w:rsidR="00F213F6" w:rsidRPr="00FF621F" w:rsidRDefault="00F213F6" w:rsidP="00F213F6">
            <w:pPr>
              <w:spacing w:line="320" w:lineRule="atLeast"/>
              <w:ind w:left="60" w:right="60"/>
              <w:jc w:val="center"/>
              <w:rPr>
                <w:sz w:val="24"/>
                <w:szCs w:val="24"/>
              </w:rPr>
            </w:pPr>
            <w:r w:rsidRPr="00FF621F">
              <w:rPr>
                <w:sz w:val="24"/>
                <w:szCs w:val="24"/>
              </w:rPr>
              <w:t>(35)</w:t>
            </w:r>
          </w:p>
        </w:tc>
        <w:tc>
          <w:tcPr>
            <w:tcW w:w="2028" w:type="dxa"/>
            <w:vAlign w:val="center"/>
          </w:tcPr>
          <w:p w14:paraId="5DE6AD06" w14:textId="77777777" w:rsidR="00F213F6" w:rsidRPr="00FF621F" w:rsidRDefault="00F213F6" w:rsidP="00F213F6">
            <w:pPr>
              <w:spacing w:line="320" w:lineRule="atLeast"/>
              <w:ind w:left="60" w:right="60"/>
              <w:jc w:val="center"/>
              <w:rPr>
                <w:sz w:val="24"/>
                <w:szCs w:val="24"/>
              </w:rPr>
            </w:pPr>
            <w:r w:rsidRPr="00FF621F">
              <w:rPr>
                <w:sz w:val="24"/>
                <w:szCs w:val="24"/>
              </w:rPr>
              <w:t>(42.00)</w:t>
            </w:r>
          </w:p>
        </w:tc>
        <w:tc>
          <w:tcPr>
            <w:tcW w:w="1561" w:type="dxa"/>
            <w:vAlign w:val="center"/>
          </w:tcPr>
          <w:p w14:paraId="7588B364" w14:textId="77777777" w:rsidR="00F213F6" w:rsidRPr="00FF621F" w:rsidRDefault="00F213F6" w:rsidP="00F213F6">
            <w:pPr>
              <w:spacing w:line="320" w:lineRule="atLeast"/>
              <w:ind w:left="60" w:right="60"/>
              <w:jc w:val="center"/>
              <w:rPr>
                <w:sz w:val="24"/>
                <w:szCs w:val="24"/>
              </w:rPr>
            </w:pPr>
            <w:r w:rsidRPr="00FF621F">
              <w:rPr>
                <w:sz w:val="24"/>
                <w:szCs w:val="24"/>
              </w:rPr>
              <w:t>(1470.00)</w:t>
            </w:r>
          </w:p>
        </w:tc>
        <w:tc>
          <w:tcPr>
            <w:tcW w:w="1561" w:type="dxa"/>
            <w:vMerge/>
          </w:tcPr>
          <w:p w14:paraId="3BB72ECC" w14:textId="77777777" w:rsidR="00F213F6" w:rsidRPr="00FF621F" w:rsidRDefault="00F213F6" w:rsidP="00F213F6">
            <w:pPr>
              <w:spacing w:line="320" w:lineRule="atLeast"/>
              <w:ind w:left="60" w:right="60"/>
              <w:jc w:val="center"/>
              <w:rPr>
                <w:sz w:val="24"/>
                <w:szCs w:val="24"/>
              </w:rPr>
            </w:pPr>
          </w:p>
        </w:tc>
        <w:tc>
          <w:tcPr>
            <w:tcW w:w="1561" w:type="dxa"/>
            <w:vMerge/>
          </w:tcPr>
          <w:p w14:paraId="3C4B216F" w14:textId="77777777" w:rsidR="00F213F6" w:rsidRPr="00FF621F" w:rsidRDefault="00F213F6" w:rsidP="00F213F6">
            <w:pPr>
              <w:spacing w:line="320" w:lineRule="atLeast"/>
              <w:ind w:left="60" w:right="60"/>
              <w:jc w:val="center"/>
              <w:rPr>
                <w:sz w:val="24"/>
                <w:szCs w:val="24"/>
              </w:rPr>
            </w:pPr>
          </w:p>
        </w:tc>
      </w:tr>
      <w:tr w:rsidR="00F213F6" w:rsidRPr="00FF621F" w14:paraId="3B379090" w14:textId="294E6A1B" w:rsidTr="00F213F6">
        <w:trPr>
          <w:trHeight w:val="236"/>
        </w:trPr>
        <w:tc>
          <w:tcPr>
            <w:tcW w:w="1867" w:type="dxa"/>
            <w:vMerge/>
            <w:vAlign w:val="center"/>
          </w:tcPr>
          <w:p w14:paraId="5B99FC76" w14:textId="77777777" w:rsidR="00F213F6" w:rsidRPr="00FF621F" w:rsidRDefault="00F213F6" w:rsidP="00F213F6">
            <w:pPr>
              <w:spacing w:line="320" w:lineRule="atLeast"/>
              <w:ind w:left="60" w:right="60"/>
              <w:jc w:val="center"/>
              <w:rPr>
                <w:sz w:val="24"/>
                <w:szCs w:val="24"/>
              </w:rPr>
            </w:pPr>
          </w:p>
        </w:tc>
        <w:tc>
          <w:tcPr>
            <w:tcW w:w="1715" w:type="dxa"/>
            <w:vAlign w:val="center"/>
          </w:tcPr>
          <w:p w14:paraId="1F3F3473" w14:textId="77777777" w:rsidR="00F213F6" w:rsidRPr="00FF621F" w:rsidRDefault="00F213F6" w:rsidP="00F213F6">
            <w:pPr>
              <w:spacing w:line="320" w:lineRule="atLeast"/>
              <w:ind w:left="60" w:right="60"/>
              <w:jc w:val="center"/>
              <w:rPr>
                <w:sz w:val="24"/>
                <w:szCs w:val="24"/>
              </w:rPr>
            </w:pPr>
            <w:r w:rsidRPr="00FF621F">
              <w:rPr>
                <w:sz w:val="24"/>
                <w:szCs w:val="24"/>
              </w:rPr>
              <w:t>(37)</w:t>
            </w:r>
          </w:p>
        </w:tc>
        <w:tc>
          <w:tcPr>
            <w:tcW w:w="2028" w:type="dxa"/>
          </w:tcPr>
          <w:p w14:paraId="56CBEA1B" w14:textId="77777777" w:rsidR="00F213F6" w:rsidRPr="00FF621F" w:rsidRDefault="00F213F6" w:rsidP="00F213F6">
            <w:pPr>
              <w:spacing w:line="256" w:lineRule="auto"/>
              <w:jc w:val="center"/>
              <w:rPr>
                <w:sz w:val="24"/>
                <w:szCs w:val="24"/>
              </w:rPr>
            </w:pPr>
          </w:p>
        </w:tc>
        <w:tc>
          <w:tcPr>
            <w:tcW w:w="1561" w:type="dxa"/>
          </w:tcPr>
          <w:p w14:paraId="67E0EED7" w14:textId="77777777" w:rsidR="00F213F6" w:rsidRPr="00FF621F" w:rsidRDefault="00F213F6" w:rsidP="00F213F6">
            <w:pPr>
              <w:spacing w:line="256" w:lineRule="auto"/>
              <w:jc w:val="center"/>
              <w:rPr>
                <w:sz w:val="24"/>
                <w:szCs w:val="24"/>
              </w:rPr>
            </w:pPr>
          </w:p>
        </w:tc>
        <w:tc>
          <w:tcPr>
            <w:tcW w:w="1561" w:type="dxa"/>
            <w:vMerge/>
          </w:tcPr>
          <w:p w14:paraId="5DA238F3" w14:textId="77777777" w:rsidR="00F213F6" w:rsidRPr="00FF621F" w:rsidRDefault="00F213F6" w:rsidP="00F213F6">
            <w:pPr>
              <w:spacing w:line="256" w:lineRule="auto"/>
              <w:jc w:val="center"/>
              <w:rPr>
                <w:sz w:val="24"/>
                <w:szCs w:val="24"/>
              </w:rPr>
            </w:pPr>
          </w:p>
        </w:tc>
        <w:tc>
          <w:tcPr>
            <w:tcW w:w="1561" w:type="dxa"/>
            <w:vMerge/>
          </w:tcPr>
          <w:p w14:paraId="40494BED" w14:textId="77777777" w:rsidR="00F213F6" w:rsidRPr="00FF621F" w:rsidRDefault="00F213F6" w:rsidP="00F213F6">
            <w:pPr>
              <w:spacing w:line="256" w:lineRule="auto"/>
              <w:jc w:val="center"/>
              <w:rPr>
                <w:sz w:val="24"/>
                <w:szCs w:val="24"/>
              </w:rPr>
            </w:pPr>
          </w:p>
        </w:tc>
      </w:tr>
      <w:tr w:rsidR="00F213F6" w:rsidRPr="00FF621F" w14:paraId="55C040B7" w14:textId="56F28CD3" w:rsidTr="00F213F6">
        <w:trPr>
          <w:trHeight w:val="236"/>
        </w:trPr>
        <w:tc>
          <w:tcPr>
            <w:tcW w:w="1867" w:type="dxa"/>
            <w:vMerge/>
            <w:vAlign w:val="center"/>
          </w:tcPr>
          <w:p w14:paraId="5DB1B1B6" w14:textId="77777777" w:rsidR="00F213F6" w:rsidRPr="00FF621F" w:rsidRDefault="00F213F6" w:rsidP="00F213F6">
            <w:pPr>
              <w:spacing w:line="320" w:lineRule="atLeast"/>
              <w:ind w:left="60" w:right="60"/>
              <w:jc w:val="center"/>
              <w:rPr>
                <w:sz w:val="24"/>
                <w:szCs w:val="24"/>
              </w:rPr>
            </w:pPr>
          </w:p>
        </w:tc>
        <w:tc>
          <w:tcPr>
            <w:tcW w:w="1715" w:type="dxa"/>
            <w:vAlign w:val="center"/>
          </w:tcPr>
          <w:p w14:paraId="4035FAA5" w14:textId="77777777" w:rsidR="00F213F6" w:rsidRPr="00FF621F" w:rsidRDefault="00F213F6" w:rsidP="00F213F6">
            <w:pPr>
              <w:spacing w:line="320" w:lineRule="atLeast"/>
              <w:ind w:left="60" w:right="60"/>
              <w:jc w:val="center"/>
              <w:rPr>
                <w:sz w:val="24"/>
                <w:szCs w:val="24"/>
              </w:rPr>
            </w:pPr>
            <w:r w:rsidRPr="00FF621F">
              <w:rPr>
                <w:sz w:val="24"/>
                <w:szCs w:val="24"/>
              </w:rPr>
              <w:t>(137)</w:t>
            </w:r>
          </w:p>
        </w:tc>
        <w:tc>
          <w:tcPr>
            <w:tcW w:w="2028" w:type="dxa"/>
          </w:tcPr>
          <w:p w14:paraId="71DD68B3" w14:textId="77777777" w:rsidR="00F213F6" w:rsidRPr="00FF621F" w:rsidRDefault="00F213F6" w:rsidP="00F213F6">
            <w:pPr>
              <w:spacing w:line="256" w:lineRule="auto"/>
              <w:jc w:val="center"/>
              <w:rPr>
                <w:sz w:val="24"/>
                <w:szCs w:val="24"/>
              </w:rPr>
            </w:pPr>
          </w:p>
        </w:tc>
        <w:tc>
          <w:tcPr>
            <w:tcW w:w="1561" w:type="dxa"/>
          </w:tcPr>
          <w:p w14:paraId="56069649" w14:textId="77777777" w:rsidR="00F213F6" w:rsidRPr="00FF621F" w:rsidRDefault="00F213F6" w:rsidP="00F213F6">
            <w:pPr>
              <w:spacing w:line="256" w:lineRule="auto"/>
              <w:jc w:val="center"/>
              <w:rPr>
                <w:sz w:val="24"/>
                <w:szCs w:val="24"/>
              </w:rPr>
            </w:pPr>
          </w:p>
        </w:tc>
        <w:tc>
          <w:tcPr>
            <w:tcW w:w="1561" w:type="dxa"/>
            <w:vMerge/>
          </w:tcPr>
          <w:p w14:paraId="5BB97D16" w14:textId="77777777" w:rsidR="00F213F6" w:rsidRPr="00FF621F" w:rsidRDefault="00F213F6" w:rsidP="00F213F6">
            <w:pPr>
              <w:spacing w:line="256" w:lineRule="auto"/>
              <w:jc w:val="center"/>
              <w:rPr>
                <w:sz w:val="24"/>
                <w:szCs w:val="24"/>
              </w:rPr>
            </w:pPr>
          </w:p>
        </w:tc>
        <w:tc>
          <w:tcPr>
            <w:tcW w:w="1561" w:type="dxa"/>
            <w:vMerge/>
          </w:tcPr>
          <w:p w14:paraId="321170AA" w14:textId="77777777" w:rsidR="00F213F6" w:rsidRPr="00FF621F" w:rsidRDefault="00F213F6" w:rsidP="00F213F6">
            <w:pPr>
              <w:spacing w:line="256" w:lineRule="auto"/>
              <w:jc w:val="center"/>
              <w:rPr>
                <w:sz w:val="24"/>
                <w:szCs w:val="24"/>
              </w:rPr>
            </w:pPr>
          </w:p>
        </w:tc>
      </w:tr>
    </w:tbl>
    <w:p w14:paraId="158725BA" w14:textId="3486E637" w:rsidR="00F213F6" w:rsidRPr="00FF621F" w:rsidRDefault="00F213F6" w:rsidP="00F213F6">
      <w:pPr>
        <w:spacing w:line="360" w:lineRule="auto"/>
        <w:jc w:val="both"/>
        <w:rPr>
          <w:sz w:val="24"/>
          <w:szCs w:val="24"/>
        </w:rPr>
      </w:pPr>
      <w:r w:rsidRPr="00FF621F">
        <w:rPr>
          <w:sz w:val="24"/>
          <w:szCs w:val="24"/>
        </w:rPr>
        <w:t xml:space="preserve">The </w:t>
      </w:r>
      <w:r w:rsidR="005401DC">
        <w:rPr>
          <w:sz w:val="24"/>
          <w:szCs w:val="24"/>
        </w:rPr>
        <w:t>Wilcoxon Signed Ranks Test results</w:t>
      </w:r>
      <w:r w:rsidRPr="00FF621F">
        <w:rPr>
          <w:sz w:val="24"/>
          <w:szCs w:val="24"/>
        </w:rPr>
        <w:t xml:space="preserve"> exposed that </w:t>
      </w:r>
      <w:r w:rsidR="004F326F">
        <w:rPr>
          <w:sz w:val="24"/>
          <w:szCs w:val="24"/>
        </w:rPr>
        <w:t xml:space="preserve">the </w:t>
      </w:r>
      <w:r w:rsidRPr="00FF621F">
        <w:rPr>
          <w:sz w:val="24"/>
          <w:szCs w:val="24"/>
        </w:rPr>
        <w:t>P value is less than 0.05. Hence</w:t>
      </w:r>
      <w:r w:rsidR="004F326F">
        <w:rPr>
          <w:sz w:val="24"/>
          <w:szCs w:val="24"/>
        </w:rPr>
        <w:t>,</w:t>
      </w:r>
      <w:r w:rsidRPr="00FF621F">
        <w:rPr>
          <w:sz w:val="24"/>
          <w:szCs w:val="24"/>
        </w:rPr>
        <w:t xml:space="preserve"> </w:t>
      </w:r>
      <w:r w:rsidR="004F326F">
        <w:rPr>
          <w:sz w:val="24"/>
          <w:szCs w:val="24"/>
        </w:rPr>
        <w:t xml:space="preserve">the </w:t>
      </w:r>
      <w:r w:rsidRPr="00FF621F">
        <w:rPr>
          <w:sz w:val="24"/>
          <w:szCs w:val="24"/>
        </w:rPr>
        <w:t xml:space="preserve">null </w:t>
      </w:r>
      <w:r w:rsidR="005401DC" w:rsidRPr="00FF621F">
        <w:rPr>
          <w:sz w:val="24"/>
          <w:szCs w:val="24"/>
        </w:rPr>
        <w:t>proposition</w:t>
      </w:r>
      <w:r w:rsidRPr="00FF621F">
        <w:rPr>
          <w:sz w:val="24"/>
          <w:szCs w:val="24"/>
        </w:rPr>
        <w:t xml:space="preserve"> is rejected at </w:t>
      </w:r>
      <w:r w:rsidR="004F326F">
        <w:rPr>
          <w:sz w:val="24"/>
          <w:szCs w:val="24"/>
        </w:rPr>
        <w:t xml:space="preserve">a </w:t>
      </w:r>
      <w:r w:rsidRPr="00FF621F">
        <w:rPr>
          <w:sz w:val="24"/>
          <w:szCs w:val="24"/>
        </w:rPr>
        <w:t xml:space="preserve">5% </w:t>
      </w:r>
      <w:r w:rsidR="004F326F">
        <w:rPr>
          <w:sz w:val="24"/>
          <w:szCs w:val="24"/>
        </w:rPr>
        <w:t>significance level</w:t>
      </w:r>
      <w:r w:rsidRPr="00FF621F">
        <w:rPr>
          <w:sz w:val="24"/>
          <w:szCs w:val="24"/>
        </w:rPr>
        <w:t>. Therefore</w:t>
      </w:r>
      <w:r w:rsidR="004F326F">
        <w:rPr>
          <w:sz w:val="24"/>
          <w:szCs w:val="24"/>
        </w:rPr>
        <w:t>, it is determined that there is an influential difference in the mean score of value creation and flexibility as it relates to</w:t>
      </w:r>
      <w:r w:rsidRPr="00FF621F">
        <w:rPr>
          <w:sz w:val="24"/>
          <w:szCs w:val="24"/>
        </w:rPr>
        <w:t xml:space="preserve"> 3PL service</w:t>
      </w:r>
      <w:r w:rsidR="000F001D">
        <w:rPr>
          <w:sz w:val="24"/>
          <w:szCs w:val="24"/>
        </w:rPr>
        <w:t xml:space="preserve">s. </w:t>
      </w:r>
    </w:p>
    <w:p w14:paraId="674A4817" w14:textId="77777777" w:rsidR="006E54A9" w:rsidRDefault="006E54A9" w:rsidP="006E54A9">
      <w:pPr>
        <w:spacing w:line="360" w:lineRule="auto"/>
        <w:jc w:val="both"/>
        <w:rPr>
          <w:b/>
          <w:bCs/>
          <w:sz w:val="28"/>
          <w:szCs w:val="28"/>
        </w:rPr>
      </w:pPr>
    </w:p>
    <w:p w14:paraId="04498DC3" w14:textId="480C8244" w:rsidR="006E54A9" w:rsidRPr="00826500" w:rsidRDefault="00826500" w:rsidP="00826500">
      <w:pPr>
        <w:spacing w:line="360" w:lineRule="auto"/>
        <w:jc w:val="center"/>
        <w:rPr>
          <w:b/>
          <w:bCs/>
          <w:sz w:val="24"/>
          <w:szCs w:val="24"/>
        </w:rPr>
      </w:pPr>
      <w:r w:rsidRPr="00826500">
        <w:rPr>
          <w:b/>
          <w:bCs/>
          <w:sz w:val="24"/>
          <w:szCs w:val="24"/>
        </w:rPr>
        <w:t>Discriminant Analysis</w:t>
      </w:r>
    </w:p>
    <w:p w14:paraId="02EA87E7" w14:textId="17537DA0" w:rsidR="006E54A9" w:rsidRPr="000A79EC" w:rsidRDefault="00826500" w:rsidP="006E54A9">
      <w:pPr>
        <w:spacing w:line="360" w:lineRule="auto"/>
        <w:jc w:val="both"/>
        <w:rPr>
          <w:b/>
          <w:bCs/>
          <w:sz w:val="24"/>
          <w:szCs w:val="24"/>
        </w:rPr>
      </w:pPr>
      <w:r w:rsidRPr="00826500">
        <w:rPr>
          <w:sz w:val="24"/>
          <w:szCs w:val="24"/>
        </w:rPr>
        <w:lastRenderedPageBreak/>
        <w:t>By using discriminant analysis, the study seeks to segment the 3PL service market in Tamil Nadu and provide empirical evidence for the factors that determine performance success. This can guide service providers and client organizations in making informed decisions to optimize logistics operations.</w:t>
      </w:r>
    </w:p>
    <w:p w14:paraId="6D57B594" w14:textId="77777777" w:rsidR="00C54B13" w:rsidRPr="000A79EC" w:rsidRDefault="00C54B13" w:rsidP="00C54B13">
      <w:pPr>
        <w:adjustRightInd w:val="0"/>
        <w:jc w:val="center"/>
        <w:rPr>
          <w:rFonts w:eastAsiaTheme="minorHAnsi"/>
          <w:b/>
          <w:bCs/>
          <w:color w:val="000000"/>
          <w:sz w:val="24"/>
          <w:szCs w:val="24"/>
          <w:lang w:val="en-IN"/>
        </w:rPr>
      </w:pPr>
      <w:r w:rsidRPr="000A79EC">
        <w:rPr>
          <w:rFonts w:eastAsiaTheme="minorHAnsi"/>
          <w:b/>
          <w:bCs/>
          <w:color w:val="000000"/>
          <w:sz w:val="24"/>
          <w:szCs w:val="24"/>
          <w:lang w:val="en-IN"/>
        </w:rPr>
        <w:t>Box's Test of Equality of Covariance Matrices</w:t>
      </w:r>
    </w:p>
    <w:p w14:paraId="05D792C9" w14:textId="77777777" w:rsidR="00C54B13" w:rsidRPr="00C54B13" w:rsidRDefault="00C54B13" w:rsidP="00C54B13">
      <w:pPr>
        <w:widowControl/>
        <w:adjustRightInd w:val="0"/>
        <w:rPr>
          <w:rFonts w:eastAsiaTheme="minorHAnsi"/>
          <w:sz w:val="24"/>
          <w:szCs w:val="24"/>
          <w:lang w:val="en-IN"/>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7"/>
        <w:gridCol w:w="2260"/>
        <w:gridCol w:w="3291"/>
      </w:tblGrid>
      <w:tr w:rsidR="00C54B13" w:rsidRPr="00C54B13" w14:paraId="02BD0518" w14:textId="77777777" w:rsidTr="00C54B13">
        <w:trPr>
          <w:cantSplit/>
          <w:trHeight w:val="248"/>
        </w:trPr>
        <w:tc>
          <w:tcPr>
            <w:tcW w:w="10178" w:type="dxa"/>
            <w:gridSpan w:val="3"/>
            <w:shd w:val="clear" w:color="auto" w:fill="FFFFFF"/>
          </w:tcPr>
          <w:p w14:paraId="3A26EF74" w14:textId="77777777" w:rsidR="00C54B13" w:rsidRPr="00C54B13" w:rsidRDefault="00C54B13" w:rsidP="00C54B13">
            <w:pPr>
              <w:widowControl/>
              <w:adjustRightInd w:val="0"/>
              <w:spacing w:line="320" w:lineRule="atLeast"/>
              <w:ind w:left="60" w:right="60"/>
              <w:jc w:val="center"/>
              <w:rPr>
                <w:rFonts w:eastAsiaTheme="minorHAnsi"/>
                <w:color w:val="000000"/>
                <w:sz w:val="24"/>
                <w:szCs w:val="24"/>
                <w:lang w:val="en-IN"/>
              </w:rPr>
            </w:pPr>
            <w:r w:rsidRPr="00C54B13">
              <w:rPr>
                <w:rFonts w:eastAsiaTheme="minorHAnsi"/>
                <w:b/>
                <w:bCs/>
                <w:color w:val="000000"/>
                <w:sz w:val="24"/>
                <w:szCs w:val="24"/>
                <w:lang w:val="en-IN"/>
              </w:rPr>
              <w:t>Log Determinants</w:t>
            </w:r>
          </w:p>
        </w:tc>
      </w:tr>
      <w:tr w:rsidR="00C54B13" w:rsidRPr="00C54B13" w14:paraId="6B17F234" w14:textId="77777777" w:rsidTr="000A79EC">
        <w:trPr>
          <w:cantSplit/>
          <w:trHeight w:val="487"/>
        </w:trPr>
        <w:tc>
          <w:tcPr>
            <w:tcW w:w="4627" w:type="dxa"/>
            <w:shd w:val="clear" w:color="auto" w:fill="FFFFFF"/>
          </w:tcPr>
          <w:p w14:paraId="287915EE"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GBO</w:t>
            </w:r>
          </w:p>
        </w:tc>
        <w:tc>
          <w:tcPr>
            <w:tcW w:w="2260" w:type="dxa"/>
            <w:shd w:val="clear" w:color="auto" w:fill="FFFFFF"/>
          </w:tcPr>
          <w:p w14:paraId="484B0562" w14:textId="77777777" w:rsidR="00C54B13" w:rsidRPr="00C54B13" w:rsidRDefault="00C54B13" w:rsidP="00C54B13">
            <w:pPr>
              <w:widowControl/>
              <w:adjustRightInd w:val="0"/>
              <w:spacing w:line="320" w:lineRule="atLeast"/>
              <w:ind w:left="60" w:right="60"/>
              <w:jc w:val="center"/>
              <w:rPr>
                <w:rFonts w:eastAsiaTheme="minorHAnsi"/>
                <w:color w:val="000000"/>
                <w:sz w:val="24"/>
                <w:szCs w:val="24"/>
                <w:lang w:val="en-IN"/>
              </w:rPr>
            </w:pPr>
            <w:r w:rsidRPr="00C54B13">
              <w:rPr>
                <w:rFonts w:eastAsiaTheme="minorHAnsi"/>
                <w:color w:val="000000"/>
                <w:sz w:val="24"/>
                <w:szCs w:val="24"/>
                <w:lang w:val="en-IN"/>
              </w:rPr>
              <w:t>Rank</w:t>
            </w:r>
          </w:p>
        </w:tc>
        <w:tc>
          <w:tcPr>
            <w:tcW w:w="3291" w:type="dxa"/>
            <w:shd w:val="clear" w:color="auto" w:fill="FFFFFF"/>
          </w:tcPr>
          <w:p w14:paraId="011A5ABF" w14:textId="77777777" w:rsidR="00C54B13" w:rsidRPr="00C54B13" w:rsidRDefault="00C54B13" w:rsidP="00C54B13">
            <w:pPr>
              <w:widowControl/>
              <w:adjustRightInd w:val="0"/>
              <w:spacing w:line="320" w:lineRule="atLeast"/>
              <w:ind w:left="60" w:right="60"/>
              <w:jc w:val="center"/>
              <w:rPr>
                <w:rFonts w:eastAsiaTheme="minorHAnsi"/>
                <w:color w:val="000000"/>
                <w:sz w:val="24"/>
                <w:szCs w:val="24"/>
                <w:lang w:val="en-IN"/>
              </w:rPr>
            </w:pPr>
            <w:r w:rsidRPr="00C54B13">
              <w:rPr>
                <w:rFonts w:eastAsiaTheme="minorHAnsi"/>
                <w:color w:val="000000"/>
                <w:sz w:val="24"/>
                <w:szCs w:val="24"/>
                <w:lang w:val="en-IN"/>
              </w:rPr>
              <w:t>Log Determinant</w:t>
            </w:r>
          </w:p>
        </w:tc>
      </w:tr>
      <w:tr w:rsidR="00C54B13" w:rsidRPr="00C54B13" w14:paraId="4D35D44C" w14:textId="77777777" w:rsidTr="000A79EC">
        <w:trPr>
          <w:cantSplit/>
          <w:trHeight w:val="248"/>
        </w:trPr>
        <w:tc>
          <w:tcPr>
            <w:tcW w:w="4627" w:type="dxa"/>
            <w:shd w:val="clear" w:color="auto" w:fill="FFFFFF"/>
            <w:vAlign w:val="center"/>
          </w:tcPr>
          <w:p w14:paraId="10B3A42A"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Global</w:t>
            </w:r>
          </w:p>
        </w:tc>
        <w:tc>
          <w:tcPr>
            <w:tcW w:w="2260" w:type="dxa"/>
            <w:shd w:val="clear" w:color="auto" w:fill="FFFFFF"/>
            <w:vAlign w:val="center"/>
          </w:tcPr>
          <w:p w14:paraId="56AD943B"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8</w:t>
            </w:r>
          </w:p>
        </w:tc>
        <w:tc>
          <w:tcPr>
            <w:tcW w:w="3291" w:type="dxa"/>
            <w:shd w:val="clear" w:color="auto" w:fill="FFFFFF"/>
            <w:vAlign w:val="center"/>
          </w:tcPr>
          <w:p w14:paraId="5C1C8561"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6.208</w:t>
            </w:r>
          </w:p>
        </w:tc>
      </w:tr>
      <w:tr w:rsidR="00C54B13" w:rsidRPr="00C54B13" w14:paraId="534A1FB1" w14:textId="77777777" w:rsidTr="000A79EC">
        <w:trPr>
          <w:cantSplit/>
          <w:trHeight w:val="248"/>
        </w:trPr>
        <w:tc>
          <w:tcPr>
            <w:tcW w:w="4627" w:type="dxa"/>
            <w:shd w:val="clear" w:color="auto" w:fill="FFFFFF"/>
            <w:vAlign w:val="center"/>
          </w:tcPr>
          <w:p w14:paraId="251E3D54"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National</w:t>
            </w:r>
          </w:p>
        </w:tc>
        <w:tc>
          <w:tcPr>
            <w:tcW w:w="2260" w:type="dxa"/>
            <w:shd w:val="clear" w:color="auto" w:fill="FFFFFF"/>
            <w:vAlign w:val="center"/>
          </w:tcPr>
          <w:p w14:paraId="14239191"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8</w:t>
            </w:r>
          </w:p>
        </w:tc>
        <w:tc>
          <w:tcPr>
            <w:tcW w:w="3291" w:type="dxa"/>
            <w:shd w:val="clear" w:color="auto" w:fill="FFFFFF"/>
            <w:vAlign w:val="center"/>
          </w:tcPr>
          <w:p w14:paraId="3394172E"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5.816</w:t>
            </w:r>
          </w:p>
        </w:tc>
      </w:tr>
      <w:tr w:rsidR="00C54B13" w:rsidRPr="00C54B13" w14:paraId="3FBFE212" w14:textId="77777777" w:rsidTr="000A79EC">
        <w:trPr>
          <w:cantSplit/>
          <w:trHeight w:val="248"/>
        </w:trPr>
        <w:tc>
          <w:tcPr>
            <w:tcW w:w="4627" w:type="dxa"/>
            <w:shd w:val="clear" w:color="auto" w:fill="FFFFFF"/>
            <w:vAlign w:val="center"/>
          </w:tcPr>
          <w:p w14:paraId="5DAEBD4A"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Pooled within-groups</w:t>
            </w:r>
          </w:p>
        </w:tc>
        <w:tc>
          <w:tcPr>
            <w:tcW w:w="2260" w:type="dxa"/>
            <w:shd w:val="clear" w:color="auto" w:fill="FFFFFF"/>
            <w:vAlign w:val="center"/>
          </w:tcPr>
          <w:p w14:paraId="13A0A09E"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8</w:t>
            </w:r>
          </w:p>
        </w:tc>
        <w:tc>
          <w:tcPr>
            <w:tcW w:w="3291" w:type="dxa"/>
            <w:shd w:val="clear" w:color="auto" w:fill="FFFFFF"/>
            <w:vAlign w:val="center"/>
          </w:tcPr>
          <w:p w14:paraId="143E93FC"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6.384</w:t>
            </w:r>
          </w:p>
        </w:tc>
      </w:tr>
      <w:tr w:rsidR="00C54B13" w:rsidRPr="00C54B13" w14:paraId="11B8A3AF" w14:textId="77777777" w:rsidTr="00C54B13">
        <w:trPr>
          <w:cantSplit/>
          <w:trHeight w:val="487"/>
        </w:trPr>
        <w:tc>
          <w:tcPr>
            <w:tcW w:w="10178" w:type="dxa"/>
            <w:gridSpan w:val="3"/>
            <w:shd w:val="clear" w:color="auto" w:fill="FFFFFF"/>
            <w:vAlign w:val="center"/>
          </w:tcPr>
          <w:p w14:paraId="3F5096DE"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The ranks and natural logarithms of determinants printed are those of the group covariance matrices.</w:t>
            </w:r>
          </w:p>
        </w:tc>
      </w:tr>
    </w:tbl>
    <w:p w14:paraId="5FDA0064" w14:textId="58B52435" w:rsidR="000A79EC" w:rsidRPr="00C54B13" w:rsidRDefault="000A79EC" w:rsidP="000A79EC">
      <w:pPr>
        <w:widowControl/>
        <w:adjustRightInd w:val="0"/>
        <w:spacing w:line="360" w:lineRule="auto"/>
        <w:jc w:val="both"/>
        <w:rPr>
          <w:sz w:val="24"/>
          <w:szCs w:val="24"/>
        </w:rPr>
      </w:pPr>
      <w:r w:rsidRPr="000A79EC">
        <w:rPr>
          <w:sz w:val="24"/>
          <w:szCs w:val="24"/>
        </w:rPr>
        <w:t>The test assesses whether the covariance matrices of the groups (Global and National) are equal.</w:t>
      </w:r>
      <w:r w:rsidRPr="000A79EC">
        <w:t xml:space="preserve"> </w:t>
      </w:r>
      <w:r w:rsidRPr="000A79EC">
        <w:rPr>
          <w:sz w:val="24"/>
          <w:szCs w:val="24"/>
        </w:rPr>
        <w:t>The log determinants suggest some variation in the covariance matrices, which may influence the discriminant function's ability to separate the groups effectively.</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0"/>
        <w:gridCol w:w="2237"/>
        <w:gridCol w:w="1863"/>
        <w:gridCol w:w="1537"/>
        <w:gridCol w:w="1539"/>
      </w:tblGrid>
      <w:tr w:rsidR="00C54B13" w:rsidRPr="00C54B13" w14:paraId="5E8FF4F0" w14:textId="77777777" w:rsidTr="00C54B13">
        <w:trPr>
          <w:cantSplit/>
          <w:trHeight w:val="684"/>
        </w:trPr>
        <w:tc>
          <w:tcPr>
            <w:tcW w:w="9976" w:type="dxa"/>
            <w:gridSpan w:val="5"/>
            <w:shd w:val="clear" w:color="auto" w:fill="FFFFFF"/>
          </w:tcPr>
          <w:p w14:paraId="15EDCAF6" w14:textId="77777777" w:rsidR="00C54B13" w:rsidRPr="00C54B13" w:rsidRDefault="00C54B13" w:rsidP="00C54B13">
            <w:pPr>
              <w:widowControl/>
              <w:adjustRightInd w:val="0"/>
              <w:spacing w:line="320" w:lineRule="atLeast"/>
              <w:ind w:left="60" w:right="60"/>
              <w:jc w:val="center"/>
              <w:rPr>
                <w:rFonts w:eastAsiaTheme="minorHAnsi"/>
                <w:color w:val="000000"/>
                <w:sz w:val="24"/>
                <w:szCs w:val="24"/>
                <w:lang w:val="en-IN"/>
              </w:rPr>
            </w:pPr>
            <w:r w:rsidRPr="00C54B13">
              <w:rPr>
                <w:rFonts w:eastAsiaTheme="minorHAnsi"/>
                <w:b/>
                <w:bCs/>
                <w:color w:val="000000"/>
                <w:sz w:val="24"/>
                <w:szCs w:val="24"/>
                <w:lang w:val="en-IN"/>
              </w:rPr>
              <w:t>Wilks' Lambda</w:t>
            </w:r>
          </w:p>
        </w:tc>
      </w:tr>
      <w:tr w:rsidR="00C54B13" w:rsidRPr="00C54B13" w14:paraId="1DAE43D1" w14:textId="77777777" w:rsidTr="000A79EC">
        <w:trPr>
          <w:cantSplit/>
          <w:trHeight w:val="684"/>
        </w:trPr>
        <w:tc>
          <w:tcPr>
            <w:tcW w:w="2800" w:type="dxa"/>
            <w:shd w:val="clear" w:color="auto" w:fill="FFFFFF"/>
          </w:tcPr>
          <w:p w14:paraId="53B49685"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Test of Function(s)</w:t>
            </w:r>
          </w:p>
        </w:tc>
        <w:tc>
          <w:tcPr>
            <w:tcW w:w="2237" w:type="dxa"/>
            <w:shd w:val="clear" w:color="auto" w:fill="FFFFFF"/>
          </w:tcPr>
          <w:p w14:paraId="51FF4568" w14:textId="77777777" w:rsidR="00C54B13" w:rsidRPr="00C54B13" w:rsidRDefault="00C54B13" w:rsidP="00C54B13">
            <w:pPr>
              <w:widowControl/>
              <w:adjustRightInd w:val="0"/>
              <w:spacing w:line="320" w:lineRule="atLeast"/>
              <w:ind w:left="60" w:right="60"/>
              <w:jc w:val="center"/>
              <w:rPr>
                <w:rFonts w:eastAsiaTheme="minorHAnsi"/>
                <w:color w:val="000000"/>
                <w:sz w:val="24"/>
                <w:szCs w:val="24"/>
                <w:lang w:val="en-IN"/>
              </w:rPr>
            </w:pPr>
            <w:r w:rsidRPr="00C54B13">
              <w:rPr>
                <w:rFonts w:eastAsiaTheme="minorHAnsi"/>
                <w:color w:val="000000"/>
                <w:sz w:val="24"/>
                <w:szCs w:val="24"/>
                <w:lang w:val="en-IN"/>
              </w:rPr>
              <w:t>Wilks' Lambda</w:t>
            </w:r>
          </w:p>
        </w:tc>
        <w:tc>
          <w:tcPr>
            <w:tcW w:w="1863" w:type="dxa"/>
            <w:shd w:val="clear" w:color="auto" w:fill="FFFFFF"/>
          </w:tcPr>
          <w:p w14:paraId="49167F7F" w14:textId="77777777" w:rsidR="00C54B13" w:rsidRPr="00C54B13" w:rsidRDefault="00C54B13" w:rsidP="00C54B13">
            <w:pPr>
              <w:widowControl/>
              <w:adjustRightInd w:val="0"/>
              <w:spacing w:line="320" w:lineRule="atLeast"/>
              <w:ind w:left="60" w:right="60"/>
              <w:jc w:val="center"/>
              <w:rPr>
                <w:rFonts w:eastAsiaTheme="minorHAnsi"/>
                <w:color w:val="000000"/>
                <w:sz w:val="24"/>
                <w:szCs w:val="24"/>
                <w:lang w:val="en-IN"/>
              </w:rPr>
            </w:pPr>
            <w:r w:rsidRPr="00C54B13">
              <w:rPr>
                <w:rFonts w:eastAsiaTheme="minorHAnsi"/>
                <w:color w:val="000000"/>
                <w:sz w:val="24"/>
                <w:szCs w:val="24"/>
                <w:lang w:val="en-IN"/>
              </w:rPr>
              <w:t>Chi-square</w:t>
            </w:r>
          </w:p>
        </w:tc>
        <w:tc>
          <w:tcPr>
            <w:tcW w:w="1537" w:type="dxa"/>
            <w:shd w:val="clear" w:color="auto" w:fill="FFFFFF"/>
          </w:tcPr>
          <w:p w14:paraId="7F26075F" w14:textId="77777777" w:rsidR="00C54B13" w:rsidRPr="00C54B13" w:rsidRDefault="00C54B13" w:rsidP="00C54B13">
            <w:pPr>
              <w:widowControl/>
              <w:adjustRightInd w:val="0"/>
              <w:spacing w:line="320" w:lineRule="atLeast"/>
              <w:ind w:left="60" w:right="60"/>
              <w:jc w:val="center"/>
              <w:rPr>
                <w:rFonts w:eastAsiaTheme="minorHAnsi"/>
                <w:color w:val="000000"/>
                <w:sz w:val="24"/>
                <w:szCs w:val="24"/>
                <w:lang w:val="en-IN"/>
              </w:rPr>
            </w:pPr>
            <w:r w:rsidRPr="00C54B13">
              <w:rPr>
                <w:rFonts w:eastAsiaTheme="minorHAnsi"/>
                <w:color w:val="000000"/>
                <w:sz w:val="24"/>
                <w:szCs w:val="24"/>
                <w:lang w:val="en-IN"/>
              </w:rPr>
              <w:t>df</w:t>
            </w:r>
          </w:p>
        </w:tc>
        <w:tc>
          <w:tcPr>
            <w:tcW w:w="1539" w:type="dxa"/>
            <w:shd w:val="clear" w:color="auto" w:fill="FFFFFF"/>
          </w:tcPr>
          <w:p w14:paraId="70F5B85A" w14:textId="77777777" w:rsidR="00C54B13" w:rsidRPr="00C54B13" w:rsidRDefault="00C54B13" w:rsidP="00C54B13">
            <w:pPr>
              <w:widowControl/>
              <w:adjustRightInd w:val="0"/>
              <w:spacing w:line="320" w:lineRule="atLeast"/>
              <w:ind w:left="60" w:right="60"/>
              <w:jc w:val="center"/>
              <w:rPr>
                <w:rFonts w:eastAsiaTheme="minorHAnsi"/>
                <w:color w:val="000000"/>
                <w:sz w:val="24"/>
                <w:szCs w:val="24"/>
                <w:lang w:val="en-IN"/>
              </w:rPr>
            </w:pPr>
            <w:r w:rsidRPr="00C54B13">
              <w:rPr>
                <w:rFonts w:eastAsiaTheme="minorHAnsi"/>
                <w:color w:val="000000"/>
                <w:sz w:val="24"/>
                <w:szCs w:val="24"/>
                <w:lang w:val="en-IN"/>
              </w:rPr>
              <w:t>Sig.</w:t>
            </w:r>
          </w:p>
        </w:tc>
      </w:tr>
      <w:tr w:rsidR="00C54B13" w:rsidRPr="00C54B13" w14:paraId="3283BC4A" w14:textId="77777777" w:rsidTr="000A79EC">
        <w:trPr>
          <w:cantSplit/>
          <w:trHeight w:val="684"/>
        </w:trPr>
        <w:tc>
          <w:tcPr>
            <w:tcW w:w="2800" w:type="dxa"/>
            <w:shd w:val="clear" w:color="auto" w:fill="FFFFFF"/>
            <w:vAlign w:val="center"/>
          </w:tcPr>
          <w:p w14:paraId="416C6ACA"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1</w:t>
            </w:r>
          </w:p>
        </w:tc>
        <w:tc>
          <w:tcPr>
            <w:tcW w:w="2237" w:type="dxa"/>
            <w:shd w:val="clear" w:color="auto" w:fill="FFFFFF"/>
            <w:vAlign w:val="center"/>
          </w:tcPr>
          <w:p w14:paraId="77499442"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.947</w:t>
            </w:r>
          </w:p>
        </w:tc>
        <w:tc>
          <w:tcPr>
            <w:tcW w:w="1863" w:type="dxa"/>
            <w:shd w:val="clear" w:color="auto" w:fill="FFFFFF"/>
            <w:vAlign w:val="center"/>
          </w:tcPr>
          <w:p w14:paraId="5CC98FC0"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7.110</w:t>
            </w:r>
          </w:p>
        </w:tc>
        <w:tc>
          <w:tcPr>
            <w:tcW w:w="1537" w:type="dxa"/>
            <w:shd w:val="clear" w:color="auto" w:fill="FFFFFF"/>
            <w:vAlign w:val="center"/>
          </w:tcPr>
          <w:p w14:paraId="3B9CA89E"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8</w:t>
            </w:r>
          </w:p>
        </w:tc>
        <w:tc>
          <w:tcPr>
            <w:tcW w:w="1539" w:type="dxa"/>
            <w:shd w:val="clear" w:color="auto" w:fill="FFFFFF"/>
            <w:vAlign w:val="center"/>
          </w:tcPr>
          <w:p w14:paraId="03FD9682" w14:textId="5B13CABD"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.000</w:t>
            </w:r>
          </w:p>
        </w:tc>
      </w:tr>
    </w:tbl>
    <w:p w14:paraId="459D3E41" w14:textId="23F195F8" w:rsidR="000A79EC" w:rsidRPr="00C54B13" w:rsidRDefault="000A79EC" w:rsidP="000A79EC">
      <w:pPr>
        <w:widowControl/>
        <w:adjustRightInd w:val="0"/>
        <w:spacing w:line="360" w:lineRule="auto"/>
        <w:jc w:val="both"/>
        <w:rPr>
          <w:rFonts w:eastAsiaTheme="minorHAnsi"/>
          <w:sz w:val="24"/>
          <w:szCs w:val="24"/>
          <w:lang w:val="en-IN"/>
        </w:rPr>
      </w:pPr>
      <w:r w:rsidRPr="000A79EC">
        <w:rPr>
          <w:rFonts w:eastAsiaTheme="minorHAnsi"/>
          <w:sz w:val="24"/>
          <w:szCs w:val="24"/>
          <w:lang w:val="en-IN"/>
        </w:rPr>
        <w:t xml:space="preserve">A Wilks' Lambda of 0.947 indicates that the discriminant function explains a significant portion of the </w:t>
      </w:r>
      <w:r w:rsidR="005401DC">
        <w:rPr>
          <w:rFonts w:eastAsiaTheme="minorHAnsi"/>
          <w:sz w:val="24"/>
          <w:szCs w:val="24"/>
          <w:lang w:val="en-IN"/>
        </w:rPr>
        <w:t>group variance</w:t>
      </w:r>
      <w:r w:rsidRPr="000A79EC">
        <w:rPr>
          <w:rFonts w:eastAsiaTheme="minorHAnsi"/>
          <w:sz w:val="24"/>
          <w:szCs w:val="24"/>
          <w:lang w:val="en-IN"/>
        </w:rPr>
        <w:t>. The associated Chi-square value (7.110) with a p-value of 0.000 confirms that the function is statistically significant in distinguishing between Global and National providers.</w:t>
      </w:r>
    </w:p>
    <w:tbl>
      <w:tblPr>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62"/>
        <w:gridCol w:w="2954"/>
      </w:tblGrid>
      <w:tr w:rsidR="00C54B13" w:rsidRPr="00C54B13" w14:paraId="334C4B8D" w14:textId="77777777" w:rsidTr="00C54B13">
        <w:trPr>
          <w:cantSplit/>
          <w:trHeight w:val="390"/>
        </w:trPr>
        <w:tc>
          <w:tcPr>
            <w:tcW w:w="10116" w:type="dxa"/>
            <w:gridSpan w:val="2"/>
            <w:shd w:val="clear" w:color="auto" w:fill="FFFFFF"/>
          </w:tcPr>
          <w:p w14:paraId="0EBE3D8F" w14:textId="77777777" w:rsidR="00C54B13" w:rsidRPr="00C54B13" w:rsidRDefault="00C54B13" w:rsidP="00C54B13">
            <w:pPr>
              <w:widowControl/>
              <w:adjustRightInd w:val="0"/>
              <w:spacing w:line="320" w:lineRule="atLeast"/>
              <w:ind w:left="60" w:right="60"/>
              <w:jc w:val="center"/>
              <w:rPr>
                <w:rFonts w:eastAsiaTheme="minorHAnsi"/>
                <w:color w:val="000000"/>
                <w:sz w:val="24"/>
                <w:szCs w:val="24"/>
                <w:lang w:val="en-IN"/>
              </w:rPr>
            </w:pPr>
            <w:r w:rsidRPr="00C54B13">
              <w:rPr>
                <w:rFonts w:eastAsiaTheme="minorHAnsi"/>
                <w:b/>
                <w:bCs/>
                <w:color w:val="000000"/>
                <w:sz w:val="24"/>
                <w:szCs w:val="24"/>
                <w:lang w:val="en-IN"/>
              </w:rPr>
              <w:t>Canonical Discriminant Function Coefficients</w:t>
            </w:r>
          </w:p>
        </w:tc>
      </w:tr>
      <w:tr w:rsidR="00C54B13" w:rsidRPr="00C54B13" w14:paraId="161F8AC6" w14:textId="77777777" w:rsidTr="000A79EC">
        <w:trPr>
          <w:cantSplit/>
          <w:trHeight w:val="199"/>
        </w:trPr>
        <w:tc>
          <w:tcPr>
            <w:tcW w:w="7162" w:type="dxa"/>
            <w:vMerge w:val="restart"/>
            <w:shd w:val="clear" w:color="auto" w:fill="FFFFFF"/>
          </w:tcPr>
          <w:p w14:paraId="10FB2755"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p>
        </w:tc>
        <w:tc>
          <w:tcPr>
            <w:tcW w:w="2954" w:type="dxa"/>
            <w:shd w:val="clear" w:color="auto" w:fill="FFFFFF"/>
          </w:tcPr>
          <w:p w14:paraId="0E20A9D2" w14:textId="77777777" w:rsidR="00C54B13" w:rsidRPr="00C54B13" w:rsidRDefault="00C54B13" w:rsidP="00C54B13">
            <w:pPr>
              <w:widowControl/>
              <w:adjustRightInd w:val="0"/>
              <w:spacing w:line="320" w:lineRule="atLeast"/>
              <w:ind w:left="60" w:right="60"/>
              <w:jc w:val="center"/>
              <w:rPr>
                <w:rFonts w:eastAsiaTheme="minorHAnsi"/>
                <w:color w:val="000000"/>
                <w:sz w:val="24"/>
                <w:szCs w:val="24"/>
                <w:lang w:val="en-IN"/>
              </w:rPr>
            </w:pPr>
            <w:r w:rsidRPr="00C54B13">
              <w:rPr>
                <w:rFonts w:eastAsiaTheme="minorHAnsi"/>
                <w:color w:val="000000"/>
                <w:sz w:val="24"/>
                <w:szCs w:val="24"/>
                <w:lang w:val="en-IN"/>
              </w:rPr>
              <w:t>Function</w:t>
            </w:r>
          </w:p>
        </w:tc>
      </w:tr>
      <w:tr w:rsidR="00C54B13" w:rsidRPr="00C54B13" w14:paraId="67971F34" w14:textId="77777777" w:rsidTr="000A79EC">
        <w:trPr>
          <w:cantSplit/>
          <w:trHeight w:val="88"/>
        </w:trPr>
        <w:tc>
          <w:tcPr>
            <w:tcW w:w="7162" w:type="dxa"/>
            <w:vMerge/>
            <w:shd w:val="clear" w:color="auto" w:fill="FFFFFF"/>
          </w:tcPr>
          <w:p w14:paraId="531B8B38" w14:textId="77777777" w:rsidR="00C54B13" w:rsidRPr="00C54B13" w:rsidRDefault="00C54B13" w:rsidP="00C54B13">
            <w:pPr>
              <w:widowControl/>
              <w:adjustRightInd w:val="0"/>
              <w:rPr>
                <w:rFonts w:eastAsiaTheme="minorHAnsi"/>
                <w:color w:val="000000"/>
                <w:sz w:val="24"/>
                <w:szCs w:val="24"/>
                <w:lang w:val="en-IN"/>
              </w:rPr>
            </w:pPr>
          </w:p>
        </w:tc>
        <w:tc>
          <w:tcPr>
            <w:tcW w:w="2954" w:type="dxa"/>
            <w:shd w:val="clear" w:color="auto" w:fill="FFFFFF"/>
          </w:tcPr>
          <w:p w14:paraId="62B8D382" w14:textId="77777777" w:rsidR="00C54B13" w:rsidRPr="00C54B13" w:rsidRDefault="00C54B13" w:rsidP="00C54B13">
            <w:pPr>
              <w:widowControl/>
              <w:adjustRightInd w:val="0"/>
              <w:spacing w:line="320" w:lineRule="atLeast"/>
              <w:ind w:left="60" w:right="60"/>
              <w:jc w:val="center"/>
              <w:rPr>
                <w:rFonts w:eastAsiaTheme="minorHAnsi"/>
                <w:color w:val="000000"/>
                <w:sz w:val="24"/>
                <w:szCs w:val="24"/>
                <w:lang w:val="en-IN"/>
              </w:rPr>
            </w:pPr>
            <w:r w:rsidRPr="00C54B13">
              <w:rPr>
                <w:rFonts w:eastAsiaTheme="minorHAnsi"/>
                <w:color w:val="000000"/>
                <w:sz w:val="24"/>
                <w:szCs w:val="24"/>
                <w:lang w:val="en-IN"/>
              </w:rPr>
              <w:t>1</w:t>
            </w:r>
          </w:p>
        </w:tc>
      </w:tr>
      <w:tr w:rsidR="00C54B13" w:rsidRPr="00C54B13" w14:paraId="69DF5F07" w14:textId="77777777" w:rsidTr="000A79EC">
        <w:trPr>
          <w:cantSplit/>
          <w:trHeight w:val="199"/>
        </w:trPr>
        <w:tc>
          <w:tcPr>
            <w:tcW w:w="7162" w:type="dxa"/>
            <w:shd w:val="clear" w:color="auto" w:fill="FFFFFF"/>
            <w:vAlign w:val="center"/>
          </w:tcPr>
          <w:p w14:paraId="2B950D32"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Flexibility</w:t>
            </w:r>
          </w:p>
        </w:tc>
        <w:tc>
          <w:tcPr>
            <w:tcW w:w="2954" w:type="dxa"/>
            <w:shd w:val="clear" w:color="auto" w:fill="FFFFFF"/>
            <w:vAlign w:val="center"/>
          </w:tcPr>
          <w:p w14:paraId="102801F2"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.167</w:t>
            </w:r>
          </w:p>
        </w:tc>
      </w:tr>
      <w:tr w:rsidR="00C54B13" w:rsidRPr="00C54B13" w14:paraId="74387E58" w14:textId="77777777" w:rsidTr="000A79EC">
        <w:trPr>
          <w:cantSplit/>
          <w:trHeight w:val="199"/>
        </w:trPr>
        <w:tc>
          <w:tcPr>
            <w:tcW w:w="7162" w:type="dxa"/>
            <w:shd w:val="clear" w:color="auto" w:fill="FFFFFF"/>
            <w:vAlign w:val="center"/>
          </w:tcPr>
          <w:p w14:paraId="394D7FA3"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Value Creation</w:t>
            </w:r>
          </w:p>
        </w:tc>
        <w:tc>
          <w:tcPr>
            <w:tcW w:w="2954" w:type="dxa"/>
            <w:shd w:val="clear" w:color="auto" w:fill="FFFFFF"/>
            <w:vAlign w:val="center"/>
          </w:tcPr>
          <w:p w14:paraId="6D265FDC"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.597</w:t>
            </w:r>
          </w:p>
        </w:tc>
      </w:tr>
      <w:tr w:rsidR="00C54B13" w:rsidRPr="00C54B13" w14:paraId="2139CF99" w14:textId="77777777" w:rsidTr="000A79EC">
        <w:trPr>
          <w:cantSplit/>
          <w:trHeight w:val="390"/>
        </w:trPr>
        <w:tc>
          <w:tcPr>
            <w:tcW w:w="7162" w:type="dxa"/>
            <w:shd w:val="clear" w:color="auto" w:fill="FFFFFF"/>
            <w:vAlign w:val="center"/>
          </w:tcPr>
          <w:p w14:paraId="3653E6E3"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Security and Tracking System</w:t>
            </w:r>
          </w:p>
        </w:tc>
        <w:tc>
          <w:tcPr>
            <w:tcW w:w="2954" w:type="dxa"/>
            <w:shd w:val="clear" w:color="auto" w:fill="FFFFFF"/>
            <w:vAlign w:val="center"/>
          </w:tcPr>
          <w:p w14:paraId="4BCD621D"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-.207</w:t>
            </w:r>
          </w:p>
        </w:tc>
      </w:tr>
      <w:tr w:rsidR="00C54B13" w:rsidRPr="00C54B13" w14:paraId="24EAB232" w14:textId="77777777" w:rsidTr="000A79EC">
        <w:trPr>
          <w:cantSplit/>
          <w:trHeight w:val="199"/>
        </w:trPr>
        <w:tc>
          <w:tcPr>
            <w:tcW w:w="7162" w:type="dxa"/>
            <w:shd w:val="clear" w:color="auto" w:fill="FFFFFF"/>
            <w:vAlign w:val="center"/>
          </w:tcPr>
          <w:p w14:paraId="41DDEAFC"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IT Integration System</w:t>
            </w:r>
          </w:p>
        </w:tc>
        <w:tc>
          <w:tcPr>
            <w:tcW w:w="2954" w:type="dxa"/>
            <w:shd w:val="clear" w:color="auto" w:fill="FFFFFF"/>
            <w:vAlign w:val="center"/>
          </w:tcPr>
          <w:p w14:paraId="798CAD8B"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-.109</w:t>
            </w:r>
          </w:p>
        </w:tc>
      </w:tr>
      <w:tr w:rsidR="00C54B13" w:rsidRPr="00C54B13" w14:paraId="2928AE28" w14:textId="77777777" w:rsidTr="000A79EC">
        <w:trPr>
          <w:cantSplit/>
          <w:trHeight w:val="199"/>
        </w:trPr>
        <w:tc>
          <w:tcPr>
            <w:tcW w:w="7162" w:type="dxa"/>
            <w:shd w:val="clear" w:color="auto" w:fill="FFFFFF"/>
            <w:vAlign w:val="center"/>
          </w:tcPr>
          <w:p w14:paraId="5AC2F603"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Customer Service</w:t>
            </w:r>
          </w:p>
        </w:tc>
        <w:tc>
          <w:tcPr>
            <w:tcW w:w="2954" w:type="dxa"/>
            <w:shd w:val="clear" w:color="auto" w:fill="FFFFFF"/>
            <w:vAlign w:val="center"/>
          </w:tcPr>
          <w:p w14:paraId="0464C6BB"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-.075</w:t>
            </w:r>
          </w:p>
        </w:tc>
      </w:tr>
      <w:tr w:rsidR="00C54B13" w:rsidRPr="00C54B13" w14:paraId="7721BAE6" w14:textId="77777777" w:rsidTr="000A79EC">
        <w:trPr>
          <w:cantSplit/>
          <w:trHeight w:val="199"/>
        </w:trPr>
        <w:tc>
          <w:tcPr>
            <w:tcW w:w="7162" w:type="dxa"/>
            <w:shd w:val="clear" w:color="auto" w:fill="FFFFFF"/>
            <w:vAlign w:val="center"/>
          </w:tcPr>
          <w:p w14:paraId="18ADED2E"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Customer Accommodation</w:t>
            </w:r>
          </w:p>
        </w:tc>
        <w:tc>
          <w:tcPr>
            <w:tcW w:w="2954" w:type="dxa"/>
            <w:shd w:val="clear" w:color="auto" w:fill="FFFFFF"/>
            <w:vAlign w:val="center"/>
          </w:tcPr>
          <w:p w14:paraId="6370BD79"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-.064</w:t>
            </w:r>
          </w:p>
        </w:tc>
      </w:tr>
      <w:tr w:rsidR="00C54B13" w:rsidRPr="00C54B13" w14:paraId="23AC1F46" w14:textId="77777777" w:rsidTr="000A79EC">
        <w:trPr>
          <w:cantSplit/>
          <w:trHeight w:val="191"/>
        </w:trPr>
        <w:tc>
          <w:tcPr>
            <w:tcW w:w="7162" w:type="dxa"/>
            <w:shd w:val="clear" w:color="auto" w:fill="FFFFFF"/>
            <w:vAlign w:val="center"/>
          </w:tcPr>
          <w:p w14:paraId="640BF1A1"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Competitive Advantage</w:t>
            </w:r>
          </w:p>
        </w:tc>
        <w:tc>
          <w:tcPr>
            <w:tcW w:w="2954" w:type="dxa"/>
            <w:shd w:val="clear" w:color="auto" w:fill="FFFFFF"/>
            <w:vAlign w:val="center"/>
          </w:tcPr>
          <w:p w14:paraId="394192DE"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-.361</w:t>
            </w:r>
          </w:p>
        </w:tc>
      </w:tr>
      <w:tr w:rsidR="00C54B13" w:rsidRPr="00C54B13" w14:paraId="2D88251A" w14:textId="77777777" w:rsidTr="000A79EC">
        <w:trPr>
          <w:cantSplit/>
          <w:trHeight w:val="199"/>
        </w:trPr>
        <w:tc>
          <w:tcPr>
            <w:tcW w:w="7162" w:type="dxa"/>
            <w:shd w:val="clear" w:color="auto" w:fill="FFFFFF"/>
            <w:vAlign w:val="center"/>
          </w:tcPr>
          <w:p w14:paraId="1D3884FE"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Logistics Excellence</w:t>
            </w:r>
          </w:p>
        </w:tc>
        <w:tc>
          <w:tcPr>
            <w:tcW w:w="2954" w:type="dxa"/>
            <w:shd w:val="clear" w:color="auto" w:fill="FFFFFF"/>
            <w:vAlign w:val="center"/>
          </w:tcPr>
          <w:p w14:paraId="1C52BF78"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.153</w:t>
            </w:r>
          </w:p>
        </w:tc>
      </w:tr>
      <w:tr w:rsidR="00C54B13" w:rsidRPr="00C54B13" w14:paraId="0A813975" w14:textId="77777777" w:rsidTr="000A79EC">
        <w:trPr>
          <w:cantSplit/>
          <w:trHeight w:val="199"/>
        </w:trPr>
        <w:tc>
          <w:tcPr>
            <w:tcW w:w="7162" w:type="dxa"/>
            <w:shd w:val="clear" w:color="auto" w:fill="FFFFFF"/>
            <w:vAlign w:val="center"/>
          </w:tcPr>
          <w:p w14:paraId="5B042D5C"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(Constant)</w:t>
            </w:r>
          </w:p>
        </w:tc>
        <w:tc>
          <w:tcPr>
            <w:tcW w:w="2954" w:type="dxa"/>
            <w:shd w:val="clear" w:color="auto" w:fill="FFFFFF"/>
            <w:vAlign w:val="center"/>
          </w:tcPr>
          <w:p w14:paraId="4A4D173C"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-2.157</w:t>
            </w:r>
          </w:p>
        </w:tc>
      </w:tr>
      <w:tr w:rsidR="00C54B13" w:rsidRPr="00C54B13" w14:paraId="214C49E8" w14:textId="77777777" w:rsidTr="00C54B13">
        <w:trPr>
          <w:cantSplit/>
          <w:trHeight w:val="199"/>
        </w:trPr>
        <w:tc>
          <w:tcPr>
            <w:tcW w:w="10116" w:type="dxa"/>
            <w:gridSpan w:val="2"/>
            <w:shd w:val="clear" w:color="auto" w:fill="FFFFFF"/>
            <w:vAlign w:val="center"/>
          </w:tcPr>
          <w:p w14:paraId="1A85FD1F"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lastRenderedPageBreak/>
              <w:t>Unstandardized coefficients</w:t>
            </w:r>
          </w:p>
        </w:tc>
      </w:tr>
    </w:tbl>
    <w:p w14:paraId="2A888674" w14:textId="2224740F" w:rsidR="006E54A9" w:rsidRPr="000A79EC" w:rsidRDefault="000A79EC" w:rsidP="000A79EC">
      <w:pPr>
        <w:widowControl/>
        <w:adjustRightInd w:val="0"/>
        <w:spacing w:line="400" w:lineRule="atLeast"/>
        <w:jc w:val="both"/>
        <w:rPr>
          <w:rFonts w:eastAsiaTheme="minorHAnsi"/>
          <w:sz w:val="24"/>
          <w:szCs w:val="24"/>
          <w:lang w:val="en-IN"/>
        </w:rPr>
      </w:pPr>
      <w:r w:rsidRPr="000A79EC">
        <w:rPr>
          <w:rFonts w:eastAsiaTheme="minorHAnsi"/>
          <w:sz w:val="24"/>
          <w:szCs w:val="24"/>
          <w:lang w:val="en-IN"/>
        </w:rPr>
        <w:t>The unstandardized coefficients indicate the contribution of each variable to the discriminant function.</w:t>
      </w:r>
      <w:r w:rsidRPr="000A79EC">
        <w:rPr>
          <w:sz w:val="24"/>
          <w:szCs w:val="24"/>
        </w:rPr>
        <w:t xml:space="preserve"> Value Creation (0.597) and Flexibility (0.167) are the most significant positive contributors to distinguishing Global and National providers. Competitive Advantage (-0.361) negatively influences the separation, suggesting </w:t>
      </w:r>
      <w:r w:rsidR="005401DC">
        <w:rPr>
          <w:sz w:val="24"/>
          <w:szCs w:val="24"/>
        </w:rPr>
        <w:t>the groups might perceive it differently</w:t>
      </w:r>
      <w:r w:rsidRPr="000A79EC">
        <w:rPr>
          <w:sz w:val="24"/>
          <w:szCs w:val="24"/>
        </w:rPr>
        <w:t>.</w:t>
      </w:r>
    </w:p>
    <w:p w14:paraId="7C40D32A" w14:textId="77777777" w:rsidR="00C54B13" w:rsidRPr="00C54B13" w:rsidRDefault="00C54B13" w:rsidP="00C54B13">
      <w:pPr>
        <w:widowControl/>
        <w:adjustRightInd w:val="0"/>
        <w:rPr>
          <w:rFonts w:eastAsiaTheme="minorHAnsi"/>
          <w:sz w:val="24"/>
          <w:szCs w:val="24"/>
          <w:lang w:val="en-IN"/>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0"/>
        <w:gridCol w:w="1221"/>
        <w:gridCol w:w="1531"/>
        <w:gridCol w:w="2153"/>
        <w:gridCol w:w="2155"/>
        <w:gridCol w:w="1583"/>
      </w:tblGrid>
      <w:tr w:rsidR="00C54B13" w:rsidRPr="00C54B13" w14:paraId="23EA18D3" w14:textId="77777777" w:rsidTr="000A79EC">
        <w:trPr>
          <w:cantSplit/>
          <w:trHeight w:val="409"/>
        </w:trPr>
        <w:tc>
          <w:tcPr>
            <w:tcW w:w="10103" w:type="dxa"/>
            <w:gridSpan w:val="6"/>
            <w:shd w:val="clear" w:color="auto" w:fill="FFFFFF"/>
          </w:tcPr>
          <w:p w14:paraId="5DF1E4F9" w14:textId="45003C82" w:rsidR="00C54B13" w:rsidRPr="00C54B13" w:rsidRDefault="00C54B13" w:rsidP="00C54B13">
            <w:pPr>
              <w:widowControl/>
              <w:adjustRightInd w:val="0"/>
              <w:spacing w:line="320" w:lineRule="atLeast"/>
              <w:ind w:left="60" w:right="60"/>
              <w:jc w:val="center"/>
              <w:rPr>
                <w:rFonts w:eastAsiaTheme="minorHAnsi"/>
                <w:color w:val="000000"/>
                <w:sz w:val="24"/>
                <w:szCs w:val="24"/>
                <w:lang w:val="en-IN"/>
              </w:rPr>
            </w:pPr>
            <w:r w:rsidRPr="00C54B13">
              <w:rPr>
                <w:rFonts w:eastAsiaTheme="minorHAnsi"/>
                <w:b/>
                <w:bCs/>
                <w:color w:val="000000"/>
                <w:sz w:val="24"/>
                <w:szCs w:val="24"/>
                <w:lang w:val="en-IN"/>
              </w:rPr>
              <w:t>Classification Results</w:t>
            </w:r>
          </w:p>
        </w:tc>
      </w:tr>
      <w:tr w:rsidR="00C54B13" w:rsidRPr="00C54B13" w14:paraId="09052821" w14:textId="77777777" w:rsidTr="000A79EC">
        <w:trPr>
          <w:cantSplit/>
          <w:trHeight w:val="409"/>
        </w:trPr>
        <w:tc>
          <w:tcPr>
            <w:tcW w:w="2681" w:type="dxa"/>
            <w:gridSpan w:val="2"/>
            <w:vAlign w:val="center"/>
          </w:tcPr>
          <w:p w14:paraId="7D5DBFD6" w14:textId="664F1032" w:rsidR="00C54B13" w:rsidRPr="00C54B13" w:rsidRDefault="00C54B13" w:rsidP="00C54B13">
            <w:pPr>
              <w:widowControl/>
              <w:adjustRightInd w:val="0"/>
              <w:rPr>
                <w:rFonts w:eastAsiaTheme="minorHAnsi"/>
                <w:color w:val="000000"/>
                <w:sz w:val="24"/>
                <w:szCs w:val="24"/>
                <w:lang w:val="en-IN"/>
              </w:rPr>
            </w:pPr>
            <w:r w:rsidRPr="00C54B13">
              <w:rPr>
                <w:rFonts w:eastAsiaTheme="minorHAnsi"/>
                <w:color w:val="000000"/>
                <w:sz w:val="24"/>
                <w:szCs w:val="24"/>
                <w:lang w:val="en-IN"/>
              </w:rPr>
              <w:t xml:space="preserve">Particular </w:t>
            </w:r>
          </w:p>
        </w:tc>
        <w:tc>
          <w:tcPr>
            <w:tcW w:w="1531" w:type="dxa"/>
            <w:vMerge w:val="restart"/>
            <w:shd w:val="clear" w:color="auto" w:fill="FFFFFF"/>
          </w:tcPr>
          <w:p w14:paraId="10957ADE"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GBO</w:t>
            </w:r>
          </w:p>
        </w:tc>
        <w:tc>
          <w:tcPr>
            <w:tcW w:w="4308" w:type="dxa"/>
            <w:gridSpan w:val="2"/>
            <w:shd w:val="clear" w:color="auto" w:fill="FFFFFF"/>
          </w:tcPr>
          <w:p w14:paraId="51974F85" w14:textId="77777777" w:rsidR="00C54B13" w:rsidRPr="00C54B13" w:rsidRDefault="00C54B13" w:rsidP="00C54B13">
            <w:pPr>
              <w:widowControl/>
              <w:adjustRightInd w:val="0"/>
              <w:spacing w:line="320" w:lineRule="atLeast"/>
              <w:ind w:left="60" w:right="60"/>
              <w:jc w:val="center"/>
              <w:rPr>
                <w:rFonts w:eastAsiaTheme="minorHAnsi"/>
                <w:color w:val="000000"/>
                <w:sz w:val="24"/>
                <w:szCs w:val="24"/>
                <w:lang w:val="en-IN"/>
              </w:rPr>
            </w:pPr>
            <w:r w:rsidRPr="00C54B13">
              <w:rPr>
                <w:rFonts w:eastAsiaTheme="minorHAnsi"/>
                <w:color w:val="000000"/>
                <w:sz w:val="24"/>
                <w:szCs w:val="24"/>
                <w:lang w:val="en-IN"/>
              </w:rPr>
              <w:t>Predicted Group Membership</w:t>
            </w:r>
          </w:p>
        </w:tc>
        <w:tc>
          <w:tcPr>
            <w:tcW w:w="1583" w:type="dxa"/>
            <w:vMerge w:val="restart"/>
            <w:shd w:val="clear" w:color="auto" w:fill="FFFFFF"/>
          </w:tcPr>
          <w:p w14:paraId="34D275FD" w14:textId="77777777" w:rsidR="00C54B13" w:rsidRPr="00C54B13" w:rsidRDefault="00C54B13" w:rsidP="00C54B13">
            <w:pPr>
              <w:widowControl/>
              <w:adjustRightInd w:val="0"/>
              <w:spacing w:line="320" w:lineRule="atLeast"/>
              <w:ind w:left="60" w:right="60"/>
              <w:jc w:val="center"/>
              <w:rPr>
                <w:rFonts w:eastAsiaTheme="minorHAnsi"/>
                <w:color w:val="000000"/>
                <w:sz w:val="24"/>
                <w:szCs w:val="24"/>
                <w:lang w:val="en-IN"/>
              </w:rPr>
            </w:pPr>
            <w:r w:rsidRPr="00C54B13">
              <w:rPr>
                <w:rFonts w:eastAsiaTheme="minorHAnsi"/>
                <w:color w:val="000000"/>
                <w:sz w:val="24"/>
                <w:szCs w:val="24"/>
                <w:lang w:val="en-IN"/>
              </w:rPr>
              <w:t>Total</w:t>
            </w:r>
          </w:p>
        </w:tc>
      </w:tr>
      <w:tr w:rsidR="00C54B13" w:rsidRPr="00C54B13" w14:paraId="56320888" w14:textId="77777777" w:rsidTr="000A79EC">
        <w:trPr>
          <w:cantSplit/>
          <w:trHeight w:val="409"/>
        </w:trPr>
        <w:tc>
          <w:tcPr>
            <w:tcW w:w="1460" w:type="dxa"/>
            <w:vAlign w:val="center"/>
          </w:tcPr>
          <w:p w14:paraId="25E13CD4" w14:textId="77777777" w:rsidR="00C54B13" w:rsidRPr="00C54B13" w:rsidRDefault="00C54B13" w:rsidP="00C54B13">
            <w:pPr>
              <w:widowControl/>
              <w:adjustRightInd w:val="0"/>
              <w:rPr>
                <w:rFonts w:eastAsiaTheme="minorHAnsi"/>
                <w:color w:val="000000"/>
                <w:sz w:val="24"/>
                <w:szCs w:val="24"/>
                <w:lang w:val="en-IN"/>
              </w:rPr>
            </w:pPr>
          </w:p>
        </w:tc>
        <w:tc>
          <w:tcPr>
            <w:tcW w:w="1221" w:type="dxa"/>
            <w:vAlign w:val="center"/>
          </w:tcPr>
          <w:p w14:paraId="4CE74564" w14:textId="77777777" w:rsidR="00C54B13" w:rsidRPr="00C54B13" w:rsidRDefault="00C54B13" w:rsidP="00C54B13">
            <w:pPr>
              <w:widowControl/>
              <w:adjustRightInd w:val="0"/>
              <w:rPr>
                <w:rFonts w:eastAsiaTheme="minorHAnsi"/>
                <w:color w:val="000000"/>
                <w:sz w:val="24"/>
                <w:szCs w:val="24"/>
                <w:lang w:val="en-IN"/>
              </w:rPr>
            </w:pPr>
          </w:p>
        </w:tc>
        <w:tc>
          <w:tcPr>
            <w:tcW w:w="1531" w:type="dxa"/>
            <w:vMerge/>
            <w:shd w:val="clear" w:color="auto" w:fill="FFFFFF"/>
          </w:tcPr>
          <w:p w14:paraId="5F5DE5E4" w14:textId="77777777" w:rsidR="00C54B13" w:rsidRPr="00C54B13" w:rsidRDefault="00C54B13" w:rsidP="00C54B13">
            <w:pPr>
              <w:widowControl/>
              <w:adjustRightInd w:val="0"/>
              <w:rPr>
                <w:rFonts w:eastAsiaTheme="minorHAnsi"/>
                <w:color w:val="000000"/>
                <w:sz w:val="24"/>
                <w:szCs w:val="24"/>
                <w:lang w:val="en-IN"/>
              </w:rPr>
            </w:pPr>
          </w:p>
        </w:tc>
        <w:tc>
          <w:tcPr>
            <w:tcW w:w="2153" w:type="dxa"/>
            <w:shd w:val="clear" w:color="auto" w:fill="FFFFFF"/>
          </w:tcPr>
          <w:p w14:paraId="3049507E" w14:textId="77777777" w:rsidR="00C54B13" w:rsidRPr="00C54B13" w:rsidRDefault="00C54B13" w:rsidP="00C54B13">
            <w:pPr>
              <w:widowControl/>
              <w:adjustRightInd w:val="0"/>
              <w:spacing w:line="320" w:lineRule="atLeast"/>
              <w:ind w:left="60" w:right="60"/>
              <w:jc w:val="center"/>
              <w:rPr>
                <w:rFonts w:eastAsiaTheme="minorHAnsi"/>
                <w:color w:val="000000"/>
                <w:sz w:val="24"/>
                <w:szCs w:val="24"/>
                <w:lang w:val="en-IN"/>
              </w:rPr>
            </w:pPr>
            <w:r w:rsidRPr="00C54B13">
              <w:rPr>
                <w:rFonts w:eastAsiaTheme="minorHAnsi"/>
                <w:color w:val="000000"/>
                <w:sz w:val="24"/>
                <w:szCs w:val="24"/>
                <w:lang w:val="en-IN"/>
              </w:rPr>
              <w:t>Global</w:t>
            </w:r>
          </w:p>
        </w:tc>
        <w:tc>
          <w:tcPr>
            <w:tcW w:w="2155" w:type="dxa"/>
            <w:shd w:val="clear" w:color="auto" w:fill="FFFFFF"/>
          </w:tcPr>
          <w:p w14:paraId="07A1C47F" w14:textId="77777777" w:rsidR="00C54B13" w:rsidRPr="00C54B13" w:rsidRDefault="00C54B13" w:rsidP="00C54B13">
            <w:pPr>
              <w:widowControl/>
              <w:adjustRightInd w:val="0"/>
              <w:spacing w:line="320" w:lineRule="atLeast"/>
              <w:ind w:left="60" w:right="60"/>
              <w:jc w:val="center"/>
              <w:rPr>
                <w:rFonts w:eastAsiaTheme="minorHAnsi"/>
                <w:color w:val="000000"/>
                <w:sz w:val="24"/>
                <w:szCs w:val="24"/>
                <w:lang w:val="en-IN"/>
              </w:rPr>
            </w:pPr>
            <w:r w:rsidRPr="00C54B13">
              <w:rPr>
                <w:rFonts w:eastAsiaTheme="minorHAnsi"/>
                <w:color w:val="000000"/>
                <w:sz w:val="24"/>
                <w:szCs w:val="24"/>
                <w:lang w:val="en-IN"/>
              </w:rPr>
              <w:t>National</w:t>
            </w:r>
          </w:p>
        </w:tc>
        <w:tc>
          <w:tcPr>
            <w:tcW w:w="1583" w:type="dxa"/>
            <w:vMerge/>
            <w:shd w:val="clear" w:color="auto" w:fill="FFFFFF"/>
          </w:tcPr>
          <w:p w14:paraId="63FC03FE" w14:textId="77777777" w:rsidR="00C54B13" w:rsidRPr="00C54B13" w:rsidRDefault="00C54B13" w:rsidP="00C54B13">
            <w:pPr>
              <w:widowControl/>
              <w:adjustRightInd w:val="0"/>
              <w:rPr>
                <w:rFonts w:eastAsiaTheme="minorHAnsi"/>
                <w:color w:val="000000"/>
                <w:sz w:val="24"/>
                <w:szCs w:val="24"/>
                <w:lang w:val="en-IN"/>
              </w:rPr>
            </w:pPr>
          </w:p>
        </w:tc>
      </w:tr>
      <w:tr w:rsidR="00C54B13" w:rsidRPr="00C54B13" w14:paraId="183E6761" w14:textId="77777777" w:rsidTr="000A79EC">
        <w:trPr>
          <w:cantSplit/>
          <w:trHeight w:val="409"/>
        </w:trPr>
        <w:tc>
          <w:tcPr>
            <w:tcW w:w="1460" w:type="dxa"/>
            <w:vMerge w:val="restart"/>
            <w:shd w:val="clear" w:color="auto" w:fill="FFFFFF"/>
            <w:vAlign w:val="center"/>
          </w:tcPr>
          <w:p w14:paraId="587E1A67"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Original</w:t>
            </w:r>
          </w:p>
        </w:tc>
        <w:tc>
          <w:tcPr>
            <w:tcW w:w="1221" w:type="dxa"/>
            <w:vMerge w:val="restart"/>
            <w:shd w:val="clear" w:color="auto" w:fill="FFFFFF"/>
            <w:vAlign w:val="center"/>
          </w:tcPr>
          <w:p w14:paraId="78C7C8D1"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Count</w:t>
            </w:r>
          </w:p>
        </w:tc>
        <w:tc>
          <w:tcPr>
            <w:tcW w:w="1531" w:type="dxa"/>
            <w:shd w:val="clear" w:color="auto" w:fill="FFFFFF"/>
            <w:vAlign w:val="center"/>
          </w:tcPr>
          <w:p w14:paraId="236FED3E"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Global</w:t>
            </w:r>
          </w:p>
        </w:tc>
        <w:tc>
          <w:tcPr>
            <w:tcW w:w="2153" w:type="dxa"/>
            <w:shd w:val="clear" w:color="auto" w:fill="FFFFFF"/>
            <w:vAlign w:val="center"/>
          </w:tcPr>
          <w:p w14:paraId="17ED2BFB"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46</w:t>
            </w:r>
          </w:p>
        </w:tc>
        <w:tc>
          <w:tcPr>
            <w:tcW w:w="2155" w:type="dxa"/>
            <w:shd w:val="clear" w:color="auto" w:fill="FFFFFF"/>
            <w:vAlign w:val="center"/>
          </w:tcPr>
          <w:p w14:paraId="00BD0877"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29</w:t>
            </w:r>
          </w:p>
        </w:tc>
        <w:tc>
          <w:tcPr>
            <w:tcW w:w="1583" w:type="dxa"/>
            <w:shd w:val="clear" w:color="auto" w:fill="FFFFFF"/>
            <w:vAlign w:val="center"/>
          </w:tcPr>
          <w:p w14:paraId="6EFA6D42"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75</w:t>
            </w:r>
          </w:p>
        </w:tc>
      </w:tr>
      <w:tr w:rsidR="00C54B13" w:rsidRPr="00C54B13" w14:paraId="4FA7FB8B" w14:textId="77777777" w:rsidTr="000A79EC">
        <w:trPr>
          <w:cantSplit/>
          <w:trHeight w:val="180"/>
        </w:trPr>
        <w:tc>
          <w:tcPr>
            <w:tcW w:w="1460" w:type="dxa"/>
            <w:vMerge/>
            <w:shd w:val="clear" w:color="auto" w:fill="FFFFFF"/>
            <w:vAlign w:val="center"/>
          </w:tcPr>
          <w:p w14:paraId="2D10B08F" w14:textId="77777777" w:rsidR="00C54B13" w:rsidRPr="00C54B13" w:rsidRDefault="00C54B13" w:rsidP="00C54B13">
            <w:pPr>
              <w:widowControl/>
              <w:adjustRightInd w:val="0"/>
              <w:rPr>
                <w:rFonts w:eastAsiaTheme="minorHAnsi"/>
                <w:color w:val="000000"/>
                <w:sz w:val="24"/>
                <w:szCs w:val="24"/>
                <w:lang w:val="en-IN"/>
              </w:rPr>
            </w:pPr>
          </w:p>
        </w:tc>
        <w:tc>
          <w:tcPr>
            <w:tcW w:w="1221" w:type="dxa"/>
            <w:vMerge/>
            <w:shd w:val="clear" w:color="auto" w:fill="FFFFFF"/>
            <w:vAlign w:val="center"/>
          </w:tcPr>
          <w:p w14:paraId="745219E4" w14:textId="77777777" w:rsidR="00C54B13" w:rsidRPr="00C54B13" w:rsidRDefault="00C54B13" w:rsidP="00C54B13">
            <w:pPr>
              <w:widowControl/>
              <w:adjustRightInd w:val="0"/>
              <w:rPr>
                <w:rFonts w:eastAsiaTheme="minorHAnsi"/>
                <w:color w:val="000000"/>
                <w:sz w:val="24"/>
                <w:szCs w:val="24"/>
                <w:lang w:val="en-IN"/>
              </w:rPr>
            </w:pPr>
          </w:p>
        </w:tc>
        <w:tc>
          <w:tcPr>
            <w:tcW w:w="1531" w:type="dxa"/>
            <w:shd w:val="clear" w:color="auto" w:fill="FFFFFF"/>
            <w:vAlign w:val="center"/>
          </w:tcPr>
          <w:p w14:paraId="0CB825A9"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National</w:t>
            </w:r>
          </w:p>
        </w:tc>
        <w:tc>
          <w:tcPr>
            <w:tcW w:w="2153" w:type="dxa"/>
            <w:shd w:val="clear" w:color="auto" w:fill="FFFFFF"/>
            <w:vAlign w:val="center"/>
          </w:tcPr>
          <w:p w14:paraId="0F89722E"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26</w:t>
            </w:r>
          </w:p>
        </w:tc>
        <w:tc>
          <w:tcPr>
            <w:tcW w:w="2155" w:type="dxa"/>
            <w:shd w:val="clear" w:color="auto" w:fill="FFFFFF"/>
            <w:vAlign w:val="center"/>
          </w:tcPr>
          <w:p w14:paraId="26EE0184"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36</w:t>
            </w:r>
          </w:p>
        </w:tc>
        <w:tc>
          <w:tcPr>
            <w:tcW w:w="1583" w:type="dxa"/>
            <w:shd w:val="clear" w:color="auto" w:fill="FFFFFF"/>
            <w:vAlign w:val="center"/>
          </w:tcPr>
          <w:p w14:paraId="13BCDE47"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62</w:t>
            </w:r>
          </w:p>
        </w:tc>
      </w:tr>
      <w:tr w:rsidR="00C54B13" w:rsidRPr="00C54B13" w14:paraId="38396493" w14:textId="77777777" w:rsidTr="000A79EC">
        <w:trPr>
          <w:cantSplit/>
          <w:trHeight w:val="180"/>
        </w:trPr>
        <w:tc>
          <w:tcPr>
            <w:tcW w:w="1460" w:type="dxa"/>
            <w:vMerge/>
            <w:shd w:val="clear" w:color="auto" w:fill="FFFFFF"/>
            <w:vAlign w:val="center"/>
          </w:tcPr>
          <w:p w14:paraId="7A69F4B6" w14:textId="77777777" w:rsidR="00C54B13" w:rsidRPr="00C54B13" w:rsidRDefault="00C54B13" w:rsidP="00C54B13">
            <w:pPr>
              <w:widowControl/>
              <w:adjustRightInd w:val="0"/>
              <w:rPr>
                <w:rFonts w:eastAsiaTheme="minorHAnsi"/>
                <w:color w:val="000000"/>
                <w:sz w:val="24"/>
                <w:szCs w:val="24"/>
                <w:lang w:val="en-IN"/>
              </w:rPr>
            </w:pPr>
          </w:p>
        </w:tc>
        <w:tc>
          <w:tcPr>
            <w:tcW w:w="1221" w:type="dxa"/>
            <w:vMerge w:val="restart"/>
            <w:shd w:val="clear" w:color="auto" w:fill="FFFFFF"/>
            <w:vAlign w:val="center"/>
          </w:tcPr>
          <w:p w14:paraId="4DDDD590"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w:t>
            </w:r>
          </w:p>
        </w:tc>
        <w:tc>
          <w:tcPr>
            <w:tcW w:w="1531" w:type="dxa"/>
            <w:shd w:val="clear" w:color="auto" w:fill="FFFFFF"/>
            <w:vAlign w:val="center"/>
          </w:tcPr>
          <w:p w14:paraId="5256E16F"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Global</w:t>
            </w:r>
          </w:p>
        </w:tc>
        <w:tc>
          <w:tcPr>
            <w:tcW w:w="2153" w:type="dxa"/>
            <w:shd w:val="clear" w:color="auto" w:fill="FFFFFF"/>
            <w:vAlign w:val="center"/>
          </w:tcPr>
          <w:p w14:paraId="6A133D48"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61.3</w:t>
            </w:r>
          </w:p>
        </w:tc>
        <w:tc>
          <w:tcPr>
            <w:tcW w:w="2155" w:type="dxa"/>
            <w:shd w:val="clear" w:color="auto" w:fill="FFFFFF"/>
            <w:vAlign w:val="center"/>
          </w:tcPr>
          <w:p w14:paraId="7F22EAD0"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38.7</w:t>
            </w:r>
          </w:p>
        </w:tc>
        <w:tc>
          <w:tcPr>
            <w:tcW w:w="1583" w:type="dxa"/>
            <w:shd w:val="clear" w:color="auto" w:fill="FFFFFF"/>
            <w:vAlign w:val="center"/>
          </w:tcPr>
          <w:p w14:paraId="799730D5"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100.0</w:t>
            </w:r>
          </w:p>
        </w:tc>
      </w:tr>
      <w:tr w:rsidR="00C54B13" w:rsidRPr="00C54B13" w14:paraId="7BD85A6C" w14:textId="77777777" w:rsidTr="000A79EC">
        <w:trPr>
          <w:cantSplit/>
          <w:trHeight w:val="180"/>
        </w:trPr>
        <w:tc>
          <w:tcPr>
            <w:tcW w:w="1460" w:type="dxa"/>
            <w:vMerge/>
            <w:shd w:val="clear" w:color="auto" w:fill="FFFFFF"/>
            <w:vAlign w:val="center"/>
          </w:tcPr>
          <w:p w14:paraId="0CD4255C" w14:textId="77777777" w:rsidR="00C54B13" w:rsidRPr="00C54B13" w:rsidRDefault="00C54B13" w:rsidP="00C54B13">
            <w:pPr>
              <w:widowControl/>
              <w:adjustRightInd w:val="0"/>
              <w:rPr>
                <w:rFonts w:eastAsiaTheme="minorHAnsi"/>
                <w:color w:val="000000"/>
                <w:sz w:val="24"/>
                <w:szCs w:val="24"/>
                <w:lang w:val="en-IN"/>
              </w:rPr>
            </w:pPr>
          </w:p>
        </w:tc>
        <w:tc>
          <w:tcPr>
            <w:tcW w:w="1221" w:type="dxa"/>
            <w:vMerge/>
            <w:shd w:val="clear" w:color="auto" w:fill="FFFFFF"/>
            <w:vAlign w:val="center"/>
          </w:tcPr>
          <w:p w14:paraId="41A9F89D" w14:textId="77777777" w:rsidR="00C54B13" w:rsidRPr="00C54B13" w:rsidRDefault="00C54B13" w:rsidP="00C54B13">
            <w:pPr>
              <w:widowControl/>
              <w:adjustRightInd w:val="0"/>
              <w:rPr>
                <w:rFonts w:eastAsiaTheme="minorHAnsi"/>
                <w:color w:val="000000"/>
                <w:sz w:val="24"/>
                <w:szCs w:val="24"/>
                <w:lang w:val="en-IN"/>
              </w:rPr>
            </w:pPr>
          </w:p>
        </w:tc>
        <w:tc>
          <w:tcPr>
            <w:tcW w:w="1531" w:type="dxa"/>
            <w:shd w:val="clear" w:color="auto" w:fill="FFFFFF"/>
            <w:vAlign w:val="center"/>
          </w:tcPr>
          <w:p w14:paraId="30B36FBC" w14:textId="77777777"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National</w:t>
            </w:r>
          </w:p>
        </w:tc>
        <w:tc>
          <w:tcPr>
            <w:tcW w:w="2153" w:type="dxa"/>
            <w:shd w:val="clear" w:color="auto" w:fill="FFFFFF"/>
            <w:vAlign w:val="center"/>
          </w:tcPr>
          <w:p w14:paraId="6ED24AD2"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41.9</w:t>
            </w:r>
          </w:p>
        </w:tc>
        <w:tc>
          <w:tcPr>
            <w:tcW w:w="2155" w:type="dxa"/>
            <w:shd w:val="clear" w:color="auto" w:fill="FFFFFF"/>
            <w:vAlign w:val="center"/>
          </w:tcPr>
          <w:p w14:paraId="148D5E17"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58.1</w:t>
            </w:r>
          </w:p>
        </w:tc>
        <w:tc>
          <w:tcPr>
            <w:tcW w:w="1583" w:type="dxa"/>
            <w:shd w:val="clear" w:color="auto" w:fill="FFFFFF"/>
            <w:vAlign w:val="center"/>
          </w:tcPr>
          <w:p w14:paraId="0E5F5F51" w14:textId="77777777" w:rsidR="00C54B13" w:rsidRPr="00C54B13" w:rsidRDefault="00C54B13" w:rsidP="00C54B13">
            <w:pPr>
              <w:widowControl/>
              <w:adjustRightInd w:val="0"/>
              <w:spacing w:line="320" w:lineRule="atLeast"/>
              <w:ind w:left="60" w:right="60"/>
              <w:jc w:val="right"/>
              <w:rPr>
                <w:rFonts w:eastAsiaTheme="minorHAnsi"/>
                <w:color w:val="000000"/>
                <w:sz w:val="24"/>
                <w:szCs w:val="24"/>
                <w:lang w:val="en-IN"/>
              </w:rPr>
            </w:pPr>
            <w:r w:rsidRPr="00C54B13">
              <w:rPr>
                <w:rFonts w:eastAsiaTheme="minorHAnsi"/>
                <w:color w:val="000000"/>
                <w:sz w:val="24"/>
                <w:szCs w:val="24"/>
                <w:lang w:val="en-IN"/>
              </w:rPr>
              <w:t>100.0</w:t>
            </w:r>
          </w:p>
        </w:tc>
      </w:tr>
      <w:tr w:rsidR="00C54B13" w:rsidRPr="00C54B13" w14:paraId="6758938D" w14:textId="77777777" w:rsidTr="000A79EC">
        <w:trPr>
          <w:cantSplit/>
          <w:trHeight w:val="409"/>
        </w:trPr>
        <w:tc>
          <w:tcPr>
            <w:tcW w:w="10103" w:type="dxa"/>
            <w:gridSpan w:val="6"/>
            <w:shd w:val="clear" w:color="auto" w:fill="FFFFFF"/>
          </w:tcPr>
          <w:p w14:paraId="3611E3AF" w14:textId="52E28472" w:rsidR="00C54B13" w:rsidRPr="00C54B13" w:rsidRDefault="00C54B13" w:rsidP="00C54B13">
            <w:pPr>
              <w:widowControl/>
              <w:adjustRightInd w:val="0"/>
              <w:spacing w:line="320" w:lineRule="atLeast"/>
              <w:ind w:left="60" w:right="60"/>
              <w:rPr>
                <w:rFonts w:eastAsiaTheme="minorHAnsi"/>
                <w:color w:val="000000"/>
                <w:sz w:val="24"/>
                <w:szCs w:val="24"/>
                <w:lang w:val="en-IN"/>
              </w:rPr>
            </w:pPr>
            <w:r w:rsidRPr="00C54B13">
              <w:rPr>
                <w:rFonts w:eastAsiaTheme="minorHAnsi"/>
                <w:color w:val="000000"/>
                <w:sz w:val="24"/>
                <w:szCs w:val="24"/>
                <w:lang w:val="en-IN"/>
              </w:rPr>
              <w:t>a. 59.9% of original</w:t>
            </w:r>
            <w:r w:rsidR="004F326F">
              <w:rPr>
                <w:rFonts w:eastAsiaTheme="minorHAnsi"/>
                <w:color w:val="000000"/>
                <w:sz w:val="24"/>
                <w:szCs w:val="24"/>
                <w:lang w:val="en-IN"/>
              </w:rPr>
              <w:t>ly</w:t>
            </w:r>
            <w:r w:rsidRPr="00C54B13">
              <w:rPr>
                <w:rFonts w:eastAsiaTheme="minorHAnsi"/>
                <w:color w:val="000000"/>
                <w:sz w:val="24"/>
                <w:szCs w:val="24"/>
                <w:lang w:val="en-IN"/>
              </w:rPr>
              <w:t xml:space="preserve"> grouped cases </w:t>
            </w:r>
            <w:r w:rsidR="004F326F">
              <w:rPr>
                <w:rFonts w:eastAsiaTheme="minorHAnsi"/>
                <w:color w:val="000000"/>
                <w:sz w:val="24"/>
                <w:szCs w:val="24"/>
                <w:lang w:val="en-IN"/>
              </w:rPr>
              <w:t xml:space="preserve">were </w:t>
            </w:r>
            <w:r w:rsidRPr="00C54B13">
              <w:rPr>
                <w:rFonts w:eastAsiaTheme="minorHAnsi"/>
                <w:color w:val="000000"/>
                <w:sz w:val="24"/>
                <w:szCs w:val="24"/>
                <w:lang w:val="en-IN"/>
              </w:rPr>
              <w:t>correctly classified.</w:t>
            </w:r>
          </w:p>
        </w:tc>
      </w:tr>
    </w:tbl>
    <w:p w14:paraId="4C218667" w14:textId="6C7F8BC0" w:rsidR="00C54B13" w:rsidRPr="00C54B13" w:rsidRDefault="000A79EC" w:rsidP="000A79EC">
      <w:pPr>
        <w:widowControl/>
        <w:adjustRightInd w:val="0"/>
        <w:spacing w:line="400" w:lineRule="atLeast"/>
        <w:jc w:val="both"/>
        <w:rPr>
          <w:rFonts w:eastAsiaTheme="minorHAnsi"/>
          <w:sz w:val="24"/>
          <w:szCs w:val="24"/>
          <w:lang w:val="en-IN"/>
        </w:rPr>
      </w:pPr>
      <w:r w:rsidRPr="000A79EC">
        <w:rPr>
          <w:rFonts w:eastAsiaTheme="minorHAnsi"/>
          <w:sz w:val="24"/>
          <w:szCs w:val="24"/>
          <w:lang w:val="en-IN"/>
        </w:rPr>
        <w:t>The classification table shows the effectiveness of the discriminant function in correctly predicting group membership.</w:t>
      </w:r>
      <w:r w:rsidRPr="000A79EC">
        <w:t xml:space="preserve"> </w:t>
      </w:r>
      <w:r w:rsidRPr="000A79EC">
        <w:rPr>
          <w:rFonts w:eastAsiaTheme="minorHAnsi"/>
          <w:sz w:val="24"/>
          <w:szCs w:val="24"/>
          <w:lang w:val="en-IN"/>
        </w:rPr>
        <w:t>While the discriminant function is statistically significant, the accuracy of classification (59.9%) suggests that other unmeasured factors may also influence group membership.</w:t>
      </w:r>
      <w:r>
        <w:rPr>
          <w:rFonts w:eastAsiaTheme="minorHAnsi"/>
          <w:sz w:val="24"/>
          <w:szCs w:val="24"/>
          <w:lang w:val="en-IN"/>
        </w:rPr>
        <w:t xml:space="preserve"> </w:t>
      </w:r>
      <w:r w:rsidR="005401DC">
        <w:rPr>
          <w:rFonts w:eastAsiaTheme="minorHAnsi"/>
          <w:sz w:val="24"/>
          <w:szCs w:val="24"/>
          <w:lang w:val="en-IN"/>
        </w:rPr>
        <w:t>Additional variables such as pricing models, sustainability practices, or regional expertise may need to be considered to improve classification accuracy</w:t>
      </w:r>
      <w:r w:rsidRPr="000A79EC">
        <w:rPr>
          <w:rFonts w:eastAsiaTheme="minorHAnsi"/>
          <w:sz w:val="24"/>
          <w:szCs w:val="24"/>
          <w:lang w:val="en-IN"/>
        </w:rPr>
        <w:t>.</w:t>
      </w:r>
    </w:p>
    <w:p w14:paraId="5C8D99D5" w14:textId="77777777" w:rsidR="00B31F79" w:rsidRDefault="00B31F79" w:rsidP="00B31F79">
      <w:pPr>
        <w:spacing w:after="160"/>
        <w:jc w:val="both"/>
        <w:rPr>
          <w:rFonts w:eastAsia="Calibri"/>
          <w:b/>
          <w:kern w:val="2"/>
          <w:lang w:val="en-IN"/>
        </w:rPr>
      </w:pPr>
    </w:p>
    <w:p w14:paraId="6ED185F5" w14:textId="39F3E464" w:rsidR="00B31F79" w:rsidRPr="00B31F79" w:rsidRDefault="00B31F79" w:rsidP="00B31F79">
      <w:pPr>
        <w:spacing w:after="160"/>
        <w:jc w:val="both"/>
        <w:rPr>
          <w:rFonts w:eastAsia="Calibri"/>
          <w:b/>
          <w:kern w:val="2"/>
          <w:sz w:val="24"/>
          <w:szCs w:val="24"/>
          <w:lang w:val="en-IN"/>
        </w:rPr>
      </w:pPr>
      <w:r w:rsidRPr="00B31F79">
        <w:rPr>
          <w:rFonts w:eastAsia="Calibri"/>
          <w:b/>
          <w:kern w:val="2"/>
          <w:sz w:val="24"/>
          <w:szCs w:val="24"/>
          <w:lang w:val="en-IN"/>
        </w:rPr>
        <w:t xml:space="preserve">7. DISCUSSION AND CONCLUSION </w:t>
      </w:r>
    </w:p>
    <w:p w14:paraId="17B91101" w14:textId="09A17D09" w:rsidR="000F001D" w:rsidRDefault="000F001D" w:rsidP="000F001D">
      <w:pPr>
        <w:spacing w:after="240" w:line="360" w:lineRule="auto"/>
        <w:jc w:val="both"/>
        <w:rPr>
          <w:sz w:val="24"/>
          <w:szCs w:val="24"/>
        </w:rPr>
      </w:pPr>
      <w:r>
        <w:rPr>
          <w:rFonts w:eastAsia="SimSun"/>
          <w:color w:val="000000"/>
          <w:sz w:val="24"/>
          <w:szCs w:val="24"/>
          <w:lang w:eastAsia="zh-CN"/>
        </w:rPr>
        <w:t xml:space="preserve">The standard transportation notion is being replaced by the perception that the logistics industry in India is a better way of managing the supply chain and a tool for strategy. This transformation is taking place in the logistics industry. Due to globalization, companies have </w:t>
      </w:r>
      <w:r w:rsidR="005401DC">
        <w:rPr>
          <w:rFonts w:eastAsia="SimSun"/>
          <w:color w:val="000000"/>
          <w:sz w:val="24"/>
          <w:szCs w:val="24"/>
          <w:lang w:eastAsia="zh-CN"/>
        </w:rPr>
        <w:t>concentrated</w:t>
      </w:r>
      <w:r>
        <w:rPr>
          <w:rFonts w:eastAsia="SimSun"/>
          <w:color w:val="000000"/>
          <w:sz w:val="24"/>
          <w:szCs w:val="24"/>
          <w:lang w:eastAsia="zh-CN"/>
        </w:rPr>
        <w:t xml:space="preserve"> more on their core production processes. They have also started to outsource the logistical requirements to logistics service providers, which unquestionably drives the sector to the growth curve. There is reason to be optimistic about the future of third-party logistics (3PL) services in India. Because of the government's investments in the development of freight corridors, ports, and highways, as well as the growing demand from the retail and pharmacy industries and the expansion of e-commerce, the market has reached its highest possible level. In the current period, shippers and individuals working in the logistics industry anticipate </w:t>
      </w:r>
      <w:r w:rsidR="005401DC">
        <w:rPr>
          <w:rFonts w:eastAsia="SimSun"/>
          <w:color w:val="000000"/>
          <w:sz w:val="24"/>
          <w:szCs w:val="24"/>
          <w:lang w:eastAsia="zh-CN"/>
        </w:rPr>
        <w:t>diverse</w:t>
      </w:r>
      <w:r>
        <w:rPr>
          <w:rFonts w:eastAsia="SimSun"/>
          <w:color w:val="000000"/>
          <w:sz w:val="24"/>
          <w:szCs w:val="24"/>
          <w:lang w:eastAsia="zh-CN"/>
        </w:rPr>
        <w:t xml:space="preserve"> services to achieve success in their businesses. These shippers are looking for a service provider who can comprehend the issues appropriate for the industry, products, consumers, and the objectives of their firm. In addition to standard fulfillment and distribution services, the best third-party logistics (3PL) service providers can offer various </w:t>
      </w:r>
      <w:r>
        <w:rPr>
          <w:rFonts w:eastAsia="SimSun"/>
          <w:color w:val="000000"/>
          <w:sz w:val="24"/>
          <w:szCs w:val="24"/>
          <w:lang w:eastAsia="zh-CN"/>
        </w:rPr>
        <w:lastRenderedPageBreak/>
        <w:t xml:space="preserve">extra services and solutions. By using these additional capabilities, including e-commerce storefronts, assistance for contact centers, accounting services, highly customized reports, and printing and mailing services, one may save time and money by removing the difficulties and costs of working with various providers. The third-party logistics industry is experiencing rapid expansion, and many businesses have opted to outsource their logistical operations to third-party logistics providers. There is a great deal of fragmentation in the market for third-party logistics, which is still in its earlier stages. Many businesses are not fully aware of all the duties that a third-party logistics provider performs, and they are also unaware of the benefits that come with specific services that the third-party logistics provider provides. Nevertheless, the market for third-party logistics features a significant amount of untapped potential for expansion. Companies continue to be concerned about outsourcing their logistics operation since there is a lack of trust and awareness among business owners. </w:t>
      </w:r>
    </w:p>
    <w:p w14:paraId="48393A6C" w14:textId="77777777" w:rsidR="00675634" w:rsidRDefault="00675634" w:rsidP="00675634">
      <w:pPr>
        <w:spacing w:line="276" w:lineRule="auto"/>
        <w:jc w:val="both"/>
        <w:rPr>
          <w:b/>
          <w:bCs/>
          <w:sz w:val="24"/>
          <w:szCs w:val="24"/>
        </w:rPr>
      </w:pPr>
      <w:bookmarkStart w:id="1" w:name="_Hlk183788046"/>
      <w:bookmarkStart w:id="2" w:name="_Hlk183859653"/>
      <w:bookmarkStart w:id="3" w:name="_Hlk183891781"/>
      <w:r w:rsidRPr="007031E4">
        <w:rPr>
          <w:b/>
          <w:bCs/>
          <w:sz w:val="24"/>
          <w:szCs w:val="24"/>
        </w:rPr>
        <w:t>REFERENCE</w:t>
      </w:r>
      <w:r>
        <w:rPr>
          <w:b/>
          <w:bCs/>
          <w:sz w:val="24"/>
          <w:szCs w:val="24"/>
        </w:rPr>
        <w:t>S</w:t>
      </w:r>
      <w:bookmarkEnd w:id="1"/>
      <w:bookmarkEnd w:id="2"/>
      <w:bookmarkEnd w:id="3"/>
    </w:p>
    <w:p w14:paraId="56830CB0" w14:textId="77777777" w:rsidR="00675634" w:rsidRPr="00675634" w:rsidRDefault="00675634" w:rsidP="00675634">
      <w:pPr>
        <w:pStyle w:val="NoSpacing"/>
        <w:numPr>
          <w:ilvl w:val="0"/>
          <w:numId w:val="11"/>
        </w:numPr>
        <w:spacing w:line="360" w:lineRule="auto"/>
        <w:jc w:val="both"/>
        <w:rPr>
          <w:sz w:val="24"/>
          <w:szCs w:val="24"/>
        </w:rPr>
      </w:pPr>
      <w:r w:rsidRPr="00675634">
        <w:rPr>
          <w:sz w:val="24"/>
          <w:szCs w:val="24"/>
        </w:rPr>
        <w:t>Aden Iftin Janjane, J. N. M. (2020). Influence of Supply Risk Assessment of third Party Logistics Providers on Performance of Humanitarian Supply Chains: A Case of International Red Cross, Somalia.IRA-International Journal of Management and Social Sciences, 16(3), 105-112.</w:t>
      </w:r>
    </w:p>
    <w:p w14:paraId="7C8A9267" w14:textId="77777777" w:rsidR="00675634" w:rsidRPr="00675634" w:rsidRDefault="00675634" w:rsidP="00675634">
      <w:pPr>
        <w:pStyle w:val="NoSpacing"/>
        <w:numPr>
          <w:ilvl w:val="0"/>
          <w:numId w:val="11"/>
        </w:numPr>
        <w:spacing w:line="360" w:lineRule="auto"/>
        <w:jc w:val="both"/>
        <w:rPr>
          <w:sz w:val="24"/>
          <w:szCs w:val="24"/>
        </w:rPr>
      </w:pPr>
      <w:r w:rsidRPr="00675634">
        <w:rPr>
          <w:sz w:val="24"/>
          <w:szCs w:val="24"/>
        </w:rPr>
        <w:t>Alshboul, M. A. (2023). Rfid Technology Usage Effect on Enhancing Warehouse Internal Processes in the 3Pls Providers: An Empirical Investigation in Jordanian Manufacturing Firms.Uncertain Supply Chain Management, 11(3), 977-990.</w:t>
      </w:r>
    </w:p>
    <w:p w14:paraId="6B1F6AC8" w14:textId="77777777" w:rsidR="00675634" w:rsidRPr="00675634" w:rsidRDefault="00675634" w:rsidP="00675634">
      <w:pPr>
        <w:pStyle w:val="NoSpacing"/>
        <w:numPr>
          <w:ilvl w:val="0"/>
          <w:numId w:val="11"/>
        </w:numPr>
        <w:spacing w:line="360" w:lineRule="auto"/>
        <w:jc w:val="both"/>
        <w:rPr>
          <w:sz w:val="24"/>
          <w:szCs w:val="24"/>
        </w:rPr>
      </w:pPr>
      <w:r w:rsidRPr="00675634">
        <w:rPr>
          <w:sz w:val="24"/>
          <w:szCs w:val="24"/>
        </w:rPr>
        <w:t>Amanor, W., &amp; Lyu, H.-F. 2020. The Impact of E-Commerce on the Performance of Logistic Service Providers in Ghana.Journal of Economics and Sustainable Development, 11(10), 29-</w:t>
      </w:r>
    </w:p>
    <w:p w14:paraId="2F50741E" w14:textId="77777777" w:rsidR="00675634" w:rsidRPr="00675634" w:rsidRDefault="00675634" w:rsidP="00675634">
      <w:pPr>
        <w:pStyle w:val="NoSpacing"/>
        <w:numPr>
          <w:ilvl w:val="0"/>
          <w:numId w:val="11"/>
        </w:numPr>
        <w:spacing w:line="360" w:lineRule="auto"/>
        <w:jc w:val="both"/>
        <w:rPr>
          <w:sz w:val="24"/>
          <w:szCs w:val="24"/>
        </w:rPr>
      </w:pPr>
      <w:r w:rsidRPr="00675634">
        <w:rPr>
          <w:sz w:val="24"/>
          <w:szCs w:val="24"/>
        </w:rPr>
        <w:t>C, T. A., &amp; M, K. 2023. A Comprehensive Framework for Effective Management of Return Policies in Third Party Logistics.Pramana Research Journal, 13(6)</w:t>
      </w:r>
    </w:p>
    <w:p w14:paraId="3C83674F" w14:textId="77777777" w:rsidR="00675634" w:rsidRPr="00675634" w:rsidRDefault="00675634" w:rsidP="00675634">
      <w:pPr>
        <w:pStyle w:val="NoSpacing"/>
        <w:numPr>
          <w:ilvl w:val="0"/>
          <w:numId w:val="11"/>
        </w:numPr>
        <w:spacing w:line="360" w:lineRule="auto"/>
        <w:jc w:val="both"/>
        <w:rPr>
          <w:sz w:val="24"/>
          <w:szCs w:val="24"/>
        </w:rPr>
      </w:pPr>
      <w:r w:rsidRPr="00675634">
        <w:rPr>
          <w:sz w:val="24"/>
          <w:szCs w:val="24"/>
        </w:rPr>
        <w:t>Carlos, R. A., &amp; Silveira, M. R. 2022. The Effects of Dependence on Brazilian Third-Party Logistics Satisfaction.Revista de Administração Contemporânea, 26(1)</w:t>
      </w:r>
    </w:p>
    <w:p w14:paraId="181F1552" w14:textId="77777777" w:rsidR="00675634" w:rsidRPr="00675634" w:rsidRDefault="00675634" w:rsidP="00675634">
      <w:pPr>
        <w:pStyle w:val="NoSpacing"/>
        <w:numPr>
          <w:ilvl w:val="0"/>
          <w:numId w:val="11"/>
        </w:numPr>
        <w:spacing w:line="360" w:lineRule="auto"/>
        <w:jc w:val="both"/>
        <w:rPr>
          <w:color w:val="222222"/>
          <w:sz w:val="24"/>
          <w:szCs w:val="24"/>
          <w:shd w:val="clear" w:color="auto" w:fill="FFFFFF"/>
        </w:rPr>
      </w:pPr>
      <w:r w:rsidRPr="00675634">
        <w:rPr>
          <w:color w:val="222222"/>
          <w:sz w:val="24"/>
          <w:szCs w:val="24"/>
          <w:shd w:val="clear" w:color="auto" w:fill="FFFFFF"/>
        </w:rPr>
        <w:t>Chen, X. X., Xu, P., Li, J. J., Walker, T., &amp; Yang, G. Q. (2022). Decision-making in a retailer-led closed-loop supply chain involving a third-party logistics provider. Journal of Industrial &amp; Management Optimization, 18(2).</w:t>
      </w:r>
    </w:p>
    <w:p w14:paraId="3AB7B94D" w14:textId="77777777" w:rsidR="00675634" w:rsidRPr="00675634" w:rsidRDefault="00675634" w:rsidP="00675634">
      <w:pPr>
        <w:pStyle w:val="NoSpacing"/>
        <w:numPr>
          <w:ilvl w:val="0"/>
          <w:numId w:val="11"/>
        </w:numPr>
        <w:spacing w:line="360" w:lineRule="auto"/>
        <w:jc w:val="both"/>
        <w:rPr>
          <w:sz w:val="24"/>
          <w:szCs w:val="24"/>
        </w:rPr>
      </w:pPr>
      <w:r w:rsidRPr="00675634">
        <w:rPr>
          <w:sz w:val="24"/>
          <w:szCs w:val="24"/>
        </w:rPr>
        <w:t>Jovcic, S., Pruša, P., Samson, J., &amp; Lazarevic, D. 2019. A Fuzzy- Ahp Approach to Evaluate the Criteria of Third -Party Logistics (3pl) Service Provider.International Journal for Traffic and Transport Engineering, 9(3), 280-289.</w:t>
      </w:r>
    </w:p>
    <w:p w14:paraId="354C949E" w14:textId="77777777" w:rsidR="00675634" w:rsidRPr="00675634" w:rsidRDefault="00675634" w:rsidP="00675634">
      <w:pPr>
        <w:pStyle w:val="NoSpacing"/>
        <w:numPr>
          <w:ilvl w:val="0"/>
          <w:numId w:val="11"/>
        </w:numPr>
        <w:spacing w:line="360" w:lineRule="auto"/>
        <w:jc w:val="both"/>
        <w:rPr>
          <w:sz w:val="24"/>
          <w:szCs w:val="24"/>
        </w:rPr>
      </w:pPr>
      <w:r w:rsidRPr="00675634">
        <w:rPr>
          <w:color w:val="222222"/>
          <w:sz w:val="24"/>
          <w:szCs w:val="24"/>
          <w:shd w:val="clear" w:color="auto" w:fill="FFFFFF"/>
        </w:rPr>
        <w:t xml:space="preserve">Jum’a, L., &amp; Basheer, M. E. (2023). Analysis of warehouse value-added services using pareto as a </w:t>
      </w:r>
      <w:r w:rsidRPr="00675634">
        <w:rPr>
          <w:color w:val="222222"/>
          <w:sz w:val="24"/>
          <w:szCs w:val="24"/>
          <w:shd w:val="clear" w:color="auto" w:fill="FFFFFF"/>
        </w:rPr>
        <w:lastRenderedPageBreak/>
        <w:t>quality tool: A case study of third-party logistics service provider. Administrative Sciences, 13(2), 51.</w:t>
      </w:r>
    </w:p>
    <w:p w14:paraId="55EE3C7A" w14:textId="77777777" w:rsidR="00675634" w:rsidRPr="00675634" w:rsidRDefault="00675634" w:rsidP="00675634">
      <w:pPr>
        <w:pStyle w:val="NoSpacing"/>
        <w:numPr>
          <w:ilvl w:val="0"/>
          <w:numId w:val="11"/>
        </w:numPr>
        <w:spacing w:line="360" w:lineRule="auto"/>
        <w:jc w:val="both"/>
        <w:rPr>
          <w:sz w:val="24"/>
          <w:szCs w:val="24"/>
        </w:rPr>
      </w:pPr>
      <w:r w:rsidRPr="00675634">
        <w:rPr>
          <w:sz w:val="24"/>
          <w:szCs w:val="24"/>
        </w:rPr>
        <w:t>Khan, N., Kumari, M., &amp; Divakaran, P. 2021. The Implications of the Covid 19 Outbreak on Third-Party Logistics Providers in Pune.Elementary Education Online, 20(1), 4503-4508.</w:t>
      </w:r>
    </w:p>
    <w:p w14:paraId="2F92EE4F" w14:textId="77777777" w:rsidR="00675634" w:rsidRPr="00675634" w:rsidRDefault="00675634" w:rsidP="00675634">
      <w:pPr>
        <w:pStyle w:val="NoSpacing"/>
        <w:numPr>
          <w:ilvl w:val="0"/>
          <w:numId w:val="11"/>
        </w:numPr>
        <w:spacing w:line="360" w:lineRule="auto"/>
        <w:jc w:val="both"/>
        <w:rPr>
          <w:sz w:val="24"/>
          <w:szCs w:val="24"/>
        </w:rPr>
      </w:pPr>
      <w:r w:rsidRPr="00675634">
        <w:rPr>
          <w:sz w:val="24"/>
          <w:szCs w:val="24"/>
        </w:rPr>
        <w:t>M, R. T., &amp; D, S. 2019. A Study on the Survey of Third Party Logistics Services Companies in Tamilnadu.International Journal of Multidisciplinary Research and Modern Education, 5(1), 154-159.</w:t>
      </w:r>
    </w:p>
    <w:p w14:paraId="32CD2C4F" w14:textId="77777777" w:rsidR="00675634" w:rsidRPr="00675634" w:rsidRDefault="00675634" w:rsidP="00675634">
      <w:pPr>
        <w:pStyle w:val="NoSpacing"/>
        <w:numPr>
          <w:ilvl w:val="0"/>
          <w:numId w:val="11"/>
        </w:numPr>
        <w:spacing w:line="360" w:lineRule="auto"/>
        <w:jc w:val="both"/>
        <w:rPr>
          <w:sz w:val="24"/>
          <w:szCs w:val="24"/>
        </w:rPr>
      </w:pPr>
      <w:r w:rsidRPr="00675634">
        <w:rPr>
          <w:sz w:val="24"/>
          <w:szCs w:val="24"/>
        </w:rPr>
        <w:t>Makmor, M. F. B. M., Saludin, M. N. B., &amp; Saad, M. B. 2019. Best Practices among 3Rd Party Logistics (3PL) Firms in Malaysia towards Logistics Performance.International Journal of Academic Research in Business and Social Sciences, 9(5), 394-405.</w:t>
      </w:r>
    </w:p>
    <w:p w14:paraId="28F312C7" w14:textId="77777777" w:rsidR="00675634" w:rsidRPr="00675634" w:rsidRDefault="00675634" w:rsidP="00675634">
      <w:pPr>
        <w:pStyle w:val="NoSpacing"/>
        <w:numPr>
          <w:ilvl w:val="0"/>
          <w:numId w:val="11"/>
        </w:numPr>
        <w:spacing w:line="360" w:lineRule="auto"/>
        <w:jc w:val="both"/>
        <w:rPr>
          <w:sz w:val="24"/>
          <w:szCs w:val="24"/>
        </w:rPr>
      </w:pPr>
      <w:r w:rsidRPr="00675634">
        <w:rPr>
          <w:color w:val="000000" w:themeColor="text1"/>
          <w:sz w:val="24"/>
          <w:szCs w:val="24"/>
          <w:shd w:val="clear" w:color="auto" w:fill="FFFFFF"/>
        </w:rPr>
        <w:t>Mvubu, M., &amp; Naude, M. (2020). Supply chain risk management strategies: A study of South African third-party logistics providers. Southern African Business Review, 24(1), 1-24.</w:t>
      </w:r>
    </w:p>
    <w:p w14:paraId="465FEFCE" w14:textId="77777777" w:rsidR="00675634" w:rsidRPr="00675634" w:rsidRDefault="00675634" w:rsidP="00675634">
      <w:pPr>
        <w:pStyle w:val="NoSpacing"/>
        <w:numPr>
          <w:ilvl w:val="0"/>
          <w:numId w:val="11"/>
        </w:numPr>
        <w:spacing w:line="360" w:lineRule="auto"/>
        <w:jc w:val="both"/>
        <w:rPr>
          <w:sz w:val="24"/>
          <w:szCs w:val="24"/>
        </w:rPr>
      </w:pPr>
      <w:r w:rsidRPr="00675634">
        <w:rPr>
          <w:sz w:val="24"/>
          <w:szCs w:val="24"/>
        </w:rPr>
        <w:t>Qian, X., Yin, M., Li, X., &amp; Zhang, Q. 2023. Two-Stage Stochastic Nonlinear Winner Determination for Logistics Service Procurement Auctions under Quantity Discounts.Journal of Industrial and Management Optimization, 19(10), 7072-7089.</w:t>
      </w:r>
    </w:p>
    <w:p w14:paraId="697F8FA5" w14:textId="77777777" w:rsidR="00675634" w:rsidRPr="00675634" w:rsidRDefault="00675634" w:rsidP="00675634">
      <w:pPr>
        <w:pStyle w:val="NoSpacing"/>
        <w:numPr>
          <w:ilvl w:val="0"/>
          <w:numId w:val="11"/>
        </w:numPr>
        <w:spacing w:line="360" w:lineRule="auto"/>
        <w:jc w:val="both"/>
        <w:rPr>
          <w:sz w:val="24"/>
          <w:szCs w:val="24"/>
        </w:rPr>
      </w:pPr>
      <w:r w:rsidRPr="00675634">
        <w:rPr>
          <w:sz w:val="24"/>
          <w:szCs w:val="24"/>
        </w:rPr>
        <w:t>Švadlenka, L., Boškovi, S., Jovi, S., Simic, V., Kumar, S., &amp; Zanne, M. 2023. Third-Party Logistics Provider Selection for Sustainable Last-Mile Delivery: A Case Study of E-Shop in Belgrade.Journal of Urban Development and Management, 2(1), 1-13.</w:t>
      </w:r>
    </w:p>
    <w:p w14:paraId="40BEDCE9" w14:textId="77777777" w:rsidR="00675634" w:rsidRPr="00675634" w:rsidRDefault="00675634" w:rsidP="00675634">
      <w:pPr>
        <w:pStyle w:val="NoSpacing"/>
        <w:numPr>
          <w:ilvl w:val="0"/>
          <w:numId w:val="11"/>
        </w:numPr>
        <w:spacing w:line="360" w:lineRule="auto"/>
        <w:jc w:val="both"/>
        <w:rPr>
          <w:sz w:val="24"/>
          <w:szCs w:val="24"/>
        </w:rPr>
      </w:pPr>
      <w:r w:rsidRPr="00675634">
        <w:rPr>
          <w:sz w:val="24"/>
          <w:szCs w:val="24"/>
        </w:rPr>
        <w:t>Vatumalae, V., Rajagopal, P., &amp; Sundram, V. P. K. 2020. Warehouse Management System of a Third Party Logistics Provider in Malaysia.International Journal of Economics and Finance, 12(9), 73.</w:t>
      </w:r>
    </w:p>
    <w:p w14:paraId="752DB8B9" w14:textId="77777777" w:rsidR="00675634" w:rsidRPr="00675634" w:rsidRDefault="00675634" w:rsidP="00675634">
      <w:pPr>
        <w:pStyle w:val="NoSpacing"/>
        <w:numPr>
          <w:ilvl w:val="0"/>
          <w:numId w:val="11"/>
        </w:numPr>
        <w:spacing w:line="360" w:lineRule="auto"/>
        <w:jc w:val="both"/>
        <w:rPr>
          <w:sz w:val="24"/>
          <w:szCs w:val="24"/>
        </w:rPr>
      </w:pPr>
      <w:r w:rsidRPr="00675634">
        <w:rPr>
          <w:sz w:val="24"/>
          <w:szCs w:val="24"/>
        </w:rPr>
        <w:t>Wen, Z., Liao, H., Zavadskas, E. K., &amp; Al-Barakati, A. 2019. Selection Third-Party Logistics Service Providers in Supply Chain Finance by a Hesitant Fuzzy Linguistic Combined Compromise Solution Method.Economic Research, 32(1), 4033-4058.</w:t>
      </w:r>
    </w:p>
    <w:p w14:paraId="7614887D" w14:textId="77777777" w:rsidR="00675634" w:rsidRPr="00675634" w:rsidRDefault="00675634" w:rsidP="00675634">
      <w:pPr>
        <w:pStyle w:val="NoSpacing"/>
        <w:numPr>
          <w:ilvl w:val="0"/>
          <w:numId w:val="11"/>
        </w:numPr>
        <w:spacing w:line="360" w:lineRule="auto"/>
        <w:jc w:val="both"/>
        <w:rPr>
          <w:sz w:val="24"/>
          <w:szCs w:val="24"/>
        </w:rPr>
      </w:pPr>
      <w:r w:rsidRPr="00675634">
        <w:rPr>
          <w:sz w:val="24"/>
          <w:szCs w:val="24"/>
        </w:rPr>
        <w:t>Westhuizen, C. V. D., &amp; Niemann, W. 2022. Strategic Supply Chain Alignment: The Role of third-Party Logistics Service Providers during Disruption Recovery.Journal of Transport and Supply Chain Management, 16(1)</w:t>
      </w:r>
    </w:p>
    <w:p w14:paraId="17F30331" w14:textId="74088609" w:rsidR="006E54A9" w:rsidRPr="00675634" w:rsidRDefault="00675634" w:rsidP="00675634">
      <w:pPr>
        <w:pStyle w:val="NoSpacing"/>
        <w:numPr>
          <w:ilvl w:val="0"/>
          <w:numId w:val="11"/>
        </w:numPr>
        <w:spacing w:line="360" w:lineRule="auto"/>
        <w:jc w:val="both"/>
        <w:rPr>
          <w:sz w:val="24"/>
          <w:szCs w:val="24"/>
        </w:rPr>
      </w:pPr>
      <w:r w:rsidRPr="00675634">
        <w:rPr>
          <w:sz w:val="24"/>
          <w:szCs w:val="24"/>
        </w:rPr>
        <w:t>Zulkiffli, S. N. A., Sebadak, M., Padlee, S. F., &amp; Yusoff, J. M. 2019. A Literature Review of Innovation Capabilities and Business Performance of Third-Party Logistics (3PL) Service Providers in Malaysia.International Journal of Supply Chain Management, 8(2), 1018-1023.</w:t>
      </w:r>
    </w:p>
    <w:sectPr w:rsidR="006E54A9" w:rsidRPr="00675634">
      <w:headerReference w:type="default" r:id="rId8"/>
      <w:pgSz w:w="12240" w:h="15840"/>
      <w:pgMar w:top="1560" w:right="960" w:bottom="1260" w:left="960" w:header="403" w:footer="10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BCFBC" w14:textId="77777777" w:rsidR="00AA6A1D" w:rsidRDefault="00AA6A1D" w:rsidP="00AF5BC7">
      <w:r>
        <w:separator/>
      </w:r>
    </w:p>
  </w:endnote>
  <w:endnote w:type="continuationSeparator" w:id="0">
    <w:p w14:paraId="4D042F24" w14:textId="77777777" w:rsidR="00AA6A1D" w:rsidRDefault="00AA6A1D" w:rsidP="00AF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35BD6" w14:textId="77777777" w:rsidR="00AA6A1D" w:rsidRDefault="00AA6A1D" w:rsidP="00AF5BC7">
      <w:r>
        <w:separator/>
      </w:r>
    </w:p>
  </w:footnote>
  <w:footnote w:type="continuationSeparator" w:id="0">
    <w:p w14:paraId="3A631C03" w14:textId="77777777" w:rsidR="00AA6A1D" w:rsidRDefault="00AA6A1D" w:rsidP="00AF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0A187" w14:textId="77777777" w:rsidR="00AF5BC7" w:rsidRDefault="00AF5BC7">
    <w:pPr>
      <w:pStyle w:val="BodyText"/>
      <w:spacing w:line="14" w:lineRule="auto"/>
      <w:ind w:left="0"/>
      <w:rPr>
        <w:sz w:val="20"/>
      </w:rPr>
    </w:pPr>
    <w:r>
      <w:rPr>
        <w:noProof/>
        <w:lang w:val="en-IN" w:eastAsia="en-IN"/>
      </w:rPr>
      <mc:AlternateContent>
        <mc:Choice Requires="wps">
          <w:drawing>
            <wp:anchor distT="0" distB="0" distL="114300" distR="114300" simplePos="0" relativeHeight="251661312" behindDoc="1" locked="0" layoutInCell="1" allowOverlap="1" wp14:anchorId="4CF75EC7" wp14:editId="48FBC6F8">
              <wp:simplePos x="0" y="0"/>
              <wp:positionH relativeFrom="page">
                <wp:posOffset>6086475</wp:posOffset>
              </wp:positionH>
              <wp:positionV relativeFrom="page">
                <wp:posOffset>466090</wp:posOffset>
              </wp:positionV>
              <wp:extent cx="1019810" cy="342265"/>
              <wp:effectExtent l="0" t="0" r="0" b="0"/>
              <wp:wrapNone/>
              <wp:docPr id="18214719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1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E74A" w14:textId="77777777" w:rsidR="00AF5BC7" w:rsidRDefault="00AF5BC7">
                          <w:pPr>
                            <w:spacing w:before="11"/>
                            <w:ind w:left="20" w:right="1" w:firstLine="856"/>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75EC7" id="_x0000_t202" coordsize="21600,21600" o:spt="202" path="m,l,21600r21600,l21600,xe">
              <v:stroke joinstyle="miter"/>
              <v:path gradientshapeok="t" o:connecttype="rect"/>
            </v:shapetype>
            <v:shape id="Text Box 7" o:spid="_x0000_s1026" type="#_x0000_t202" style="position:absolute;margin-left:479.25pt;margin-top:36.7pt;width:80.3pt;height:2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" filled="f" stroked="f">
              <v:textbox inset="0,0,0,0">
                <w:txbxContent>
                  <w:p w14:paraId="7E0CE74A" w14:textId="77777777" w:rsidR="00AF5BC7" w:rsidRDefault="00AF5BC7">
                    <w:pPr>
                      <w:spacing w:before="11"/>
                      <w:ind w:left="20" w:right="1" w:firstLine="856"/>
                      <w:rPr>
                        <w: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5D8A"/>
    <w:multiLevelType w:val="hybridMultilevel"/>
    <w:tmpl w:val="5DC822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7C7043"/>
    <w:multiLevelType w:val="hybridMultilevel"/>
    <w:tmpl w:val="069AB004"/>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2" w15:restartNumberingAfterBreak="0">
    <w:nsid w:val="38B662B6"/>
    <w:multiLevelType w:val="hybridMultilevel"/>
    <w:tmpl w:val="32AC5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0344623"/>
    <w:multiLevelType w:val="hybridMultilevel"/>
    <w:tmpl w:val="F8F20BD8"/>
    <w:lvl w:ilvl="0" w:tplc="C4DA686C">
      <w:numFmt w:val="bullet"/>
      <w:lvlText w:val=""/>
      <w:lvlJc w:val="left"/>
      <w:pPr>
        <w:ind w:left="840" w:hanging="360"/>
      </w:pPr>
      <w:rPr>
        <w:rFonts w:ascii="Symbol" w:eastAsia="Symbol" w:hAnsi="Symbol" w:cs="Symbol" w:hint="default"/>
        <w:w w:val="169"/>
        <w:sz w:val="22"/>
        <w:szCs w:val="22"/>
        <w:lang w:val="en-US" w:eastAsia="en-US" w:bidi="ar-SA"/>
      </w:rPr>
    </w:lvl>
    <w:lvl w:ilvl="1" w:tplc="4D205572">
      <w:numFmt w:val="bullet"/>
      <w:lvlText w:val="•"/>
      <w:lvlJc w:val="left"/>
      <w:pPr>
        <w:ind w:left="1788" w:hanging="360"/>
      </w:pPr>
      <w:rPr>
        <w:rFonts w:hint="default"/>
        <w:lang w:val="en-US" w:eastAsia="en-US" w:bidi="ar-SA"/>
      </w:rPr>
    </w:lvl>
    <w:lvl w:ilvl="2" w:tplc="52A63682">
      <w:numFmt w:val="bullet"/>
      <w:lvlText w:val="•"/>
      <w:lvlJc w:val="left"/>
      <w:pPr>
        <w:ind w:left="2736" w:hanging="360"/>
      </w:pPr>
      <w:rPr>
        <w:rFonts w:hint="default"/>
        <w:lang w:val="en-US" w:eastAsia="en-US" w:bidi="ar-SA"/>
      </w:rPr>
    </w:lvl>
    <w:lvl w:ilvl="3" w:tplc="8FFA06A8">
      <w:numFmt w:val="bullet"/>
      <w:lvlText w:val="•"/>
      <w:lvlJc w:val="left"/>
      <w:pPr>
        <w:ind w:left="3684" w:hanging="360"/>
      </w:pPr>
      <w:rPr>
        <w:rFonts w:hint="default"/>
        <w:lang w:val="en-US" w:eastAsia="en-US" w:bidi="ar-SA"/>
      </w:rPr>
    </w:lvl>
    <w:lvl w:ilvl="4" w:tplc="9FBEEA9E">
      <w:numFmt w:val="bullet"/>
      <w:lvlText w:val="•"/>
      <w:lvlJc w:val="left"/>
      <w:pPr>
        <w:ind w:left="4632" w:hanging="360"/>
      </w:pPr>
      <w:rPr>
        <w:rFonts w:hint="default"/>
        <w:lang w:val="en-US" w:eastAsia="en-US" w:bidi="ar-SA"/>
      </w:rPr>
    </w:lvl>
    <w:lvl w:ilvl="5" w:tplc="5BB81C6A">
      <w:numFmt w:val="bullet"/>
      <w:lvlText w:val="•"/>
      <w:lvlJc w:val="left"/>
      <w:pPr>
        <w:ind w:left="5580" w:hanging="360"/>
      </w:pPr>
      <w:rPr>
        <w:rFonts w:hint="default"/>
        <w:lang w:val="en-US" w:eastAsia="en-US" w:bidi="ar-SA"/>
      </w:rPr>
    </w:lvl>
    <w:lvl w:ilvl="6" w:tplc="8C7E36D6">
      <w:numFmt w:val="bullet"/>
      <w:lvlText w:val="•"/>
      <w:lvlJc w:val="left"/>
      <w:pPr>
        <w:ind w:left="6528" w:hanging="360"/>
      </w:pPr>
      <w:rPr>
        <w:rFonts w:hint="default"/>
        <w:lang w:val="en-US" w:eastAsia="en-US" w:bidi="ar-SA"/>
      </w:rPr>
    </w:lvl>
    <w:lvl w:ilvl="7" w:tplc="0096EA8A">
      <w:numFmt w:val="bullet"/>
      <w:lvlText w:val="•"/>
      <w:lvlJc w:val="left"/>
      <w:pPr>
        <w:ind w:left="7476" w:hanging="360"/>
      </w:pPr>
      <w:rPr>
        <w:rFonts w:hint="default"/>
        <w:lang w:val="en-US" w:eastAsia="en-US" w:bidi="ar-SA"/>
      </w:rPr>
    </w:lvl>
    <w:lvl w:ilvl="8" w:tplc="3ACC272E">
      <w:numFmt w:val="bullet"/>
      <w:lvlText w:val="•"/>
      <w:lvlJc w:val="left"/>
      <w:pPr>
        <w:ind w:left="8424" w:hanging="360"/>
      </w:pPr>
      <w:rPr>
        <w:rFonts w:hint="default"/>
        <w:lang w:val="en-US" w:eastAsia="en-US" w:bidi="ar-SA"/>
      </w:rPr>
    </w:lvl>
  </w:abstractNum>
  <w:abstractNum w:abstractNumId="4" w15:restartNumberingAfterBreak="0">
    <w:nsid w:val="42A918B7"/>
    <w:multiLevelType w:val="hybridMultilevel"/>
    <w:tmpl w:val="97563312"/>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5" w15:restartNumberingAfterBreak="0">
    <w:nsid w:val="480D5539"/>
    <w:multiLevelType w:val="hybridMultilevel"/>
    <w:tmpl w:val="50E282DE"/>
    <w:lvl w:ilvl="0" w:tplc="25F488C0">
      <w:start w:val="1"/>
      <w:numFmt w:val="decimal"/>
      <w:lvlText w:val="%1."/>
      <w:lvlJc w:val="left"/>
      <w:pPr>
        <w:ind w:left="751" w:hanging="360"/>
      </w:pPr>
      <w:rPr>
        <w:rFonts w:ascii="Times New Roman" w:eastAsia="Times New Roman" w:hAnsi="Times New Roman" w:cs="Times New Roman" w:hint="default"/>
        <w:w w:val="100"/>
        <w:sz w:val="22"/>
        <w:szCs w:val="22"/>
        <w:lang w:val="en-US" w:eastAsia="en-US" w:bidi="ar-SA"/>
      </w:rPr>
    </w:lvl>
    <w:lvl w:ilvl="1" w:tplc="B9A46EE0">
      <w:numFmt w:val="bullet"/>
      <w:lvlText w:val="•"/>
      <w:lvlJc w:val="left"/>
      <w:pPr>
        <w:ind w:left="1716" w:hanging="360"/>
      </w:pPr>
      <w:rPr>
        <w:rFonts w:hint="default"/>
        <w:lang w:val="en-US" w:eastAsia="en-US" w:bidi="ar-SA"/>
      </w:rPr>
    </w:lvl>
    <w:lvl w:ilvl="2" w:tplc="F1F87660">
      <w:numFmt w:val="bullet"/>
      <w:lvlText w:val="•"/>
      <w:lvlJc w:val="left"/>
      <w:pPr>
        <w:ind w:left="2672" w:hanging="360"/>
      </w:pPr>
      <w:rPr>
        <w:rFonts w:hint="default"/>
        <w:lang w:val="en-US" w:eastAsia="en-US" w:bidi="ar-SA"/>
      </w:rPr>
    </w:lvl>
    <w:lvl w:ilvl="3" w:tplc="C8A03072">
      <w:numFmt w:val="bullet"/>
      <w:lvlText w:val="•"/>
      <w:lvlJc w:val="left"/>
      <w:pPr>
        <w:ind w:left="3628" w:hanging="360"/>
      </w:pPr>
      <w:rPr>
        <w:rFonts w:hint="default"/>
        <w:lang w:val="en-US" w:eastAsia="en-US" w:bidi="ar-SA"/>
      </w:rPr>
    </w:lvl>
    <w:lvl w:ilvl="4" w:tplc="CECA93DA">
      <w:numFmt w:val="bullet"/>
      <w:lvlText w:val="•"/>
      <w:lvlJc w:val="left"/>
      <w:pPr>
        <w:ind w:left="4584" w:hanging="360"/>
      </w:pPr>
      <w:rPr>
        <w:rFonts w:hint="default"/>
        <w:lang w:val="en-US" w:eastAsia="en-US" w:bidi="ar-SA"/>
      </w:rPr>
    </w:lvl>
    <w:lvl w:ilvl="5" w:tplc="88B05ACC">
      <w:numFmt w:val="bullet"/>
      <w:lvlText w:val="•"/>
      <w:lvlJc w:val="left"/>
      <w:pPr>
        <w:ind w:left="5540" w:hanging="360"/>
      </w:pPr>
      <w:rPr>
        <w:rFonts w:hint="default"/>
        <w:lang w:val="en-US" w:eastAsia="en-US" w:bidi="ar-SA"/>
      </w:rPr>
    </w:lvl>
    <w:lvl w:ilvl="6" w:tplc="96CEFAAA">
      <w:numFmt w:val="bullet"/>
      <w:lvlText w:val="•"/>
      <w:lvlJc w:val="left"/>
      <w:pPr>
        <w:ind w:left="6496" w:hanging="360"/>
      </w:pPr>
      <w:rPr>
        <w:rFonts w:hint="default"/>
        <w:lang w:val="en-US" w:eastAsia="en-US" w:bidi="ar-SA"/>
      </w:rPr>
    </w:lvl>
    <w:lvl w:ilvl="7" w:tplc="EC3AF41E">
      <w:numFmt w:val="bullet"/>
      <w:lvlText w:val="•"/>
      <w:lvlJc w:val="left"/>
      <w:pPr>
        <w:ind w:left="7452" w:hanging="360"/>
      </w:pPr>
      <w:rPr>
        <w:rFonts w:hint="default"/>
        <w:lang w:val="en-US" w:eastAsia="en-US" w:bidi="ar-SA"/>
      </w:rPr>
    </w:lvl>
    <w:lvl w:ilvl="8" w:tplc="C1C8CF96">
      <w:numFmt w:val="bullet"/>
      <w:lvlText w:val="•"/>
      <w:lvlJc w:val="left"/>
      <w:pPr>
        <w:ind w:left="8408" w:hanging="360"/>
      </w:pPr>
      <w:rPr>
        <w:rFonts w:hint="default"/>
        <w:lang w:val="en-US" w:eastAsia="en-US" w:bidi="ar-SA"/>
      </w:rPr>
    </w:lvl>
  </w:abstractNum>
  <w:abstractNum w:abstractNumId="6" w15:restartNumberingAfterBreak="0">
    <w:nsid w:val="4BEB38C0"/>
    <w:multiLevelType w:val="hybridMultilevel"/>
    <w:tmpl w:val="DA5CA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00A39C9"/>
    <w:multiLevelType w:val="hybridMultilevel"/>
    <w:tmpl w:val="4B28AB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21D5126"/>
    <w:multiLevelType w:val="hybridMultilevel"/>
    <w:tmpl w:val="77EC10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5E53C26"/>
    <w:multiLevelType w:val="hybridMultilevel"/>
    <w:tmpl w:val="752230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76817AB7"/>
    <w:multiLevelType w:val="hybridMultilevel"/>
    <w:tmpl w:val="0F7A0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11510671">
    <w:abstractNumId w:val="5"/>
  </w:num>
  <w:num w:numId="2" w16cid:durableId="1025325310">
    <w:abstractNumId w:val="3"/>
  </w:num>
  <w:num w:numId="3" w16cid:durableId="1087579198">
    <w:abstractNumId w:val="8"/>
  </w:num>
  <w:num w:numId="4" w16cid:durableId="973565053">
    <w:abstractNumId w:val="10"/>
  </w:num>
  <w:num w:numId="5" w16cid:durableId="915943211">
    <w:abstractNumId w:val="0"/>
  </w:num>
  <w:num w:numId="6" w16cid:durableId="158346179">
    <w:abstractNumId w:val="7"/>
  </w:num>
  <w:num w:numId="7" w16cid:durableId="29302075">
    <w:abstractNumId w:val="6"/>
  </w:num>
  <w:num w:numId="8" w16cid:durableId="1808818927">
    <w:abstractNumId w:val="1"/>
  </w:num>
  <w:num w:numId="9" w16cid:durableId="565725223">
    <w:abstractNumId w:val="4"/>
  </w:num>
  <w:num w:numId="10" w16cid:durableId="926114631">
    <w:abstractNumId w:val="9"/>
  </w:num>
  <w:num w:numId="11" w16cid:durableId="1329017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1NDS1NLc0MzcyNLRQ0lEKTi0uzszPAykwrAUAnMRQECwAAAA="/>
  </w:docVars>
  <w:rsids>
    <w:rsidRoot w:val="00AF5BC7"/>
    <w:rsid w:val="000A183C"/>
    <w:rsid w:val="000A79EC"/>
    <w:rsid w:val="000F001D"/>
    <w:rsid w:val="001032AA"/>
    <w:rsid w:val="001267C8"/>
    <w:rsid w:val="0018544C"/>
    <w:rsid w:val="001B662D"/>
    <w:rsid w:val="004E4C1D"/>
    <w:rsid w:val="004F326F"/>
    <w:rsid w:val="005401DC"/>
    <w:rsid w:val="005458CE"/>
    <w:rsid w:val="00675634"/>
    <w:rsid w:val="006E54A9"/>
    <w:rsid w:val="007A4142"/>
    <w:rsid w:val="007B0E4B"/>
    <w:rsid w:val="007C31D6"/>
    <w:rsid w:val="008244B9"/>
    <w:rsid w:val="00826500"/>
    <w:rsid w:val="008F60E0"/>
    <w:rsid w:val="008F67D0"/>
    <w:rsid w:val="00937854"/>
    <w:rsid w:val="00963AB1"/>
    <w:rsid w:val="00A31244"/>
    <w:rsid w:val="00A72E1F"/>
    <w:rsid w:val="00AA379A"/>
    <w:rsid w:val="00AA6A1D"/>
    <w:rsid w:val="00AF5BC7"/>
    <w:rsid w:val="00B31F79"/>
    <w:rsid w:val="00C22A4A"/>
    <w:rsid w:val="00C54B13"/>
    <w:rsid w:val="00C86B4F"/>
    <w:rsid w:val="00D16CE9"/>
    <w:rsid w:val="00E975D5"/>
    <w:rsid w:val="00EA68B9"/>
    <w:rsid w:val="00EB66B8"/>
    <w:rsid w:val="00F213F6"/>
    <w:rsid w:val="00F472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5856C"/>
  <w15:chartTrackingRefBased/>
  <w15:docId w15:val="{33771E19-4E7E-4A1D-8544-7EC095A1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C7"/>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AF5BC7"/>
    <w:pPr>
      <w:spacing w:line="250" w:lineRule="exact"/>
      <w:ind w:left="12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BC7"/>
    <w:rPr>
      <w:rFonts w:ascii="Times New Roman" w:eastAsia="Times New Roman" w:hAnsi="Times New Roman" w:cs="Times New Roman"/>
      <w:b/>
      <w:bCs/>
      <w:lang w:val="en-US"/>
    </w:rPr>
  </w:style>
  <w:style w:type="paragraph" w:styleId="BodyText">
    <w:name w:val="Body Text"/>
    <w:basedOn w:val="Normal"/>
    <w:link w:val="BodyTextChar"/>
    <w:uiPriority w:val="1"/>
    <w:qFormat/>
    <w:rsid w:val="00AF5BC7"/>
    <w:pPr>
      <w:ind w:left="120"/>
    </w:pPr>
  </w:style>
  <w:style w:type="character" w:customStyle="1" w:styleId="BodyTextChar">
    <w:name w:val="Body Text Char"/>
    <w:basedOn w:val="DefaultParagraphFont"/>
    <w:link w:val="BodyText"/>
    <w:uiPriority w:val="1"/>
    <w:rsid w:val="00AF5BC7"/>
    <w:rPr>
      <w:rFonts w:ascii="Times New Roman" w:eastAsia="Times New Roman" w:hAnsi="Times New Roman" w:cs="Times New Roman"/>
      <w:lang w:val="en-US"/>
    </w:rPr>
  </w:style>
  <w:style w:type="paragraph" w:styleId="ListParagraph">
    <w:name w:val="List Paragraph"/>
    <w:basedOn w:val="Normal"/>
    <w:link w:val="ListParagraphChar"/>
    <w:uiPriority w:val="34"/>
    <w:qFormat/>
    <w:rsid w:val="00AF5BC7"/>
    <w:pPr>
      <w:ind w:left="840" w:hanging="360"/>
    </w:pPr>
  </w:style>
  <w:style w:type="paragraph" w:customStyle="1" w:styleId="TableParagraph">
    <w:name w:val="Table Paragraph"/>
    <w:basedOn w:val="Normal"/>
    <w:uiPriority w:val="1"/>
    <w:qFormat/>
    <w:rsid w:val="00AF5BC7"/>
  </w:style>
  <w:style w:type="paragraph" w:customStyle="1" w:styleId="Default">
    <w:name w:val="Default"/>
    <w:rsid w:val="00AF5BC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irst-token">
    <w:name w:val="first-token"/>
    <w:basedOn w:val="DefaultParagraphFont"/>
    <w:rsid w:val="00AF5BC7"/>
  </w:style>
  <w:style w:type="paragraph" w:styleId="NormalWeb">
    <w:name w:val="Normal (Web)"/>
    <w:basedOn w:val="Normal"/>
    <w:uiPriority w:val="99"/>
    <w:unhideWhenUsed/>
    <w:rsid w:val="00AF5BC7"/>
    <w:pPr>
      <w:widowControl/>
      <w:autoSpaceDE/>
      <w:autoSpaceDN/>
      <w:spacing w:before="100" w:beforeAutospacing="1" w:after="100" w:afterAutospacing="1"/>
    </w:pPr>
    <w:rPr>
      <w:sz w:val="24"/>
      <w:szCs w:val="24"/>
      <w:lang w:val="en-IN" w:eastAsia="en-IN"/>
    </w:rPr>
  </w:style>
  <w:style w:type="paragraph" w:styleId="Header">
    <w:name w:val="header"/>
    <w:basedOn w:val="Normal"/>
    <w:link w:val="HeaderChar"/>
    <w:uiPriority w:val="99"/>
    <w:unhideWhenUsed/>
    <w:rsid w:val="00AF5BC7"/>
    <w:pPr>
      <w:tabs>
        <w:tab w:val="center" w:pos="4513"/>
        <w:tab w:val="right" w:pos="9026"/>
      </w:tabs>
    </w:pPr>
  </w:style>
  <w:style w:type="character" w:customStyle="1" w:styleId="HeaderChar">
    <w:name w:val="Header Char"/>
    <w:basedOn w:val="DefaultParagraphFont"/>
    <w:link w:val="Header"/>
    <w:uiPriority w:val="99"/>
    <w:rsid w:val="00AF5BC7"/>
    <w:rPr>
      <w:rFonts w:ascii="Times New Roman" w:eastAsia="Times New Roman" w:hAnsi="Times New Roman" w:cs="Times New Roman"/>
      <w:lang w:val="en-US"/>
    </w:rPr>
  </w:style>
  <w:style w:type="paragraph" w:styleId="Footer">
    <w:name w:val="footer"/>
    <w:basedOn w:val="Normal"/>
    <w:link w:val="FooterChar"/>
    <w:uiPriority w:val="99"/>
    <w:unhideWhenUsed/>
    <w:rsid w:val="00AF5BC7"/>
    <w:pPr>
      <w:tabs>
        <w:tab w:val="center" w:pos="4513"/>
        <w:tab w:val="right" w:pos="9026"/>
      </w:tabs>
    </w:pPr>
  </w:style>
  <w:style w:type="character" w:customStyle="1" w:styleId="FooterChar">
    <w:name w:val="Footer Char"/>
    <w:basedOn w:val="DefaultParagraphFont"/>
    <w:link w:val="Footer"/>
    <w:uiPriority w:val="99"/>
    <w:rsid w:val="00AF5BC7"/>
    <w:rPr>
      <w:rFonts w:ascii="Times New Roman" w:eastAsia="Times New Roman" w:hAnsi="Times New Roman" w:cs="Times New Roman"/>
      <w:lang w:val="en-US"/>
    </w:rPr>
  </w:style>
  <w:style w:type="table" w:styleId="TableGrid">
    <w:name w:val="Table Grid"/>
    <w:basedOn w:val="TableNormal"/>
    <w:uiPriority w:val="39"/>
    <w:rsid w:val="00A72E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A4142"/>
    <w:rPr>
      <w:b/>
      <w:bCs/>
    </w:rPr>
  </w:style>
  <w:style w:type="character" w:customStyle="1" w:styleId="ListParagraphChar">
    <w:name w:val="List Paragraph Char"/>
    <w:link w:val="ListParagraph"/>
    <w:uiPriority w:val="34"/>
    <w:locked/>
    <w:rsid w:val="006E54A9"/>
    <w:rPr>
      <w:rFonts w:ascii="Times New Roman" w:eastAsia="Times New Roman" w:hAnsi="Times New Roman" w:cs="Times New Roman"/>
      <w:lang w:val="en-US"/>
    </w:rPr>
  </w:style>
  <w:style w:type="paragraph" w:styleId="NoSpacing">
    <w:name w:val="No Spacing"/>
    <w:uiPriority w:val="1"/>
    <w:qFormat/>
    <w:rsid w:val="00EA68B9"/>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EA68B9"/>
    <w:rPr>
      <w:color w:val="0563C1" w:themeColor="hyperlink"/>
      <w:u w:val="single"/>
    </w:rPr>
  </w:style>
  <w:style w:type="character" w:styleId="UnresolvedMention">
    <w:name w:val="Unresolved Mention"/>
    <w:basedOn w:val="DefaultParagraphFont"/>
    <w:uiPriority w:val="99"/>
    <w:semiHidden/>
    <w:unhideWhenUsed/>
    <w:rsid w:val="00EA6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709469">
      <w:bodyDiv w:val="1"/>
      <w:marLeft w:val="0"/>
      <w:marRight w:val="0"/>
      <w:marTop w:val="0"/>
      <w:marBottom w:val="0"/>
      <w:divBdr>
        <w:top w:val="none" w:sz="0" w:space="0" w:color="auto"/>
        <w:left w:val="none" w:sz="0" w:space="0" w:color="auto"/>
        <w:bottom w:val="none" w:sz="0" w:space="0" w:color="auto"/>
        <w:right w:val="none" w:sz="0" w:space="0" w:color="auto"/>
      </w:divBdr>
    </w:div>
    <w:div w:id="637993393">
      <w:bodyDiv w:val="1"/>
      <w:marLeft w:val="0"/>
      <w:marRight w:val="0"/>
      <w:marTop w:val="0"/>
      <w:marBottom w:val="0"/>
      <w:divBdr>
        <w:top w:val="none" w:sz="0" w:space="0" w:color="auto"/>
        <w:left w:val="none" w:sz="0" w:space="0" w:color="auto"/>
        <w:bottom w:val="none" w:sz="0" w:space="0" w:color="auto"/>
        <w:right w:val="none" w:sz="0" w:space="0" w:color="auto"/>
      </w:divBdr>
    </w:div>
    <w:div w:id="990215803">
      <w:bodyDiv w:val="1"/>
      <w:marLeft w:val="0"/>
      <w:marRight w:val="0"/>
      <w:marTop w:val="0"/>
      <w:marBottom w:val="0"/>
      <w:divBdr>
        <w:top w:val="none" w:sz="0" w:space="0" w:color="auto"/>
        <w:left w:val="none" w:sz="0" w:space="0" w:color="auto"/>
        <w:bottom w:val="none" w:sz="0" w:space="0" w:color="auto"/>
        <w:right w:val="none" w:sz="0" w:space="0" w:color="auto"/>
      </w:divBdr>
    </w:div>
    <w:div w:id="185672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meed.kan@measiim.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F695DD-A6E8-4C0F-99B8-513E7098DFF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106</TotalTime>
  <Pages>9</Pages>
  <Words>3097</Words>
  <Characters>18832</Characters>
  <Application>Microsoft Office Word</Application>
  <DocSecurity>0</DocSecurity>
  <Lines>384</Lines>
  <Paragraphs>192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Appu A</cp:lastModifiedBy>
  <cp:revision>34</cp:revision>
  <dcterms:created xsi:type="dcterms:W3CDTF">2024-05-10T19:22:00Z</dcterms:created>
  <dcterms:modified xsi:type="dcterms:W3CDTF">2024-12-02T06:01:00Z</dcterms:modified>
</cp:coreProperties>
</file>