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13D93" w14:textId="4CADDAFD" w:rsidR="0062609B" w:rsidRDefault="00613423" w:rsidP="002407F4">
      <w:pPr>
        <w:jc w:val="center"/>
        <w:rPr>
          <w:rFonts w:ascii="Times New Roman" w:hAnsi="Times New Roman" w:cs="Times New Roman"/>
          <w:sz w:val="28"/>
          <w:szCs w:val="28"/>
        </w:rPr>
      </w:pPr>
      <w:r w:rsidRPr="002407F4">
        <w:rPr>
          <w:rFonts w:ascii="Times New Roman" w:hAnsi="Times New Roman" w:cs="Times New Roman"/>
          <w:sz w:val="28"/>
          <w:szCs w:val="28"/>
        </w:rPr>
        <w:t>GREEN MICROEMULSIONS: SUSTAINABLE APPROACHES AND EMERGING INDUSTRIAL APPLICATIONS</w:t>
      </w:r>
    </w:p>
    <w:p w14:paraId="695EEF60" w14:textId="33C6DD08" w:rsidR="002407F4" w:rsidRPr="002407F4" w:rsidRDefault="002407F4" w:rsidP="002407F4">
      <w:pPr>
        <w:jc w:val="center"/>
        <w:rPr>
          <w:rFonts w:ascii="Times New Roman" w:hAnsi="Times New Roman" w:cs="Times New Roman"/>
          <w:b/>
          <w:bCs/>
          <w:sz w:val="24"/>
          <w:szCs w:val="24"/>
        </w:rPr>
      </w:pPr>
      <w:r w:rsidRPr="002407F4">
        <w:rPr>
          <w:rFonts w:ascii="Times New Roman" w:hAnsi="Times New Roman" w:cs="Times New Roman"/>
          <w:b/>
          <w:bCs/>
          <w:sz w:val="24"/>
          <w:szCs w:val="24"/>
        </w:rPr>
        <w:t>Harshal Patil</w:t>
      </w:r>
      <w:r w:rsidR="00C123BE">
        <w:rPr>
          <w:rFonts w:ascii="Times New Roman" w:hAnsi="Times New Roman" w:cs="Times New Roman"/>
          <w:b/>
          <w:bCs/>
          <w:sz w:val="24"/>
          <w:szCs w:val="24"/>
        </w:rPr>
        <w:t xml:space="preserve"> </w:t>
      </w:r>
      <w:r w:rsidR="00C123BE" w:rsidRPr="00C123BE">
        <w:rPr>
          <w:rFonts w:ascii="Times New Roman" w:hAnsi="Times New Roman" w:cs="Times New Roman"/>
          <w:b/>
          <w:bCs/>
          <w:sz w:val="24"/>
          <w:szCs w:val="24"/>
          <w:vertAlign w:val="superscript"/>
        </w:rPr>
        <w:t>1</w:t>
      </w:r>
      <w:r w:rsidRPr="002407F4">
        <w:rPr>
          <w:rFonts w:ascii="Times New Roman" w:hAnsi="Times New Roman" w:cs="Times New Roman"/>
          <w:b/>
          <w:bCs/>
          <w:sz w:val="24"/>
          <w:szCs w:val="24"/>
        </w:rPr>
        <w:t xml:space="preserve"> and Jyotsna Waghmare</w:t>
      </w:r>
      <w:r w:rsidR="00C123BE">
        <w:rPr>
          <w:rFonts w:ascii="Times New Roman" w:hAnsi="Times New Roman" w:cs="Times New Roman"/>
          <w:b/>
          <w:bCs/>
          <w:sz w:val="24"/>
          <w:szCs w:val="24"/>
          <w:vertAlign w:val="superscript"/>
        </w:rPr>
        <w:t>2</w:t>
      </w:r>
    </w:p>
    <w:p w14:paraId="7CD3D6A9" w14:textId="5D89B263" w:rsidR="00C123BE" w:rsidRPr="00C123BE" w:rsidRDefault="00C123BE" w:rsidP="00C123BE">
      <w:pPr>
        <w:jc w:val="center"/>
        <w:rPr>
          <w:rFonts w:ascii="Times New Roman" w:hAnsi="Times New Roman" w:cs="Times New Roman"/>
        </w:rPr>
      </w:pPr>
      <w:r w:rsidRPr="00C123BE">
        <w:rPr>
          <w:rFonts w:ascii="Times New Roman" w:hAnsi="Times New Roman" w:cs="Times New Roman"/>
          <w:vertAlign w:val="superscript"/>
        </w:rPr>
        <w:t>1</w:t>
      </w:r>
      <w:r>
        <w:rPr>
          <w:rFonts w:ascii="Times New Roman" w:hAnsi="Times New Roman" w:cs="Times New Roman"/>
        </w:rPr>
        <w:t>,</w:t>
      </w:r>
      <w:r w:rsidRPr="00C123BE">
        <w:rPr>
          <w:rFonts w:ascii="Times New Roman" w:hAnsi="Times New Roman" w:cs="Times New Roman"/>
          <w:vertAlign w:val="superscript"/>
        </w:rPr>
        <w:t>2</w:t>
      </w:r>
      <w:r w:rsidRPr="00C123BE">
        <w:rPr>
          <w:rFonts w:ascii="Times New Roman" w:hAnsi="Times New Roman" w:cs="Times New Roman"/>
        </w:rPr>
        <w:t>Department of Oils, Oleochemicals and Surfactant Technology</w:t>
      </w:r>
    </w:p>
    <w:p w14:paraId="2990D4B0" w14:textId="73A1D661" w:rsidR="007A4BF3" w:rsidRDefault="00C123BE" w:rsidP="00C123BE">
      <w:pPr>
        <w:jc w:val="center"/>
        <w:rPr>
          <w:rFonts w:ascii="Times New Roman" w:hAnsi="Times New Roman" w:cs="Times New Roman"/>
        </w:rPr>
      </w:pPr>
      <w:r w:rsidRPr="00C123BE">
        <w:rPr>
          <w:rFonts w:ascii="Times New Roman" w:hAnsi="Times New Roman" w:cs="Times New Roman"/>
          <w:vertAlign w:val="superscript"/>
        </w:rPr>
        <w:t>1,2</w:t>
      </w:r>
      <w:r w:rsidRPr="00C123BE">
        <w:rPr>
          <w:rFonts w:ascii="Times New Roman" w:hAnsi="Times New Roman" w:cs="Times New Roman"/>
        </w:rPr>
        <w:t>Institute of Chemical Technology (ICT), Nathalal Parikh Marg, Matunga (E), Mumbai-400019, Maharashtra. India.</w:t>
      </w:r>
    </w:p>
    <w:p w14:paraId="790AD13A" w14:textId="77777777" w:rsidR="00C123BE" w:rsidRDefault="00C123BE" w:rsidP="00C123BE">
      <w:pPr>
        <w:jc w:val="center"/>
        <w:rPr>
          <w:rFonts w:ascii="Times New Roman" w:hAnsi="Times New Roman" w:cs="Times New Roman"/>
        </w:rPr>
      </w:pPr>
    </w:p>
    <w:p w14:paraId="4C0D93F9" w14:textId="77777777" w:rsidR="0007614D" w:rsidRDefault="0007614D" w:rsidP="00A43D34">
      <w:pPr>
        <w:jc w:val="both"/>
      </w:pPr>
      <w:r w:rsidRPr="001E51F3">
        <w:rPr>
          <w:rFonts w:ascii="Times New Roman" w:hAnsi="Times New Roman" w:cs="Times New Roman"/>
          <w:b/>
          <w:bCs/>
          <w:color w:val="000000" w:themeColor="text1"/>
          <w:sz w:val="24"/>
          <w:szCs w:val="24"/>
        </w:rPr>
        <w:t>ABSTRACT</w:t>
      </w:r>
      <w:r w:rsidRPr="00A43D34">
        <w:t xml:space="preserve"> </w:t>
      </w:r>
    </w:p>
    <w:p w14:paraId="2B2520CC" w14:textId="45E3B7C3" w:rsidR="007A4BF3" w:rsidRDefault="00A43D34" w:rsidP="00A43D34">
      <w:pPr>
        <w:jc w:val="both"/>
      </w:pPr>
      <w:r w:rsidRPr="005556A3">
        <w:rPr>
          <w:rFonts w:ascii="Times New Roman" w:hAnsi="Times New Roman" w:cs="Times New Roman"/>
          <w:sz w:val="20"/>
          <w:szCs w:val="20"/>
        </w:rPr>
        <w:t>Green microemulsions are a novel type of microemulsion that have been studied in the recent past with various environmental benefits when compared to the current microemulsions employed in various industries. Such microemulsions are free from petroleum surfactants since they incorporate oils, naturally occurring surfactants, and other suitable environmentally friendly surfactants and cosurfactants. In turn, this changes how things are done by reducing the carbon footprint, reducing toxicity and increasing biodegradability. Green microemulsions are proved to perform efficiently in a variety of areas, such as active ingredients delivery systems, with focused applications within the cosmetic, food, agricultural, and pharmaceutical industries, where they enhance stability, provide effective active ingredients delivery and active ingredients bioavailability. The production of these formulations also addresses the growing demand for environmentally friendly products by providing a way for businesses to respond to customer requirements without compromising on the product's efficacy. This paper presents the processes involved in the production of green microemulsions, the advantages of using green microemulsions as well as the possible new areas where they can be used</w:t>
      </w:r>
      <w:r w:rsidRPr="00A43D34">
        <w:t>.</w:t>
      </w:r>
    </w:p>
    <w:p w14:paraId="29BEC5F8" w14:textId="77777777" w:rsidR="005556A3" w:rsidRDefault="005556A3" w:rsidP="005556A3">
      <w:pPr>
        <w:jc w:val="both"/>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Keywords:</w:t>
      </w:r>
      <w:r w:rsidR="00B00C0C" w:rsidRPr="00B00C0C">
        <w:t xml:space="preserve">  </w:t>
      </w:r>
      <w:r w:rsidRPr="005556A3">
        <w:rPr>
          <w:rFonts w:ascii="Times New Roman" w:hAnsi="Times New Roman" w:cs="Times New Roman"/>
          <w:sz w:val="20"/>
          <w:szCs w:val="20"/>
        </w:rPr>
        <w:t>G</w:t>
      </w:r>
      <w:r w:rsidR="00B00C0C" w:rsidRPr="005556A3">
        <w:rPr>
          <w:rFonts w:ascii="Times New Roman" w:hAnsi="Times New Roman" w:cs="Times New Roman"/>
          <w:sz w:val="20"/>
          <w:szCs w:val="20"/>
        </w:rPr>
        <w:t>reen microemulsions</w:t>
      </w:r>
      <w:r w:rsidRPr="005556A3">
        <w:rPr>
          <w:rFonts w:ascii="Times New Roman" w:hAnsi="Times New Roman" w:cs="Times New Roman"/>
          <w:sz w:val="20"/>
          <w:szCs w:val="20"/>
        </w:rPr>
        <w:t xml:space="preserve">, </w:t>
      </w:r>
      <w:r w:rsidR="00B00C0C" w:rsidRPr="00B00C0C">
        <w:rPr>
          <w:rFonts w:ascii="Times New Roman" w:hAnsi="Times New Roman" w:cs="Times New Roman"/>
          <w:sz w:val="20"/>
          <w:szCs w:val="20"/>
        </w:rPr>
        <w:t>Sustainable formulations</w:t>
      </w:r>
      <w:r w:rsidRPr="005556A3">
        <w:rPr>
          <w:rFonts w:ascii="Times New Roman" w:hAnsi="Times New Roman" w:cs="Times New Roman"/>
          <w:sz w:val="20"/>
          <w:szCs w:val="20"/>
        </w:rPr>
        <w:t xml:space="preserve">, </w:t>
      </w:r>
      <w:r w:rsidR="00B00C0C" w:rsidRPr="00B00C0C">
        <w:rPr>
          <w:rFonts w:ascii="Times New Roman" w:hAnsi="Times New Roman" w:cs="Times New Roman"/>
          <w:sz w:val="20"/>
          <w:szCs w:val="20"/>
        </w:rPr>
        <w:t xml:space="preserve">Bio-based </w:t>
      </w:r>
      <w:r w:rsidRPr="00B00C0C">
        <w:rPr>
          <w:rFonts w:ascii="Times New Roman" w:hAnsi="Times New Roman" w:cs="Times New Roman"/>
          <w:sz w:val="20"/>
          <w:szCs w:val="20"/>
        </w:rPr>
        <w:t>surfactants</w:t>
      </w:r>
      <w:r w:rsidRPr="005556A3">
        <w:rPr>
          <w:rFonts w:ascii="Times New Roman" w:hAnsi="Times New Roman" w:cs="Times New Roman"/>
          <w:sz w:val="20"/>
          <w:szCs w:val="20"/>
        </w:rPr>
        <w:t>, Environmental</w:t>
      </w:r>
      <w:r w:rsidR="00B00C0C" w:rsidRPr="00B00C0C">
        <w:rPr>
          <w:rFonts w:ascii="Times New Roman" w:hAnsi="Times New Roman" w:cs="Times New Roman"/>
          <w:sz w:val="20"/>
          <w:szCs w:val="20"/>
        </w:rPr>
        <w:t xml:space="preserve"> </w:t>
      </w:r>
      <w:r w:rsidRPr="00B00C0C">
        <w:rPr>
          <w:rFonts w:ascii="Times New Roman" w:hAnsi="Times New Roman" w:cs="Times New Roman"/>
          <w:sz w:val="20"/>
          <w:szCs w:val="20"/>
        </w:rPr>
        <w:t>applications</w:t>
      </w:r>
      <w:r w:rsidRPr="005556A3">
        <w:rPr>
          <w:rFonts w:ascii="Times New Roman" w:hAnsi="Times New Roman" w:cs="Times New Roman"/>
          <w:sz w:val="20"/>
          <w:szCs w:val="20"/>
        </w:rPr>
        <w:t>,</w:t>
      </w:r>
      <w:r>
        <w:rPr>
          <w:rFonts w:ascii="Times New Roman" w:hAnsi="Times New Roman" w:cs="Times New Roman"/>
          <w:sz w:val="20"/>
          <w:szCs w:val="20"/>
        </w:rPr>
        <w:t xml:space="preserve">  </w:t>
      </w:r>
    </w:p>
    <w:p w14:paraId="13128CCD" w14:textId="2FB2A7D7" w:rsidR="007A4BF3" w:rsidRDefault="005556A3" w:rsidP="005556A3">
      <w:pPr>
        <w:jc w:val="both"/>
      </w:pPr>
      <w:r>
        <w:rPr>
          <w:rFonts w:ascii="Times New Roman" w:hAnsi="Times New Roman" w:cs="Times New Roman"/>
          <w:sz w:val="20"/>
          <w:szCs w:val="20"/>
        </w:rPr>
        <w:t xml:space="preserve">                    </w:t>
      </w:r>
      <w:r w:rsidR="00B00C0C" w:rsidRPr="005556A3">
        <w:rPr>
          <w:rFonts w:ascii="Times New Roman" w:hAnsi="Times New Roman" w:cs="Times New Roman"/>
          <w:sz w:val="20"/>
          <w:szCs w:val="20"/>
        </w:rPr>
        <w:t>Eco-friendly technology</w:t>
      </w:r>
    </w:p>
    <w:p w14:paraId="3E396D67" w14:textId="77777777" w:rsidR="00246B26" w:rsidRDefault="00246B26"/>
    <w:p w14:paraId="15C02D0D" w14:textId="0C33AB83" w:rsidR="00246B26" w:rsidRPr="005867C7" w:rsidRDefault="00163CB7" w:rsidP="005867C7">
      <w:pPr>
        <w:pStyle w:val="ListParagraph"/>
        <w:numPr>
          <w:ilvl w:val="0"/>
          <w:numId w:val="3"/>
        </w:numPr>
        <w:rPr>
          <w:b/>
          <w:bCs/>
        </w:rPr>
      </w:pPr>
      <w:r w:rsidRPr="005867C7">
        <w:rPr>
          <w:rFonts w:ascii="Times New Roman" w:hAnsi="Times New Roman" w:cs="Times New Roman"/>
          <w:b/>
          <w:bCs/>
          <w:color w:val="000000" w:themeColor="text1"/>
          <w:sz w:val="24"/>
          <w:szCs w:val="24"/>
        </w:rPr>
        <w:t xml:space="preserve">INTRODUCTION </w:t>
      </w:r>
    </w:p>
    <w:p w14:paraId="1A80F498" w14:textId="77777777" w:rsidR="00C91E9E" w:rsidRDefault="00C91E9E" w:rsidP="00C91E9E">
      <w:pPr>
        <w:pStyle w:val="ListParagraph"/>
        <w:rPr>
          <w:b/>
          <w:bCs/>
        </w:rPr>
      </w:pPr>
    </w:p>
    <w:p w14:paraId="4DEB9D69" w14:textId="0BD8D1F9" w:rsidR="00C91E9E" w:rsidRPr="000C38F2" w:rsidRDefault="002407F4" w:rsidP="000C38F2">
      <w:pPr>
        <w:pStyle w:val="ListParagraph"/>
        <w:jc w:val="both"/>
        <w:rPr>
          <w:rFonts w:ascii="Times New Roman" w:hAnsi="Times New Roman" w:cs="Times New Roman"/>
          <w:sz w:val="20"/>
          <w:szCs w:val="20"/>
        </w:rPr>
      </w:pPr>
      <w:r w:rsidRPr="000C38F2">
        <w:rPr>
          <w:rFonts w:ascii="Times New Roman" w:hAnsi="Times New Roman" w:cs="Times New Roman"/>
          <w:sz w:val="20"/>
          <w:szCs w:val="20"/>
        </w:rPr>
        <w:t>Microemulsions are a novel and significant achievement in the field of liquid dispersion having the unique properties of being thermodynamically stable and optically clear. They are made mostly of two normally immiscible liquids, which are usually oil and water, in which a special interfacial film made up of surfactants and co-surfactants holds them together. This peculiar structure distinguishes them from ordinary emulsions and other colloidal systems. These systems have several unique benefits in their pharmaceutical and industrial uses. The fact that they can be formed spontaneously would render complex manufacturing processes unnecessary, making them ideal for large scale use. Their intrinsic thermodynamic stability avoids many separation problems associated with the more standard emulsions and suspensions. As for drug development and related applications, microemulsions can be used as drug carriers, especially for the delivery of hydrophobic substances, which usually are difficult to solubilize. Improved bioavailability of therapeutic compounds can be achieved through the enhanced solubilization capacity of microemulsions making them valuable in drug delivery systems. Manufacturing simplicity, stability, and enhancement of drug delivery system</w:t>
      </w:r>
      <w:r w:rsidR="000C38F2">
        <w:rPr>
          <w:rFonts w:ascii="Times New Roman" w:hAnsi="Times New Roman" w:cs="Times New Roman"/>
          <w:sz w:val="20"/>
          <w:szCs w:val="20"/>
        </w:rPr>
        <w:t xml:space="preserve"> </w:t>
      </w:r>
      <w:r w:rsidR="00C91E9E" w:rsidRPr="000C38F2">
        <w:rPr>
          <w:rFonts w:ascii="Times New Roman" w:hAnsi="Times New Roman" w:cs="Times New Roman"/>
          <w:sz w:val="20"/>
          <w:szCs w:val="20"/>
        </w:rPr>
        <w:t>.</w:t>
      </w:r>
      <w:r w:rsidR="00AA49C6" w:rsidRPr="000C38F2">
        <w:rPr>
          <w:rFonts w:ascii="Times New Roman" w:hAnsi="Times New Roman" w:cs="Times New Roman"/>
          <w:sz w:val="20"/>
          <w:szCs w:val="20"/>
        </w:rPr>
        <w:fldChar w:fldCharType="begin"/>
      </w:r>
      <w:r w:rsidR="00E30102" w:rsidRPr="000C38F2">
        <w:rPr>
          <w:rFonts w:ascii="Times New Roman" w:hAnsi="Times New Roman" w:cs="Times New Roman"/>
          <w:sz w:val="20"/>
          <w:szCs w:val="20"/>
        </w:rPr>
        <w:instrText xml:space="preserve"> ADDIN ZOTERO_ITEM CSL_CITATION {"citationID":"TEGrH1qE","properties":{"formattedCitation":"[1], [2], [3]","plainCitation":"[1], [2], [3]","noteIndex":0},"citationItems":[{"id":21,"uris":["http://zotero.org/users/14718816/items/6ES3E6N4"],"itemData":{"id":21,"type":"article-journal","abstract":"In the designing of topical formulations of highly lipophilic drugs the clinical efficacy is compromised by their low aqueous solubility resulting in poor drug penetration through skin. Among the different innovative approaches that have been suggested for enhancing the penetration of lipophilic drugs through topical administration, microemulsions have shown better results. The microemulsion is a promising vehicle due to powerful ability to deliver drug through skin and large solubilizing capacities of lipophilic, hydrophilic and amphiphilic drug candidates. A microemulsion one of the pharmaceutical interests for new drug delivery is normally composed of oil, water surfactant and cosurfactant. Microemulsion can be defined as a transparent and clear solution obtained by titrating a normal coarse emulsion with medium chain alcohols to the point of clarity.","language":"en","source":"Zotero","title":"A Mini-Review : Microemulsion as the Novel Carrier for Topical Drug Delivery","author":[{"family":"Singh","given":"Lakshyaveer"},{"family":"Mishra","given":"Saurabh"},{"family":"Kumar","given":"Kaushal"}]}},{"id":9,"uris":["http://zotero.org/users/14718816/items/XMCLL2KV"],"itemData":{"id":9,"type":"article-journal","container-title":"Green Chemistry","DOI":"10.1039/c2gc35035a","ISSN":"1463-9262, 1463-9270","issue":"7","journalAbbreviation":"Green Chem.","language":"en","page":"2017","source":"DOI.org (Crossref)","title":"Microemulsions with renewable feedstock oils","volume":"14","author":[{"family":"Klossek","given":"Michael L."},{"family":"Touraud","given":"Didier"},{"family":"Kunz","given":"Werner"}],"issued":{"date-parts":[["2012"]]}}},{"id":31,"uris":["http://zotero.org/users/14718816/items/33VWSBNY"],"itemData":{"id":31,"type":"article-journal","abstract":"Microemulsions, comprising oil, water and a surfactant, in association with some cosurfactant, are thermodynamically stable systems. They have found applications in a large number of chemical and pharmacological processes due to their unique properties such as large interfacial area, low interfacial tension, and most importantly, the ability to solubilize and deliver hydrophobic drugs. In addition to the oral and intravenous route, they are suitable for drug delivery through the ophthalmic, vaginal, pulmonary, dental, and topical routes. This review highlights the properties and several recent developments in the use of microemulsions for medical treatment purposes including targeted drug delivery.","container-title":"Frontiers in Nanotechnology","DOI":"10.3389/fnano.2021.754889","ISSN":"2673-3013","journalAbbreviation":"Front. Nanotechnol.","language":"en","page":"754889","source":"DOI.org (Crossref)","title":"Microemulsions: Unique Properties, Pharmacological Applications, and Targeted Drug Delivery","title-short":"Microemulsions","volume":"3","author":[{"family":"Suhail","given":"Nida"},{"family":"Alzahrani","given":"A. Khuzaim"},{"family":"Basha","given":"W. Jamith"},{"family":"Kizilbash","given":"Nadeem"},{"family":"Zaidi","given":"Arsalan"},{"family":"Ambreen","given":"Jaweria"},{"family":"Khachfe","given":"Hassan M."}],"issued":{"date-parts":[["2021",11,12]]}}}],"schema":"https://github.com/citation-style-language/schema/raw/master/csl-citation.json"} </w:instrText>
      </w:r>
      <w:r w:rsidR="00AA49C6" w:rsidRPr="000C38F2">
        <w:rPr>
          <w:rFonts w:ascii="Times New Roman" w:hAnsi="Times New Roman" w:cs="Times New Roman"/>
          <w:sz w:val="20"/>
          <w:szCs w:val="20"/>
        </w:rPr>
        <w:fldChar w:fldCharType="separate"/>
      </w:r>
      <w:r w:rsidR="002F6667" w:rsidRPr="002F6667">
        <w:rPr>
          <w:rFonts w:ascii="Times New Roman" w:hAnsi="Times New Roman" w:cs="Times New Roman"/>
          <w:sz w:val="20"/>
        </w:rPr>
        <w:t>[1], [2], [3]</w:t>
      </w:r>
      <w:r w:rsidR="00AA49C6" w:rsidRPr="000C38F2">
        <w:rPr>
          <w:rFonts w:ascii="Times New Roman" w:hAnsi="Times New Roman" w:cs="Times New Roman"/>
          <w:sz w:val="20"/>
          <w:szCs w:val="20"/>
        </w:rPr>
        <w:fldChar w:fldCharType="end"/>
      </w:r>
      <w:r w:rsidR="00C91E9E" w:rsidRPr="000C38F2">
        <w:rPr>
          <w:rFonts w:ascii="Times New Roman" w:hAnsi="Times New Roman" w:cs="Times New Roman"/>
          <w:sz w:val="20"/>
          <w:szCs w:val="20"/>
        </w:rPr>
        <w:t xml:space="preserve"> This unique structure sets them apart from traditional emulsions and other colloidal systems. These systems offer several distinct advantages in pharmaceutical and industrial applications. In pharmaceutical applications, microemulsions excel as drug carriers, particularly for hydrophobic drugs that typically present solubility challenges. The enhanced solubilization capacity of microemulsions directly translates to improved bioavailability of therapeutic compounds, making them invaluable in drug delivery systems. The combination of simple manufacturing requirements, stability, and enhanced drug delivery capabilities makes microemulsions an increasingly important tool in modern pharmaceutical formulation and other industrial applications</w:t>
      </w:r>
      <w:r w:rsidR="00C91E9E" w:rsidRPr="000C38F2">
        <w:rPr>
          <w:rFonts w:ascii="Times New Roman" w:hAnsi="Times New Roman" w:cs="Times New Roman"/>
          <w:b/>
          <w:bCs/>
          <w:sz w:val="20"/>
          <w:szCs w:val="20"/>
        </w:rPr>
        <w:t>.</w:t>
      </w:r>
      <w:r w:rsidR="00E30102" w:rsidRPr="000C38F2">
        <w:rPr>
          <w:rFonts w:ascii="Times New Roman" w:hAnsi="Times New Roman" w:cs="Times New Roman"/>
          <w:b/>
          <w:bCs/>
          <w:sz w:val="20"/>
          <w:szCs w:val="20"/>
        </w:rPr>
        <w:fldChar w:fldCharType="begin"/>
      </w:r>
      <w:r w:rsidR="00E30102" w:rsidRPr="000C38F2">
        <w:rPr>
          <w:rFonts w:ascii="Times New Roman" w:hAnsi="Times New Roman" w:cs="Times New Roman"/>
          <w:b/>
          <w:bCs/>
          <w:sz w:val="20"/>
          <w:szCs w:val="20"/>
        </w:rPr>
        <w:instrText xml:space="preserve"> ADDIN ZOTERO_ITEM CSL_CITATION {"citationID":"FwzlQjL5","properties":{"formattedCitation":"[3], [4], [5]","plainCitation":"[3], [4], [5]","noteIndex":0},"citationItems":[{"id":31,"uris":["http://zotero.org/users/14718816/items/33VWSBNY"],"itemData":{"id":31,"type":"article-journal","abstract":"Microemulsions, comprising oil, water and a surfactant, in association with some cosurfactant, are thermodynamically stable systems. They have found applications in a large number of chemical and pharmacological processes due to their unique properties such as large interfacial area, low interfacial tension, and most importantly, the ability to solubilize and deliver hydrophobic drugs. In addition to the oral and intravenous route, they are suitable for drug delivery through the ophthalmic, vaginal, pulmonary, dental, and topical routes. This review highlights the properties and several recent developments in the use of microemulsions for medical treatment purposes including targeted drug delivery.","container-title":"Frontiers in Nanotechnology","DOI":"10.3389/fnano.2021.754889","ISSN":"2673-3013","journalAbbreviation":"Front. Nanotechnol.","language":"en","page":"754889","source":"DOI.org (Crossref)","title":"Microemulsions: Unique Properties, Pharmacological Applications, and Targeted Drug Delivery","title-short":"Microemulsions","volume":"3","author":[{"family":"Suhail","given":"Nida"},{"family":"Alzahrani","given":"A. Khuzaim"},{"family":"Basha","given":"W. Jamith"},{"family":"Kizilbash","given":"Nadeem"},{"family":"Zaidi","given":"Arsalan"},{"family":"Ambreen","given":"Jaweria"},{"family":"Khachfe","given":"Hassan M."}],"issued":{"date-parts":[["2021",11,12]]}}},{"id":18,"uris":["http://zotero.org/users/14718816/items/8ICWRH25"],"itemData":{"id":18,"type":"article-journal","language":"en","source":"Zotero","title":"A REVIEW ON MICROEMULSION FOR DRUG DELIVERY SYSTEM","author":[{"family":"Wagh","given":"Sagar R"},{"family":"Patil","given":"Mayur B"},{"family":"Musale","given":"Aparna S"},{"family":"Mahajan","given":"Harshal D"},{"family":"Wagh","given":"Rajendra D"}]}},{"id":19,"uris":["http://zotero.org/users/14718816/items/GF3BHYTJ"],"itemData":{"id":19,"type":"article-journal","abstract":"Objective: The aim of the present study was to design novel drug delivery system containing ramipril microemulsion. Ramipril is an antihypertensive drug having very low aqueous solubility and bioavailability. Ramipril microemulsion could be used as a possible alternative to the traditional oral formulation to improve dissolution rate and hence its bioavailability with avoidance of the first-pass metabolism.\nMethods: The microemulsion existence region was determined by constructing pseudoternary phase diagram and prepared by using four components orange oil, tween 80 as a surfactant, propylene glycol as co-surfactant and distilled water as the aqueous phase. The water titration method was employed for its determination. All formulated microemulsion were subjected for visual inspection, centrifugation and stability test. The all stable formulations were selected for further study. The optimized microemulsion formulation B-9 was subjected for various evaluation parameters such as, visual inspection, stability studies, pH, viscosity measurements, electrical conductivity, content uniformity and dye solubility test.\nResults: Results revealed that construction of phase diagram and use of phase titration method was a suitable technique for the preparation of microemulsion as most of the formulations were transparent. It was found that the best microemulsion result was found for ratio 2:1. The results of stress tests conclude that the optimized formulation was both physically and chemically stable for 8 mo. Also, The Fourier transform infrared (FTIR) radiation measurement and Differential scanning calorimetry (DSC) of optimized formulation indicate the compatibility of ramipril with orange oil, surfactant-tween 80 and cosurfactant-propylene glycol. From electrical conductivity 0.283 σ and staining test the prepared optimized formulation B-9 was found to be o/w type of microemulsion. The optimized B-9 formulation showed good viscosity 13.52±0.01cps and pH 3.21±0.02 with highest drug content uniformity was found to be 84.98±0.02 %.\nConclusion: In the present study a satisfactory attempt was made to formulate a novel o/w microemulsion of ramipril which improves the gastrointestinal absorption by raising its water solubility and hence oral bioavailability is also enhanced.","container-title":"International Journal of Applied Pharmaceutics","DOI":"10.22159/ijap.2018v10i5.27415","ISSN":"0975-7058","issue":"5","journalAbbreviation":"Int J App Pharm","language":"en","license":"http://creativecommons.org/licenses/by/4.0/","page":"138","source":"DOI.org (Crossref)","title":"PREPARATION AND EVALUATION OF MICROEMULSION CONTAINING ANTIHYPERTENSIVE DRUG","volume":"10","author":[{"family":"Yadav","given":"Vishal"},{"family":"Jadhav","given":"Prakash"},{"family":"Kanase","given":"Kishor"},{"family":"Bodhe","given":"Anjali"},{"family":"Dombe","given":"Shailaja"}],"issued":{"date-parts":[["2018",9,8]]}}}],"schema":"https://github.com/citation-style-language/schema/raw/master/csl-citation.json"} </w:instrText>
      </w:r>
      <w:r w:rsidR="00E30102" w:rsidRPr="000C38F2">
        <w:rPr>
          <w:rFonts w:ascii="Times New Roman" w:hAnsi="Times New Roman" w:cs="Times New Roman"/>
          <w:b/>
          <w:bCs/>
          <w:sz w:val="20"/>
          <w:szCs w:val="20"/>
        </w:rPr>
        <w:fldChar w:fldCharType="separate"/>
      </w:r>
      <w:r w:rsidR="002F6667" w:rsidRPr="002F6667">
        <w:rPr>
          <w:rFonts w:ascii="Times New Roman" w:hAnsi="Times New Roman" w:cs="Times New Roman"/>
          <w:sz w:val="20"/>
        </w:rPr>
        <w:t>[3], [4], [5]</w:t>
      </w:r>
      <w:r w:rsidR="00E30102" w:rsidRPr="000C38F2">
        <w:rPr>
          <w:rFonts w:ascii="Times New Roman" w:hAnsi="Times New Roman" w:cs="Times New Roman"/>
          <w:b/>
          <w:bCs/>
          <w:sz w:val="20"/>
          <w:szCs w:val="20"/>
        </w:rPr>
        <w:fldChar w:fldCharType="end"/>
      </w:r>
    </w:p>
    <w:p w14:paraId="734F15E8" w14:textId="77777777" w:rsidR="00C91E9E" w:rsidRPr="000C38F2" w:rsidRDefault="00C91E9E" w:rsidP="00B301E0">
      <w:pPr>
        <w:pStyle w:val="ListParagraph"/>
        <w:jc w:val="both"/>
        <w:rPr>
          <w:rFonts w:ascii="Times New Roman" w:hAnsi="Times New Roman" w:cs="Times New Roman"/>
          <w:sz w:val="20"/>
          <w:szCs w:val="20"/>
        </w:rPr>
      </w:pPr>
    </w:p>
    <w:p w14:paraId="6F9FC276" w14:textId="6C9CB3A3" w:rsidR="00B301E0" w:rsidRDefault="0075660D" w:rsidP="009668AF">
      <w:pPr>
        <w:pStyle w:val="ListParagraph"/>
        <w:ind w:firstLine="720"/>
        <w:jc w:val="both"/>
        <w:rPr>
          <w:rFonts w:ascii="Times New Roman" w:hAnsi="Times New Roman" w:cs="Times New Roman"/>
          <w:sz w:val="20"/>
          <w:szCs w:val="20"/>
        </w:rPr>
      </w:pPr>
      <w:r w:rsidRPr="000C38F2">
        <w:rPr>
          <w:rFonts w:ascii="Times New Roman" w:hAnsi="Times New Roman" w:cs="Times New Roman"/>
          <w:sz w:val="20"/>
          <w:szCs w:val="20"/>
        </w:rPr>
        <w:lastRenderedPageBreak/>
        <w:t>Green microemulsions represent a significant advancement in sustainable formulation technology, emerging as a response to growing environmental consciousness and consumer demand for natural products. These innovative systems maintain the beneficial properties of traditional microemulsions while incorporating eco-friendly, biodegradable, and renewable components. Unlike conventional microemulsions that often rely on petroleum-based ingredients, green microemulsions utilize natural oils, bio-based surfactants, and non-toxic co-surfactants derived from renewable resources. This environmentally conscious approach not only reduces the carbon footprint but also addresses concerns about toxicity and environmental persistence.</w:t>
      </w:r>
      <w:r w:rsidR="00E30102" w:rsidRPr="000C38F2">
        <w:rPr>
          <w:rFonts w:ascii="Times New Roman" w:hAnsi="Times New Roman" w:cs="Times New Roman"/>
          <w:sz w:val="20"/>
          <w:szCs w:val="20"/>
        </w:rPr>
        <w:fldChar w:fldCharType="begin"/>
      </w:r>
      <w:r w:rsidR="00E30102" w:rsidRPr="000C38F2">
        <w:rPr>
          <w:rFonts w:ascii="Times New Roman" w:hAnsi="Times New Roman" w:cs="Times New Roman"/>
          <w:sz w:val="20"/>
          <w:szCs w:val="20"/>
        </w:rPr>
        <w:instrText xml:space="preserve"> ADDIN ZOTERO_ITEM CSL_CITATION {"citationID":"cXzTt01A","properties":{"formattedCitation":"[6], [7]","plainCitation":"[6], [7]","noteIndex":0},"citationItems":[{"id":32,"uris":["http://zotero.org/users/14718816/items/TCKVZDB7"],"itemData":{"id":32,"type":"book","abstract":"Intro -- Content -- 1 INTRODUCTION -- 2 FUNDAMENTALS -- 3 WATER CONTAINING FUELS -- 4 COMBUSTION RESULTS -- 5 SUMMARY -- 6 EXPERIMENTAL SECTION -- 7 APPENDIX","edition":"1st ed","event-place":"Göttingen","ISBN":"978-3-95404-912-7","language":"de","number-of-pages":"1","publisher":"Cuvillier Verlag","publisher-place":"Göttingen","source":"K10plus ISBN","title":"“Green” Microemulsions and Nanoemulsions as Alternative Fuels","author":[{"family":"Maleknia","given":"Setareh"}],"issued":{"date-parts":[["2015"]]}}},{"id":20,"uris":["http://zotero.org/users/14718816/items/2LABIK75"],"itemData":{"id":20,"type":"article-journal","abstract":"The management of parasites, insect pests and vectors requests development of novel, eﬀective and eco-friendly tools. The development of resistance towards many drugs and pesticides pushed scientists to look for novel bioactive compounds endowed with multiple modes of action, and with no risk to human health and environment. Several natural products are used as alternative/complementary approaches to manage parasites, insect pests and vectors due to their high eﬃcacy and often limited non-target toxicity. Their encapsulation into nanosystems helps overcome some hurdles related to their physicochemical properties, for instance limited stability and handling, enhancing the overall eﬃcacy. Among diﬀerent nanosystems, micro- and nanoemulsions are easy-to-use systems in terms of preparation and industrial scale-up. Diﬀerent reports support their eﬃcacy against parasites of medical importance, including Leishmania, Plasmodium and Trypanosoma as well as agricultural and stored product insect pests and vectors of human diseases, such as Aedes and Culex mosquitoes. Overall, micro- and nanoemulsions are valid options for developing promising eco-friendly tools in pest and vector management, pending proper ﬁeld validation. Future research on the improvement of technical aspects as well as chronic toxicity experiments on non-target species is needed.","container-title":"Nanomaterials","DOI":"10.3390/nano9091285","ISSN":"2079-4991","issue":"9","journalAbbreviation":"Nanomaterials","language":"en","license":"https://creativecommons.org/licenses/by/4.0/","page":"1285","source":"DOI.org (Crossref)","title":"Green Micro- and Nanoemulsions for Managing Parasites, Vectors and Pests","volume":"9","author":[{"family":"Pavoni","given":"Lucia"},{"family":"Pavela","given":"Roman"},{"family":"Cespi","given":"Marco"},{"family":"Bonacucina","given":"Giulia"},{"family":"Maggi","given":"Filippo"},{"family":"Zeni","given":"Valeria"},{"family":"Canale","given":"Angelo"},{"family":"Lucchi","given":"Andrea"},{"family":"Bruschi","given":"Fabrizio"},{"family":"Benelli","given":"Giovanni"}],"issued":{"date-parts":[["2019",9,9]]}}}],"schema":"https://github.com/citation-style-language/schema/raw/master/csl-citation.json"} </w:instrText>
      </w:r>
      <w:r w:rsidR="00E30102" w:rsidRPr="000C38F2">
        <w:rPr>
          <w:rFonts w:ascii="Times New Roman" w:hAnsi="Times New Roman" w:cs="Times New Roman"/>
          <w:sz w:val="20"/>
          <w:szCs w:val="20"/>
        </w:rPr>
        <w:fldChar w:fldCharType="separate"/>
      </w:r>
      <w:r w:rsidR="002F6667" w:rsidRPr="002F6667">
        <w:rPr>
          <w:rFonts w:ascii="Times New Roman" w:hAnsi="Times New Roman" w:cs="Times New Roman"/>
          <w:sz w:val="20"/>
        </w:rPr>
        <w:t>[6], [7]</w:t>
      </w:r>
      <w:r w:rsidR="00E30102" w:rsidRPr="000C38F2">
        <w:rPr>
          <w:rFonts w:ascii="Times New Roman" w:hAnsi="Times New Roman" w:cs="Times New Roman"/>
          <w:sz w:val="20"/>
          <w:szCs w:val="20"/>
        </w:rPr>
        <w:fldChar w:fldCharType="end"/>
      </w:r>
      <w:r w:rsidRPr="000C38F2">
        <w:rPr>
          <w:rFonts w:ascii="Times New Roman" w:hAnsi="Times New Roman" w:cs="Times New Roman"/>
          <w:sz w:val="20"/>
          <w:szCs w:val="20"/>
        </w:rPr>
        <w:t xml:space="preserve"> The versatility of green microemulsions has led to their widespread adoption in various industries, from pharmaceuticals and cosmetics to food and agriculture, where they offer sustainable alternatives without compromising performance. Their development marks a crucial step toward more sustainable practices in chemical formulations, aligning with global initiatives to protect the environment while meeting modern consumer preferences for natural and safe products. </w:t>
      </w:r>
      <w:r w:rsidR="00B301E0" w:rsidRPr="000C38F2">
        <w:rPr>
          <w:rFonts w:ascii="Times New Roman" w:hAnsi="Times New Roman" w:cs="Times New Roman"/>
          <w:sz w:val="20"/>
          <w:szCs w:val="20"/>
        </w:rPr>
        <w:t>Green microemulsions, in particular, are being developed as environmentally friendly alternatives to conventional formulations.</w:t>
      </w:r>
      <w:r w:rsidR="009668AF" w:rsidRPr="000C38F2">
        <w:rPr>
          <w:rFonts w:ascii="Times New Roman" w:hAnsi="Times New Roman" w:cs="Times New Roman"/>
          <w:sz w:val="20"/>
          <w:szCs w:val="20"/>
        </w:rPr>
        <w:t xml:space="preserve"> </w:t>
      </w:r>
      <w:r w:rsidR="00FD32F4" w:rsidRPr="000C38F2">
        <w:rPr>
          <w:rFonts w:ascii="Times New Roman" w:hAnsi="Times New Roman" w:cs="Times New Roman"/>
          <w:sz w:val="20"/>
          <w:szCs w:val="20"/>
        </w:rPr>
        <w:t xml:space="preserve">Green microemulsions are being explored in various fields, including pesticide formulations, enhanced oil recovery, and biofuel production. In the case of pesticides, water-based microemulsions are being developed as potential alternatives to conventional formulations, offering good insecticidal performance with minimal environmental impact </w:t>
      </w:r>
      <w:r w:rsidR="00823887" w:rsidRPr="000C38F2">
        <w:rPr>
          <w:rFonts w:ascii="Times New Roman" w:hAnsi="Times New Roman" w:cs="Times New Roman"/>
          <w:sz w:val="20"/>
          <w:szCs w:val="20"/>
        </w:rPr>
        <w:fldChar w:fldCharType="begin"/>
      </w:r>
      <w:r w:rsidR="00823887" w:rsidRPr="000C38F2">
        <w:rPr>
          <w:rFonts w:ascii="Times New Roman" w:hAnsi="Times New Roman" w:cs="Times New Roman"/>
          <w:sz w:val="20"/>
          <w:szCs w:val="20"/>
        </w:rPr>
        <w:instrText xml:space="preserve"> ADDIN ZOTERO_ITEM CSL_CITATION {"citationID":"VLaFmLwm","properties":{"formattedCitation":"[8], [9], [10], [11]","plainCitation":"[8], [9], [10], [11]","noteIndex":0},"citationItems":[{"id":41,"uris":["http://zotero.org/users/14718816/items/W7AWHR53"],"itemData":{"id":41,"type":"chapter","abstract":"Microemulsion formulation is among the most suitable carrier for the delivery of bioactive and, therefore, has excellent potential for industrial applications. The microemulsion system is thermodynamically and kinetically stable. Due to the smaller droplet size of the microemulsion system, the bioactive covers a larger surface of the target pest. Botanicals and essential oils, in particular, are green options to control various soil and seed-borne pathogens. Each oil contains several bioactive constituents that practically avoid microbe-resistance against it. Nevertheless, to improve the handling and shelf-life of botanicals, microemulsion formulation is the best option available. The current chapter provides the insight of a microemulsion system and explores the possibility of botanical oil-based biopesticides for a sustainable agroecosystem. We believe that botanical oil microemulsion could be a better alternative to synthetic pesticides and opens a new corridor for the promotion of the greener way of plant protection in India and across the globe.","container-title":"Nano- and Microencapsulation - Techniques and Applications","ISBN":"978-1-83968-348-0","language":"en","license":"https://creativecommons.org/licenses/by/3.0/legalcode","note":"DOI: 10.5772/intechopen.91788","publisher":"IntechOpen","source":"DOI.org (Crossref)","title":"Microemulsion Formulation of Botanical Oils as an Efficient Tool to Provide Sustainable Agricultural Pest Management","URL":"https://www.intechopen.com/books/nano-and-microencapsulation-techniques-and-applications/microemulsion-formulation-of-botanical-oils-as-an-efficient-tool-to-provide-sustainable-agricultural","editor":[{"family":"Abu-Thabit","given":"Nedal"}],"author":[{"family":"Sharma","given":"Abhishek"},{"family":"Dubey","given":"Saurabh"},{"family":"Iqbal","given":"Nusrat"}],"accessed":{"date-parts":[["2024",10,28]]},"issued":{"date-parts":[["2021",1,27]]}}},{"id":8,"uris":["http://zotero.org/users/14718816/items/VL364Y4U"],"itemData":{"id":8,"type":"article-journal","container-title":"Sustainable Chemistry and Pharmacy","DOI":"10.1016/j.scp.2022.100795","ISSN":"23525541","journalAbbreviation":"Sustainable Chemistry and Pharmacy","language":"en","page":"100795","source":"DOI.org (Crossref)","title":"Green microemulsion electrokinetic chromatographic method for simultaneous determination of azelastine and budesonide","volume":"29","author":[{"family":"Zeid","given":"Abdallah M."},{"family":"El-Masry","given":"Amal A."},{"family":"El-Wasseef","given":"Dalia R."},{"family":"Eid","given":"Manal"},{"family":"Shehata","given":"Ihsan A."}],"issued":{"date-parts":[["2022",10]]}}},{"id":39,"uris":["http://zotero.org/users/14718816/items/Z2JANY2H"],"itemData":{"id":39,"type":"article-journal","container-title":"Journal of Colloid and Interface Science","DOI":"10.1016/0021-9797(87)90480-2","ISSN":"00219797","issue":"2","journalAbbreviation":"Journal of Colloid and Interface Science","language":"en","license":"https://www.elsevier.com/tdm/userlicense/1.0/","page":"436-453","source":"DOI.org (Crossref)","title":"How to study microemulsions","volume":"118","author":[{"family":"Kahlweit","given":"M."},{"family":"Strey","given":"R."},{"family":"Haase","given":"D."},{"family":"Kunieda","given":"H."},{"family":"Schmeling","given":"T."},{"family":"Faulhaber","given":"B."},{"family":"Borkovec","given":"M."},{"family":"Eicke","given":"H.-F."},{"family":"Busse","given":"G."},{"family":"Eggers","given":"F."},{"family":"Funck","given":"Th."},{"family":"Richmann","given":"H."},{"family":"Magid","given":"L."},{"family":"Söderman","given":"O."},{"family":"Stilbs","given":"P."},{"family":"Winkler","given":"J."},{"family":"Dittrich","given":"A."},{"family":"Jahn","given":"W."}],"issued":{"date-parts":[["1987",8]]}}},{"id":40,"uris":["http://zotero.org/users/14718816/items/UBB5E79D"],"itemData":{"id":40,"type":"article-journal","abstract":"The realms of existence of “green” microemulsions are reported and their pseudo-ternary phase diagrams as well as electrical conductivities. For the investigations, the model system water/sodium oleate/citronellol/limonene is used. Herein, sodium oleate is the surfactant and citronellol the cosurfactant. The optimal surfactant-to-cosurfactant mass ratio is found to be 1:1. By replacing successively citronellol with ethanol the homogeneous single phase can be extended. At ﬁrst, an anti-percolative behaviour of the system is obtained that can be converted into a percolative one. For low ethanol content microemulsions remain of water-in-oil (w/o) type. With increasing ethanol, between 30 and 90 wt% of ethanol in the blend, the monophasic region is diminished whereas liquid crystalline phases (lamellar and mixed lamellar and cubic ones) extend in the water-rich area. Above 90% the realms of existence of microemulsions are increased again and bicontinuous structures and oil-in-water (o/w) microemulsions were found. For a certain percentage of ethanol (92.5%) in the blend with citronellol and a surfactant + cosurfactant-to-oil ratio equal to or higher than 4:1 a highly water dilutable concentrated microemulsion is formed which can incorporate 99 wt% of water. By adding water rapidly to the waterrich areas of this system, thermodynamically unstable translucid nanoemulsions can occur, which turn into transparent microemulsions with time.","container-title":"Colloids and Surfaces A: Physicochemical and Engineering Aspects","DOI":"10.1016/j.colsurfa.2012.12.061","ISSN":"09277757","journalAbbreviation":"Colloids and Surfaces A: Physicochemical and Engineering Aspects","language":"en","license":"https://www.elsevier.com/tdm/userlicense/1.0/","page":"105-110","source":"DOI.org (Crossref)","title":"Highly water dilutable green microemulsions","volume":"442","author":[{"family":"Klossek","given":"Michael L."},{"family":"Marcus","given":"Julien"},{"family":"Touraud","given":"Didier"},{"family":"Kunz","given":"Werner"}],"issued":{"date-parts":[["2014",2]]}}}],"schema":"https://github.com/citation-style-language/schema/raw/master/csl-citation.json"} </w:instrText>
      </w:r>
      <w:r w:rsidR="00823887" w:rsidRPr="000C38F2">
        <w:rPr>
          <w:rFonts w:ascii="Times New Roman" w:hAnsi="Times New Roman" w:cs="Times New Roman"/>
          <w:sz w:val="20"/>
          <w:szCs w:val="20"/>
        </w:rPr>
        <w:fldChar w:fldCharType="separate"/>
      </w:r>
      <w:r w:rsidR="002F6667" w:rsidRPr="002F6667">
        <w:rPr>
          <w:rFonts w:ascii="Times New Roman" w:hAnsi="Times New Roman" w:cs="Times New Roman"/>
          <w:sz w:val="20"/>
        </w:rPr>
        <w:t>[8], [9], [10], [11]</w:t>
      </w:r>
      <w:r w:rsidR="00823887" w:rsidRPr="000C38F2">
        <w:rPr>
          <w:rFonts w:ascii="Times New Roman" w:hAnsi="Times New Roman" w:cs="Times New Roman"/>
          <w:sz w:val="20"/>
          <w:szCs w:val="20"/>
        </w:rPr>
        <w:fldChar w:fldCharType="end"/>
      </w:r>
      <w:r w:rsidR="00FD32F4" w:rsidRPr="000C38F2">
        <w:rPr>
          <w:rFonts w:ascii="Times New Roman" w:hAnsi="Times New Roman" w:cs="Times New Roman"/>
          <w:sz w:val="20"/>
          <w:szCs w:val="20"/>
        </w:rPr>
        <w:t>. For enhanced oil recovery, environmentally friendly surfactants like Alpha-Olefin Sulfonate (AOS) and Coco Glucoside are being investigated to create Winsor Type-III microemulsions with low interfacial tension</w:t>
      </w:r>
      <w:r w:rsidR="007F1B0E" w:rsidRPr="000C38F2">
        <w:rPr>
          <w:rFonts w:ascii="Times New Roman" w:hAnsi="Times New Roman" w:cs="Times New Roman"/>
          <w:sz w:val="20"/>
          <w:szCs w:val="20"/>
        </w:rPr>
        <w:fldChar w:fldCharType="begin"/>
      </w:r>
      <w:r w:rsidR="00823887" w:rsidRPr="000C38F2">
        <w:rPr>
          <w:rFonts w:ascii="Times New Roman" w:hAnsi="Times New Roman" w:cs="Times New Roman"/>
          <w:sz w:val="20"/>
          <w:szCs w:val="20"/>
        </w:rPr>
        <w:instrText xml:space="preserve"> ADDIN ZOTERO_ITEM CSL_CITATION {"citationID":"ZqsP5J7y","properties":{"formattedCitation":"[12]","plainCitation":"[12]","noteIndex":0},"citationItems":[{"id":34,"uris":["http://zotero.org/users/14718816/items/IGIBNC2I"],"itemData":{"id":34,"type":"article-journal","abstract":"Enhanced oil recovery (EOR) shows great potential in maximizing the recovery of bypassed oil remains unrecovered in the reservoir after applying conventional oil recovery methods. Surfactant injection is a chemical enhanced oil recovery method that can improve the overall displacement efficiency and increase hydrocarbon production. The application of surfactant flooding is challenging due to the complexity of the design. On top of that, most of the utilized surfactants are not environmentally friendly. The formulation of the microemulsion system directly impacts the success of a surfactant injection process. Good understanding on the phase behaviours of the microemulsion system is essential to create Winsor Type-III microemulsion that has the ability to reach ultralow Interfacial Tension (IFT) with the addition of co-surfactant. The performance of the microemulsion also highly depends on factors such as salinity, surfactant type, surfactant concentration, and temperature. Extensive laboratory investigation along with phase behaviour studies are vital in formulating an efficient green microemulsion system for tertiary recovery processes. This project evaluates and presents the performance of anionic surfactant, Alpha-Olefin Sulfonate (AOS), Coco Glucoside, and decane in creating Winsor Type-III microemulsion. The performance of the formulated microemulsions under various salinities, surfactant concentrations, co-surfactant concentrations and temperature are investigated through stages of phase behavior studies to optimize the parameters. The optimized formulation of AOS-Coco Glucoside microemulsion consists of 3 wt% salinity, 1 wt% AOS, and 1 wt% Coco Glucoside as the widest range and maximum volume of Winsor Type-III was observed at this condition. IFT of the microemulsion system was measured at 25°C and 70°C using a spinning drop tensiometer. It is concluded that the formulated microemulsion system with the optimized parameters reaches low IFT instead of ultralow. The temperature has no significant effect on the IFT performance of the formulated microemulsion system, and the critical micelle concentration is determined to be at 0.05 wt% of the aqueous phase.Keywords: Surfactant flooding, microemulsion system, ultralow interfacial tension, environmental friendly surfactants","container-title":"Platform : A Journal of Engineering","DOI":"10.61762/pajevol5iss3art14402","ISSN":"2636-9877, 2600-8424","issue":"3","journalAbbreviation":"paje","license":"http://creativecommons.org/licenses/by-nc-nd/4.0","page":"38","source":"DOI.org (Crossref)","title":"PERFORMANCE EVALUATION OF ALPHA-OLEFIN SULFONATE (AOS), COCO GLUCOSIDE AND DECANE IN CREATING WINSOR TYPE-III MICROEMULSION","volume":"5","author":[{"family":"Kong Zheng Chen","given":"Randy"},{"family":"Chee Wee","given":"Sia"}],"issued":{"date-parts":[["2021",9,30]]}}}],"schema":"https://github.com/citation-style-language/schema/raw/master/csl-citation.json"} </w:instrText>
      </w:r>
      <w:r w:rsidR="007F1B0E" w:rsidRPr="000C38F2">
        <w:rPr>
          <w:rFonts w:ascii="Times New Roman" w:hAnsi="Times New Roman" w:cs="Times New Roman"/>
          <w:sz w:val="20"/>
          <w:szCs w:val="20"/>
        </w:rPr>
        <w:fldChar w:fldCharType="separate"/>
      </w:r>
      <w:r w:rsidR="002F6667" w:rsidRPr="002F6667">
        <w:rPr>
          <w:rFonts w:ascii="Times New Roman" w:hAnsi="Times New Roman" w:cs="Times New Roman"/>
          <w:sz w:val="20"/>
        </w:rPr>
        <w:t>[12]</w:t>
      </w:r>
      <w:r w:rsidR="007F1B0E" w:rsidRPr="000C38F2">
        <w:rPr>
          <w:rFonts w:ascii="Times New Roman" w:hAnsi="Times New Roman" w:cs="Times New Roman"/>
          <w:sz w:val="20"/>
          <w:szCs w:val="20"/>
        </w:rPr>
        <w:fldChar w:fldCharType="end"/>
      </w:r>
      <w:r w:rsidR="00FD32F4" w:rsidRPr="000C38F2">
        <w:rPr>
          <w:rFonts w:ascii="Times New Roman" w:hAnsi="Times New Roman" w:cs="Times New Roman"/>
          <w:sz w:val="20"/>
          <w:szCs w:val="20"/>
        </w:rPr>
        <w:t>. In biofuel applications, sugar-based surfactants are being used to formulate microemulsion biofuels, addressing the high viscosity issues of palm oil while maintaining comparable fuel properties to biodiesel)</w:t>
      </w:r>
      <w:r w:rsidR="007F1B0E" w:rsidRPr="000C38F2">
        <w:rPr>
          <w:rFonts w:ascii="Times New Roman" w:hAnsi="Times New Roman" w:cs="Times New Roman"/>
          <w:sz w:val="20"/>
          <w:szCs w:val="20"/>
        </w:rPr>
        <w:fldChar w:fldCharType="begin"/>
      </w:r>
      <w:r w:rsidR="00823887" w:rsidRPr="000C38F2">
        <w:rPr>
          <w:rFonts w:ascii="Times New Roman" w:hAnsi="Times New Roman" w:cs="Times New Roman"/>
          <w:sz w:val="20"/>
          <w:szCs w:val="20"/>
        </w:rPr>
        <w:instrText xml:space="preserve"> ADDIN ZOTERO_ITEM CSL_CITATION {"citationID":"LDXWk0PY","properties":{"formattedCitation":"[13]","plainCitation":"[13]","noteIndex":0},"citationItems":[{"id":35,"uris":["http://zotero.org/users/14718816/items/JWWZDASC"],"itemData":{"id":35,"type":"article-journal","container-title":"The International Journal of Life Cycle Assessment","DOI":"10.1007/s11367-015-0888-5","ISSN":"0948-3349, 1614-7502","issue":"7","journalAbbreviation":"Int J Life Cycle Assess","language":"en","page":"913-926","source":"DOI.org (Crossref)","title":"Life cycle assessment of palm oil microemulsion-based biofuel","volume":"20","author":[{"family":"Arpornpong","given":"Noulkamol"},{"family":"Sabatini","given":"David A."},{"family":"Khaodhiar","given":"Sutha"},{"family":"Charoensaeng","given":"Ampira"}],"issued":{"date-parts":[["2015",7]]}}}],"schema":"https://github.com/citation-style-language/schema/raw/master/csl-citation.json"} </w:instrText>
      </w:r>
      <w:r w:rsidR="007F1B0E" w:rsidRPr="000C38F2">
        <w:rPr>
          <w:rFonts w:ascii="Times New Roman" w:hAnsi="Times New Roman" w:cs="Times New Roman"/>
          <w:sz w:val="20"/>
          <w:szCs w:val="20"/>
        </w:rPr>
        <w:fldChar w:fldCharType="separate"/>
      </w:r>
      <w:r w:rsidR="002F6667" w:rsidRPr="002F6667">
        <w:rPr>
          <w:rFonts w:ascii="Times New Roman" w:hAnsi="Times New Roman" w:cs="Times New Roman"/>
          <w:sz w:val="20"/>
        </w:rPr>
        <w:t>[13]</w:t>
      </w:r>
      <w:r w:rsidR="007F1B0E" w:rsidRPr="000C38F2">
        <w:rPr>
          <w:rFonts w:ascii="Times New Roman" w:hAnsi="Times New Roman" w:cs="Times New Roman"/>
          <w:sz w:val="20"/>
          <w:szCs w:val="20"/>
        </w:rPr>
        <w:fldChar w:fldCharType="end"/>
      </w:r>
      <w:r w:rsidR="00FD32F4" w:rsidRPr="000C38F2">
        <w:rPr>
          <w:rFonts w:ascii="Times New Roman" w:hAnsi="Times New Roman" w:cs="Times New Roman"/>
          <w:sz w:val="20"/>
          <w:szCs w:val="20"/>
        </w:rPr>
        <w:t>.  In conclusion, green microemulsions offer a promising approach to developing environmentally friendly formulations across various industries. By utilizing biodegradable and less toxic components, these systems can provide effective solutions while minimizing environmental impact. However, challenges remain in optimizing formulations and scaling up production for commercial applications</w:t>
      </w:r>
    </w:p>
    <w:p w14:paraId="524C96F9" w14:textId="77777777" w:rsidR="000C38F2" w:rsidRDefault="000C38F2" w:rsidP="009668AF">
      <w:pPr>
        <w:pStyle w:val="ListParagraph"/>
        <w:ind w:firstLine="720"/>
        <w:jc w:val="both"/>
        <w:rPr>
          <w:rFonts w:ascii="Times New Roman" w:hAnsi="Times New Roman" w:cs="Times New Roman"/>
          <w:sz w:val="20"/>
          <w:szCs w:val="20"/>
        </w:rPr>
      </w:pPr>
    </w:p>
    <w:p w14:paraId="02C3D1A3" w14:textId="77777777" w:rsidR="00723715" w:rsidRPr="00723715" w:rsidRDefault="00723715" w:rsidP="00723715">
      <w:pPr>
        <w:pStyle w:val="ListParagraph"/>
        <w:jc w:val="center"/>
        <w:rPr>
          <w:rFonts w:ascii="Times New Roman" w:hAnsi="Times New Roman" w:cs="Times New Roman"/>
          <w:sz w:val="20"/>
          <w:szCs w:val="20"/>
        </w:rPr>
      </w:pPr>
      <w:r w:rsidRPr="00723715">
        <w:rPr>
          <w:rFonts w:ascii="Times New Roman" w:hAnsi="Times New Roman" w:cs="Times New Roman"/>
          <w:sz w:val="20"/>
          <w:szCs w:val="20"/>
        </w:rPr>
        <w:t>Table 1: - Environmental and Technical Comparison: Traditional vs. Green Microemulsions</w:t>
      </w:r>
    </w:p>
    <w:tbl>
      <w:tblPr>
        <w:tblStyle w:val="TableGrid"/>
        <w:tblW w:w="9477" w:type="dxa"/>
        <w:tblInd w:w="421" w:type="dxa"/>
        <w:tblLayout w:type="fixed"/>
        <w:tblLook w:val="04A0" w:firstRow="1" w:lastRow="0" w:firstColumn="1" w:lastColumn="0" w:noHBand="0" w:noVBand="1"/>
      </w:tblPr>
      <w:tblGrid>
        <w:gridCol w:w="1984"/>
        <w:gridCol w:w="1843"/>
        <w:gridCol w:w="2815"/>
        <w:gridCol w:w="2835"/>
      </w:tblGrid>
      <w:tr w:rsidR="007D3047" w:rsidRPr="00723715" w14:paraId="0636CA47" w14:textId="77777777" w:rsidTr="00723715">
        <w:tc>
          <w:tcPr>
            <w:tcW w:w="1984" w:type="dxa"/>
            <w:hideMark/>
          </w:tcPr>
          <w:p w14:paraId="51E01BFF" w14:textId="77777777" w:rsidR="0028155A" w:rsidRPr="00723715" w:rsidRDefault="0028155A" w:rsidP="007D3047">
            <w:pPr>
              <w:pStyle w:val="ListParagraph"/>
              <w:spacing w:after="160" w:line="259" w:lineRule="auto"/>
              <w:ind w:hanging="698"/>
              <w:jc w:val="center"/>
              <w:rPr>
                <w:rFonts w:ascii="Times New Roman" w:hAnsi="Times New Roman" w:cs="Times New Roman"/>
                <w:b/>
                <w:bCs/>
                <w:sz w:val="20"/>
                <w:szCs w:val="20"/>
              </w:rPr>
            </w:pPr>
            <w:r w:rsidRPr="00723715">
              <w:rPr>
                <w:rFonts w:ascii="Times New Roman" w:hAnsi="Times New Roman" w:cs="Times New Roman"/>
                <w:b/>
                <w:bCs/>
                <w:sz w:val="20"/>
                <w:szCs w:val="20"/>
              </w:rPr>
              <w:t>Category</w:t>
            </w:r>
          </w:p>
        </w:tc>
        <w:tc>
          <w:tcPr>
            <w:tcW w:w="1843" w:type="dxa"/>
            <w:hideMark/>
          </w:tcPr>
          <w:p w14:paraId="1D9EDFEE" w14:textId="77777777" w:rsidR="0028155A" w:rsidRPr="00723715" w:rsidRDefault="0028155A" w:rsidP="007D3047">
            <w:pPr>
              <w:pStyle w:val="ListParagraph"/>
              <w:spacing w:after="160" w:line="259" w:lineRule="auto"/>
              <w:ind w:left="183" w:hanging="183"/>
              <w:jc w:val="center"/>
              <w:rPr>
                <w:rFonts w:ascii="Times New Roman" w:hAnsi="Times New Roman" w:cs="Times New Roman"/>
                <w:b/>
                <w:bCs/>
                <w:sz w:val="20"/>
                <w:szCs w:val="20"/>
              </w:rPr>
            </w:pPr>
            <w:r w:rsidRPr="00723715">
              <w:rPr>
                <w:rFonts w:ascii="Times New Roman" w:hAnsi="Times New Roman" w:cs="Times New Roman"/>
                <w:b/>
                <w:bCs/>
                <w:sz w:val="20"/>
                <w:szCs w:val="20"/>
              </w:rPr>
              <w:t>Sub-Category</w:t>
            </w:r>
          </w:p>
        </w:tc>
        <w:tc>
          <w:tcPr>
            <w:tcW w:w="2815" w:type="dxa"/>
            <w:hideMark/>
          </w:tcPr>
          <w:p w14:paraId="73015C37" w14:textId="1905EFE9" w:rsidR="0028155A" w:rsidRPr="00723715" w:rsidRDefault="007D3047" w:rsidP="007D3047">
            <w:pPr>
              <w:pStyle w:val="ListParagraph"/>
              <w:spacing w:after="160" w:line="259" w:lineRule="auto"/>
              <w:ind w:left="17" w:hanging="283"/>
              <w:jc w:val="center"/>
              <w:rPr>
                <w:rFonts w:ascii="Times New Roman" w:hAnsi="Times New Roman" w:cs="Times New Roman"/>
                <w:b/>
                <w:bCs/>
                <w:sz w:val="20"/>
                <w:szCs w:val="20"/>
              </w:rPr>
            </w:pPr>
            <w:r w:rsidRPr="00723715">
              <w:rPr>
                <w:rFonts w:ascii="Times New Roman" w:hAnsi="Times New Roman" w:cs="Times New Roman"/>
                <w:b/>
                <w:bCs/>
                <w:sz w:val="20"/>
                <w:szCs w:val="20"/>
              </w:rPr>
              <w:t xml:space="preserve">    </w:t>
            </w:r>
            <w:r w:rsidR="0028155A" w:rsidRPr="00723715">
              <w:rPr>
                <w:rFonts w:ascii="Times New Roman" w:hAnsi="Times New Roman" w:cs="Times New Roman"/>
                <w:b/>
                <w:bCs/>
                <w:sz w:val="20"/>
                <w:szCs w:val="20"/>
              </w:rPr>
              <w:t>Traditional Microemulsion</w:t>
            </w:r>
          </w:p>
        </w:tc>
        <w:tc>
          <w:tcPr>
            <w:tcW w:w="2835" w:type="dxa"/>
            <w:hideMark/>
          </w:tcPr>
          <w:p w14:paraId="163B9102" w14:textId="77777777" w:rsidR="0028155A" w:rsidRPr="00723715" w:rsidRDefault="0028155A" w:rsidP="007D3047">
            <w:pPr>
              <w:pStyle w:val="ListParagraph"/>
              <w:spacing w:after="160" w:line="259" w:lineRule="auto"/>
              <w:ind w:hanging="396"/>
              <w:jc w:val="center"/>
              <w:rPr>
                <w:rFonts w:ascii="Times New Roman" w:hAnsi="Times New Roman" w:cs="Times New Roman"/>
                <w:b/>
                <w:bCs/>
                <w:sz w:val="20"/>
                <w:szCs w:val="20"/>
              </w:rPr>
            </w:pPr>
            <w:r w:rsidRPr="00723715">
              <w:rPr>
                <w:rFonts w:ascii="Times New Roman" w:hAnsi="Times New Roman" w:cs="Times New Roman"/>
                <w:b/>
                <w:bCs/>
                <w:sz w:val="20"/>
                <w:szCs w:val="20"/>
              </w:rPr>
              <w:t>Green Microemulsion</w:t>
            </w:r>
          </w:p>
        </w:tc>
      </w:tr>
      <w:tr w:rsidR="007D3047" w:rsidRPr="00723715" w14:paraId="5BCB2F9B" w14:textId="77777777" w:rsidTr="00723715">
        <w:tc>
          <w:tcPr>
            <w:tcW w:w="1984" w:type="dxa"/>
            <w:hideMark/>
          </w:tcPr>
          <w:p w14:paraId="7EFAC361" w14:textId="77777777" w:rsidR="0028155A" w:rsidRPr="00723715" w:rsidRDefault="0028155A" w:rsidP="003B4949">
            <w:pPr>
              <w:pStyle w:val="ListParagraph"/>
              <w:spacing w:after="160" w:line="259" w:lineRule="auto"/>
              <w:ind w:hanging="720"/>
              <w:rPr>
                <w:rFonts w:ascii="Times New Roman" w:hAnsi="Times New Roman" w:cs="Times New Roman"/>
                <w:sz w:val="20"/>
                <w:szCs w:val="20"/>
              </w:rPr>
            </w:pPr>
            <w:r w:rsidRPr="00723715">
              <w:rPr>
                <w:rFonts w:ascii="Times New Roman" w:hAnsi="Times New Roman" w:cs="Times New Roman"/>
                <w:sz w:val="20"/>
                <w:szCs w:val="20"/>
              </w:rPr>
              <w:t>Components</w:t>
            </w:r>
          </w:p>
        </w:tc>
        <w:tc>
          <w:tcPr>
            <w:tcW w:w="1843" w:type="dxa"/>
            <w:hideMark/>
          </w:tcPr>
          <w:p w14:paraId="75266C47" w14:textId="77777777" w:rsidR="0028155A" w:rsidRPr="003B4949" w:rsidRDefault="0028155A" w:rsidP="003B4949">
            <w:pPr>
              <w:rPr>
                <w:rFonts w:ascii="Times New Roman" w:hAnsi="Times New Roman" w:cs="Times New Roman"/>
                <w:sz w:val="20"/>
                <w:szCs w:val="20"/>
              </w:rPr>
            </w:pPr>
            <w:r w:rsidRPr="003B4949">
              <w:rPr>
                <w:rFonts w:ascii="Times New Roman" w:hAnsi="Times New Roman" w:cs="Times New Roman"/>
                <w:sz w:val="20"/>
                <w:szCs w:val="20"/>
              </w:rPr>
              <w:t>Base Materials</w:t>
            </w:r>
          </w:p>
        </w:tc>
        <w:tc>
          <w:tcPr>
            <w:tcW w:w="2815" w:type="dxa"/>
            <w:hideMark/>
          </w:tcPr>
          <w:p w14:paraId="5E14CC5D" w14:textId="7DF2606A" w:rsidR="0028155A" w:rsidRPr="003B4949" w:rsidRDefault="0028155A" w:rsidP="003B4949">
            <w:pPr>
              <w:rPr>
                <w:rFonts w:ascii="Times New Roman" w:hAnsi="Times New Roman" w:cs="Times New Roman"/>
                <w:sz w:val="20"/>
                <w:szCs w:val="20"/>
              </w:rPr>
            </w:pPr>
            <w:r w:rsidRPr="003B4949">
              <w:rPr>
                <w:rFonts w:ascii="Times New Roman" w:hAnsi="Times New Roman" w:cs="Times New Roman"/>
                <w:sz w:val="20"/>
                <w:szCs w:val="20"/>
              </w:rPr>
              <w:t>Petroleum-based oils, Synthetic chemicals,</w:t>
            </w:r>
          </w:p>
        </w:tc>
        <w:tc>
          <w:tcPr>
            <w:tcW w:w="2835" w:type="dxa"/>
            <w:hideMark/>
          </w:tcPr>
          <w:p w14:paraId="03498885" w14:textId="5669C6D5" w:rsidR="007D3047" w:rsidRPr="00723715" w:rsidRDefault="0028155A" w:rsidP="00D0779B">
            <w:pPr>
              <w:rPr>
                <w:rFonts w:ascii="Times New Roman" w:hAnsi="Times New Roman" w:cs="Times New Roman"/>
                <w:sz w:val="20"/>
                <w:szCs w:val="20"/>
              </w:rPr>
            </w:pPr>
            <w:r w:rsidRPr="00723715">
              <w:rPr>
                <w:rFonts w:ascii="Times New Roman" w:hAnsi="Times New Roman" w:cs="Times New Roman"/>
                <w:sz w:val="20"/>
                <w:szCs w:val="20"/>
              </w:rPr>
              <w:t>Vegetable oils,</w:t>
            </w:r>
          </w:p>
          <w:p w14:paraId="5EF0ED44" w14:textId="45CDCD4B" w:rsidR="0028155A" w:rsidRPr="00723715" w:rsidRDefault="0028155A" w:rsidP="00D0779B">
            <w:pPr>
              <w:rPr>
                <w:rFonts w:ascii="Times New Roman" w:hAnsi="Times New Roman" w:cs="Times New Roman"/>
                <w:sz w:val="20"/>
                <w:szCs w:val="20"/>
              </w:rPr>
            </w:pPr>
            <w:r w:rsidRPr="00723715">
              <w:rPr>
                <w:rFonts w:ascii="Times New Roman" w:hAnsi="Times New Roman" w:cs="Times New Roman"/>
                <w:sz w:val="20"/>
                <w:szCs w:val="20"/>
              </w:rPr>
              <w:t>Plant-derived components,</w:t>
            </w:r>
          </w:p>
        </w:tc>
      </w:tr>
      <w:tr w:rsidR="007D3047" w:rsidRPr="00723715" w14:paraId="0252E480" w14:textId="77777777" w:rsidTr="00723715">
        <w:tc>
          <w:tcPr>
            <w:tcW w:w="1984" w:type="dxa"/>
            <w:hideMark/>
          </w:tcPr>
          <w:p w14:paraId="1CEE2859" w14:textId="77777777" w:rsidR="0028155A" w:rsidRPr="003B4949" w:rsidRDefault="0028155A" w:rsidP="003B4949">
            <w:pPr>
              <w:rPr>
                <w:rFonts w:ascii="Times New Roman" w:hAnsi="Times New Roman" w:cs="Times New Roman"/>
                <w:sz w:val="20"/>
                <w:szCs w:val="20"/>
              </w:rPr>
            </w:pPr>
            <w:r w:rsidRPr="003B4949">
              <w:rPr>
                <w:rFonts w:ascii="Times New Roman" w:hAnsi="Times New Roman" w:cs="Times New Roman"/>
                <w:sz w:val="20"/>
                <w:szCs w:val="20"/>
              </w:rPr>
              <w:t>Components</w:t>
            </w:r>
          </w:p>
        </w:tc>
        <w:tc>
          <w:tcPr>
            <w:tcW w:w="1843" w:type="dxa"/>
            <w:hideMark/>
          </w:tcPr>
          <w:p w14:paraId="778EAC67" w14:textId="77777777" w:rsidR="0028155A" w:rsidRPr="003B4949" w:rsidRDefault="0028155A" w:rsidP="003B4949">
            <w:pPr>
              <w:rPr>
                <w:rFonts w:ascii="Times New Roman" w:hAnsi="Times New Roman" w:cs="Times New Roman"/>
                <w:sz w:val="20"/>
                <w:szCs w:val="20"/>
              </w:rPr>
            </w:pPr>
            <w:r w:rsidRPr="003B4949">
              <w:rPr>
                <w:rFonts w:ascii="Times New Roman" w:hAnsi="Times New Roman" w:cs="Times New Roman"/>
                <w:sz w:val="20"/>
                <w:szCs w:val="20"/>
              </w:rPr>
              <w:t>Resource Type</w:t>
            </w:r>
          </w:p>
        </w:tc>
        <w:tc>
          <w:tcPr>
            <w:tcW w:w="2815" w:type="dxa"/>
            <w:hideMark/>
          </w:tcPr>
          <w:p w14:paraId="3778F5F6" w14:textId="77777777" w:rsidR="0028155A" w:rsidRPr="00723715" w:rsidRDefault="0028155A" w:rsidP="00D0779B">
            <w:pPr>
              <w:rPr>
                <w:rFonts w:ascii="Times New Roman" w:hAnsi="Times New Roman" w:cs="Times New Roman"/>
                <w:sz w:val="20"/>
                <w:szCs w:val="20"/>
              </w:rPr>
            </w:pPr>
            <w:r w:rsidRPr="00723715">
              <w:rPr>
                <w:rFonts w:ascii="Times New Roman" w:hAnsi="Times New Roman" w:cs="Times New Roman"/>
                <w:sz w:val="20"/>
                <w:szCs w:val="20"/>
              </w:rPr>
              <w:t>Non-renewable resources, High carbon footprint</w:t>
            </w:r>
          </w:p>
        </w:tc>
        <w:tc>
          <w:tcPr>
            <w:tcW w:w="2835" w:type="dxa"/>
            <w:hideMark/>
          </w:tcPr>
          <w:p w14:paraId="5C34AE8D" w14:textId="77777777" w:rsidR="007D3047" w:rsidRPr="00D0779B" w:rsidRDefault="0028155A" w:rsidP="00D0779B">
            <w:pPr>
              <w:rPr>
                <w:rFonts w:ascii="Times New Roman" w:hAnsi="Times New Roman" w:cs="Times New Roman"/>
                <w:sz w:val="20"/>
                <w:szCs w:val="20"/>
              </w:rPr>
            </w:pPr>
            <w:r w:rsidRPr="00D0779B">
              <w:rPr>
                <w:rFonts w:ascii="Times New Roman" w:hAnsi="Times New Roman" w:cs="Times New Roman"/>
                <w:sz w:val="20"/>
                <w:szCs w:val="20"/>
              </w:rPr>
              <w:t>Renewable resources,</w:t>
            </w:r>
          </w:p>
          <w:p w14:paraId="3680B2AA" w14:textId="26992532" w:rsidR="0028155A" w:rsidRPr="00D0779B" w:rsidRDefault="0028155A" w:rsidP="00D0779B">
            <w:pPr>
              <w:rPr>
                <w:rFonts w:ascii="Times New Roman" w:hAnsi="Times New Roman" w:cs="Times New Roman"/>
                <w:sz w:val="20"/>
                <w:szCs w:val="20"/>
              </w:rPr>
            </w:pPr>
            <w:r w:rsidRPr="00D0779B">
              <w:rPr>
                <w:rFonts w:ascii="Times New Roman" w:hAnsi="Times New Roman" w:cs="Times New Roman"/>
                <w:sz w:val="20"/>
                <w:szCs w:val="20"/>
              </w:rPr>
              <w:t>Lower carbon footprint</w:t>
            </w:r>
          </w:p>
        </w:tc>
      </w:tr>
      <w:tr w:rsidR="007D3047" w:rsidRPr="00723715" w14:paraId="2E0A866D" w14:textId="77777777" w:rsidTr="00723715">
        <w:tc>
          <w:tcPr>
            <w:tcW w:w="1984" w:type="dxa"/>
            <w:hideMark/>
          </w:tcPr>
          <w:p w14:paraId="4114B394" w14:textId="77777777" w:rsidR="0028155A" w:rsidRPr="003B4949" w:rsidRDefault="0028155A" w:rsidP="003B4949">
            <w:pPr>
              <w:rPr>
                <w:rFonts w:ascii="Times New Roman" w:hAnsi="Times New Roman" w:cs="Times New Roman"/>
                <w:sz w:val="20"/>
                <w:szCs w:val="20"/>
              </w:rPr>
            </w:pPr>
            <w:r w:rsidRPr="003B4949">
              <w:rPr>
                <w:rFonts w:ascii="Times New Roman" w:hAnsi="Times New Roman" w:cs="Times New Roman"/>
                <w:sz w:val="20"/>
                <w:szCs w:val="20"/>
              </w:rPr>
              <w:t>Surfactants</w:t>
            </w:r>
          </w:p>
        </w:tc>
        <w:tc>
          <w:tcPr>
            <w:tcW w:w="1843" w:type="dxa"/>
            <w:hideMark/>
          </w:tcPr>
          <w:p w14:paraId="523A0DA2" w14:textId="77777777" w:rsidR="0028155A" w:rsidRPr="003B4949" w:rsidRDefault="0028155A" w:rsidP="003B4949">
            <w:pPr>
              <w:rPr>
                <w:rFonts w:ascii="Times New Roman" w:hAnsi="Times New Roman" w:cs="Times New Roman"/>
                <w:sz w:val="20"/>
                <w:szCs w:val="20"/>
              </w:rPr>
            </w:pPr>
            <w:r w:rsidRPr="003B4949">
              <w:rPr>
                <w:rFonts w:ascii="Times New Roman" w:hAnsi="Times New Roman" w:cs="Times New Roman"/>
                <w:sz w:val="20"/>
                <w:szCs w:val="20"/>
              </w:rPr>
              <w:t>Types</w:t>
            </w:r>
          </w:p>
        </w:tc>
        <w:tc>
          <w:tcPr>
            <w:tcW w:w="2815" w:type="dxa"/>
            <w:hideMark/>
          </w:tcPr>
          <w:p w14:paraId="426D89E5" w14:textId="32FDAAD4" w:rsidR="007D3047" w:rsidRPr="00D0779B" w:rsidRDefault="007D3047" w:rsidP="00D0779B">
            <w:pPr>
              <w:rPr>
                <w:rFonts w:ascii="Times New Roman" w:hAnsi="Times New Roman" w:cs="Times New Roman"/>
                <w:sz w:val="20"/>
                <w:szCs w:val="20"/>
              </w:rPr>
            </w:pPr>
            <w:r w:rsidRPr="00D0779B">
              <w:rPr>
                <w:rFonts w:ascii="Times New Roman" w:hAnsi="Times New Roman" w:cs="Times New Roman"/>
                <w:sz w:val="20"/>
                <w:szCs w:val="20"/>
              </w:rPr>
              <w:t>Synthetic Surfactant</w:t>
            </w:r>
          </w:p>
          <w:p w14:paraId="2FE285DF" w14:textId="77777777" w:rsidR="007D3047" w:rsidRPr="00723715" w:rsidRDefault="007D3047" w:rsidP="00723715">
            <w:pPr>
              <w:pStyle w:val="ListParagraph"/>
              <w:spacing w:after="160" w:line="259" w:lineRule="auto"/>
              <w:ind w:hanging="414"/>
              <w:jc w:val="center"/>
              <w:rPr>
                <w:rFonts w:ascii="Times New Roman" w:hAnsi="Times New Roman" w:cs="Times New Roman"/>
                <w:sz w:val="20"/>
                <w:szCs w:val="20"/>
              </w:rPr>
            </w:pPr>
          </w:p>
          <w:p w14:paraId="1829DAAB" w14:textId="721D9A53" w:rsidR="0028155A" w:rsidRPr="00723715" w:rsidRDefault="0028155A" w:rsidP="00723715">
            <w:pPr>
              <w:pStyle w:val="ListParagraph"/>
              <w:spacing w:after="160" w:line="259" w:lineRule="auto"/>
              <w:ind w:hanging="414"/>
              <w:jc w:val="center"/>
              <w:rPr>
                <w:rFonts w:ascii="Times New Roman" w:hAnsi="Times New Roman" w:cs="Times New Roman"/>
                <w:sz w:val="20"/>
                <w:szCs w:val="20"/>
              </w:rPr>
            </w:pPr>
          </w:p>
        </w:tc>
        <w:tc>
          <w:tcPr>
            <w:tcW w:w="2835" w:type="dxa"/>
            <w:hideMark/>
          </w:tcPr>
          <w:p w14:paraId="18B68B4B" w14:textId="488F4B80" w:rsidR="0028155A" w:rsidRPr="00D0779B" w:rsidRDefault="007D3047" w:rsidP="00D0779B">
            <w:pPr>
              <w:rPr>
                <w:rFonts w:ascii="Times New Roman" w:hAnsi="Times New Roman" w:cs="Times New Roman"/>
                <w:sz w:val="20"/>
                <w:szCs w:val="20"/>
              </w:rPr>
            </w:pPr>
            <w:r w:rsidRPr="00D0779B">
              <w:rPr>
                <w:rFonts w:ascii="Times New Roman" w:hAnsi="Times New Roman" w:cs="Times New Roman"/>
                <w:sz w:val="20"/>
                <w:szCs w:val="20"/>
              </w:rPr>
              <w:t>Green &amp; Natural Surfactant</w:t>
            </w:r>
          </w:p>
        </w:tc>
      </w:tr>
      <w:tr w:rsidR="007D3047" w:rsidRPr="00723715" w14:paraId="40D86FED" w14:textId="77777777" w:rsidTr="00723715">
        <w:tc>
          <w:tcPr>
            <w:tcW w:w="1984" w:type="dxa"/>
            <w:hideMark/>
          </w:tcPr>
          <w:p w14:paraId="64D3D6B1" w14:textId="77777777" w:rsidR="0028155A" w:rsidRPr="003B4949" w:rsidRDefault="0028155A" w:rsidP="003B4949">
            <w:pPr>
              <w:rPr>
                <w:rFonts w:ascii="Times New Roman" w:hAnsi="Times New Roman" w:cs="Times New Roman"/>
                <w:sz w:val="20"/>
                <w:szCs w:val="20"/>
              </w:rPr>
            </w:pPr>
            <w:r w:rsidRPr="003B4949">
              <w:rPr>
                <w:rFonts w:ascii="Times New Roman" w:hAnsi="Times New Roman" w:cs="Times New Roman"/>
                <w:sz w:val="20"/>
                <w:szCs w:val="20"/>
              </w:rPr>
              <w:t>Surfactants</w:t>
            </w:r>
          </w:p>
        </w:tc>
        <w:tc>
          <w:tcPr>
            <w:tcW w:w="1843" w:type="dxa"/>
            <w:hideMark/>
          </w:tcPr>
          <w:p w14:paraId="2DE02F00" w14:textId="77777777" w:rsidR="0028155A" w:rsidRPr="003B4949" w:rsidRDefault="0028155A" w:rsidP="003B4949">
            <w:pPr>
              <w:rPr>
                <w:rFonts w:ascii="Times New Roman" w:hAnsi="Times New Roman" w:cs="Times New Roman"/>
                <w:sz w:val="20"/>
                <w:szCs w:val="20"/>
              </w:rPr>
            </w:pPr>
            <w:r w:rsidRPr="003B4949">
              <w:rPr>
                <w:rFonts w:ascii="Times New Roman" w:hAnsi="Times New Roman" w:cs="Times New Roman"/>
                <w:sz w:val="20"/>
                <w:szCs w:val="20"/>
              </w:rPr>
              <w:t>Effects</w:t>
            </w:r>
          </w:p>
        </w:tc>
        <w:tc>
          <w:tcPr>
            <w:tcW w:w="2815" w:type="dxa"/>
            <w:hideMark/>
          </w:tcPr>
          <w:p w14:paraId="0C77DFA8" w14:textId="3C504817" w:rsidR="0028155A" w:rsidRPr="00723715" w:rsidRDefault="0028155A" w:rsidP="00D0779B">
            <w:pPr>
              <w:pStyle w:val="ListParagraph"/>
              <w:spacing w:after="160" w:line="259" w:lineRule="auto"/>
              <w:ind w:left="28"/>
              <w:rPr>
                <w:rFonts w:ascii="Times New Roman" w:hAnsi="Times New Roman" w:cs="Times New Roman"/>
                <w:sz w:val="20"/>
                <w:szCs w:val="20"/>
              </w:rPr>
            </w:pPr>
            <w:r w:rsidRPr="00723715">
              <w:rPr>
                <w:rFonts w:ascii="Times New Roman" w:hAnsi="Times New Roman" w:cs="Times New Roman"/>
                <w:sz w:val="20"/>
                <w:szCs w:val="20"/>
              </w:rPr>
              <w:t>Potential skin irritation, Environmental concerns</w:t>
            </w:r>
          </w:p>
        </w:tc>
        <w:tc>
          <w:tcPr>
            <w:tcW w:w="2835" w:type="dxa"/>
            <w:hideMark/>
          </w:tcPr>
          <w:p w14:paraId="4CA672B4" w14:textId="77777777" w:rsidR="00D0779B" w:rsidRPr="00D0779B" w:rsidRDefault="0028155A" w:rsidP="00D0779B">
            <w:pPr>
              <w:rPr>
                <w:rFonts w:ascii="Times New Roman" w:hAnsi="Times New Roman" w:cs="Times New Roman"/>
                <w:sz w:val="20"/>
                <w:szCs w:val="20"/>
              </w:rPr>
            </w:pPr>
            <w:r w:rsidRPr="00D0779B">
              <w:rPr>
                <w:rFonts w:ascii="Times New Roman" w:hAnsi="Times New Roman" w:cs="Times New Roman"/>
                <w:sz w:val="20"/>
                <w:szCs w:val="20"/>
              </w:rPr>
              <w:t>Skin-friendly,</w:t>
            </w:r>
          </w:p>
          <w:p w14:paraId="6DCBDC89" w14:textId="201E7CCC" w:rsidR="0028155A" w:rsidRPr="00D0779B" w:rsidRDefault="007D3047" w:rsidP="00D0779B">
            <w:pPr>
              <w:rPr>
                <w:rFonts w:ascii="Times New Roman" w:hAnsi="Times New Roman" w:cs="Times New Roman"/>
                <w:sz w:val="20"/>
                <w:szCs w:val="20"/>
              </w:rPr>
            </w:pPr>
            <w:r w:rsidRPr="00D0779B">
              <w:rPr>
                <w:rFonts w:ascii="Times New Roman" w:hAnsi="Times New Roman" w:cs="Times New Roman"/>
                <w:sz w:val="20"/>
                <w:szCs w:val="20"/>
              </w:rPr>
              <w:t>Environmentally</w:t>
            </w:r>
            <w:r w:rsidR="0028155A" w:rsidRPr="00D0779B">
              <w:rPr>
                <w:rFonts w:ascii="Times New Roman" w:hAnsi="Times New Roman" w:cs="Times New Roman"/>
                <w:sz w:val="20"/>
                <w:szCs w:val="20"/>
              </w:rPr>
              <w:t xml:space="preserve"> safe</w:t>
            </w:r>
          </w:p>
        </w:tc>
      </w:tr>
      <w:tr w:rsidR="007D3047" w:rsidRPr="00723715" w14:paraId="2836E8F2" w14:textId="77777777" w:rsidTr="00723715">
        <w:tc>
          <w:tcPr>
            <w:tcW w:w="1984" w:type="dxa"/>
            <w:hideMark/>
          </w:tcPr>
          <w:p w14:paraId="4A4AB030" w14:textId="77777777" w:rsidR="0028155A" w:rsidRPr="003B4949" w:rsidRDefault="0028155A" w:rsidP="003B4949">
            <w:pPr>
              <w:rPr>
                <w:rFonts w:ascii="Times New Roman" w:hAnsi="Times New Roman" w:cs="Times New Roman"/>
                <w:sz w:val="20"/>
                <w:szCs w:val="20"/>
              </w:rPr>
            </w:pPr>
            <w:r w:rsidRPr="003B4949">
              <w:rPr>
                <w:rFonts w:ascii="Times New Roman" w:hAnsi="Times New Roman" w:cs="Times New Roman"/>
                <w:sz w:val="20"/>
                <w:szCs w:val="20"/>
              </w:rPr>
              <w:t>Co-Surfactants</w:t>
            </w:r>
          </w:p>
        </w:tc>
        <w:tc>
          <w:tcPr>
            <w:tcW w:w="1843" w:type="dxa"/>
            <w:hideMark/>
          </w:tcPr>
          <w:p w14:paraId="2E55FA27" w14:textId="77777777" w:rsidR="0028155A" w:rsidRPr="003B4949" w:rsidRDefault="0028155A" w:rsidP="003B4949">
            <w:pPr>
              <w:rPr>
                <w:rFonts w:ascii="Times New Roman" w:hAnsi="Times New Roman" w:cs="Times New Roman"/>
                <w:sz w:val="20"/>
                <w:szCs w:val="20"/>
              </w:rPr>
            </w:pPr>
            <w:r w:rsidRPr="003B4949">
              <w:rPr>
                <w:rFonts w:ascii="Times New Roman" w:hAnsi="Times New Roman" w:cs="Times New Roman"/>
                <w:sz w:val="20"/>
                <w:szCs w:val="20"/>
              </w:rPr>
              <w:t>Types</w:t>
            </w:r>
          </w:p>
        </w:tc>
        <w:tc>
          <w:tcPr>
            <w:tcW w:w="2815" w:type="dxa"/>
            <w:hideMark/>
          </w:tcPr>
          <w:p w14:paraId="336A8668" w14:textId="263DA24D" w:rsidR="0028155A" w:rsidRPr="00D0779B" w:rsidRDefault="007D3047" w:rsidP="00D0779B">
            <w:pPr>
              <w:rPr>
                <w:rFonts w:ascii="Times New Roman" w:hAnsi="Times New Roman" w:cs="Times New Roman"/>
                <w:sz w:val="20"/>
                <w:szCs w:val="20"/>
              </w:rPr>
            </w:pPr>
            <w:r w:rsidRPr="00D0779B">
              <w:rPr>
                <w:rFonts w:ascii="Times New Roman" w:hAnsi="Times New Roman" w:cs="Times New Roman"/>
                <w:sz w:val="20"/>
                <w:szCs w:val="20"/>
              </w:rPr>
              <w:t>S</w:t>
            </w:r>
            <w:r w:rsidR="0028155A" w:rsidRPr="00D0779B">
              <w:rPr>
                <w:rFonts w:ascii="Times New Roman" w:hAnsi="Times New Roman" w:cs="Times New Roman"/>
                <w:sz w:val="20"/>
                <w:szCs w:val="20"/>
              </w:rPr>
              <w:t>olvents</w:t>
            </w:r>
          </w:p>
        </w:tc>
        <w:tc>
          <w:tcPr>
            <w:tcW w:w="2835" w:type="dxa"/>
            <w:hideMark/>
          </w:tcPr>
          <w:p w14:paraId="18B30E43" w14:textId="586C0D9A" w:rsidR="0028155A" w:rsidRPr="00D0779B" w:rsidRDefault="005E0C1C" w:rsidP="00D0779B">
            <w:pPr>
              <w:rPr>
                <w:rFonts w:ascii="Times New Roman" w:hAnsi="Times New Roman" w:cs="Times New Roman"/>
                <w:sz w:val="20"/>
                <w:szCs w:val="20"/>
              </w:rPr>
            </w:pPr>
            <w:r>
              <w:rPr>
                <w:rFonts w:ascii="Times New Roman" w:hAnsi="Times New Roman" w:cs="Times New Roman"/>
                <w:sz w:val="20"/>
                <w:szCs w:val="20"/>
              </w:rPr>
              <w:t xml:space="preserve">Green </w:t>
            </w:r>
            <w:r w:rsidR="007D3047" w:rsidRPr="00D0779B">
              <w:rPr>
                <w:rFonts w:ascii="Times New Roman" w:hAnsi="Times New Roman" w:cs="Times New Roman"/>
                <w:sz w:val="20"/>
                <w:szCs w:val="20"/>
              </w:rPr>
              <w:t>Solvent &amp; oils</w:t>
            </w:r>
          </w:p>
        </w:tc>
      </w:tr>
      <w:tr w:rsidR="007D3047" w:rsidRPr="00723715" w14:paraId="2564FCED" w14:textId="77777777" w:rsidTr="00723715">
        <w:tc>
          <w:tcPr>
            <w:tcW w:w="1984" w:type="dxa"/>
            <w:hideMark/>
          </w:tcPr>
          <w:p w14:paraId="5D936620" w14:textId="77777777" w:rsidR="0028155A" w:rsidRPr="003B4949" w:rsidRDefault="0028155A" w:rsidP="003B4949">
            <w:pPr>
              <w:rPr>
                <w:rFonts w:ascii="Times New Roman" w:hAnsi="Times New Roman" w:cs="Times New Roman"/>
                <w:sz w:val="20"/>
                <w:szCs w:val="20"/>
              </w:rPr>
            </w:pPr>
            <w:r w:rsidRPr="003B4949">
              <w:rPr>
                <w:rFonts w:ascii="Times New Roman" w:hAnsi="Times New Roman" w:cs="Times New Roman"/>
                <w:sz w:val="20"/>
                <w:szCs w:val="20"/>
              </w:rPr>
              <w:t>Co-Surfactants</w:t>
            </w:r>
          </w:p>
        </w:tc>
        <w:tc>
          <w:tcPr>
            <w:tcW w:w="1843" w:type="dxa"/>
            <w:hideMark/>
          </w:tcPr>
          <w:p w14:paraId="7AC1CE23" w14:textId="77777777" w:rsidR="0028155A" w:rsidRPr="003B4949" w:rsidRDefault="0028155A" w:rsidP="003B4949">
            <w:pPr>
              <w:rPr>
                <w:rFonts w:ascii="Times New Roman" w:hAnsi="Times New Roman" w:cs="Times New Roman"/>
                <w:sz w:val="20"/>
                <w:szCs w:val="20"/>
              </w:rPr>
            </w:pPr>
            <w:r w:rsidRPr="003B4949">
              <w:rPr>
                <w:rFonts w:ascii="Times New Roman" w:hAnsi="Times New Roman" w:cs="Times New Roman"/>
                <w:sz w:val="20"/>
                <w:szCs w:val="20"/>
              </w:rPr>
              <w:t>Properties</w:t>
            </w:r>
          </w:p>
        </w:tc>
        <w:tc>
          <w:tcPr>
            <w:tcW w:w="2815" w:type="dxa"/>
            <w:hideMark/>
          </w:tcPr>
          <w:p w14:paraId="41099004" w14:textId="77777777" w:rsidR="00D0779B" w:rsidRDefault="0028155A" w:rsidP="00D0779B">
            <w:pPr>
              <w:rPr>
                <w:rFonts w:ascii="Times New Roman" w:hAnsi="Times New Roman" w:cs="Times New Roman"/>
                <w:sz w:val="20"/>
                <w:szCs w:val="20"/>
              </w:rPr>
            </w:pPr>
            <w:r w:rsidRPr="00D0779B">
              <w:rPr>
                <w:rFonts w:ascii="Times New Roman" w:hAnsi="Times New Roman" w:cs="Times New Roman"/>
                <w:sz w:val="20"/>
                <w:szCs w:val="20"/>
              </w:rPr>
              <w:t>High VOC content,</w:t>
            </w:r>
            <w:r w:rsidR="007D3047" w:rsidRPr="00D0779B">
              <w:rPr>
                <w:rFonts w:ascii="Times New Roman" w:hAnsi="Times New Roman" w:cs="Times New Roman"/>
                <w:sz w:val="20"/>
                <w:szCs w:val="20"/>
              </w:rPr>
              <w:t xml:space="preserve"> </w:t>
            </w:r>
          </w:p>
          <w:p w14:paraId="780DFFDC" w14:textId="7E911DE5" w:rsidR="0028155A" w:rsidRPr="00D0779B" w:rsidRDefault="00D0779B" w:rsidP="00D0779B">
            <w:pPr>
              <w:rPr>
                <w:rFonts w:ascii="Times New Roman" w:hAnsi="Times New Roman" w:cs="Times New Roman"/>
                <w:sz w:val="20"/>
                <w:szCs w:val="20"/>
              </w:rPr>
            </w:pPr>
            <w:r>
              <w:rPr>
                <w:rFonts w:ascii="Times New Roman" w:hAnsi="Times New Roman" w:cs="Times New Roman"/>
                <w:sz w:val="20"/>
                <w:szCs w:val="20"/>
              </w:rPr>
              <w:t>P</w:t>
            </w:r>
            <w:r w:rsidR="007D3047" w:rsidRPr="00D0779B">
              <w:rPr>
                <w:rFonts w:ascii="Times New Roman" w:hAnsi="Times New Roman" w:cs="Times New Roman"/>
                <w:sz w:val="20"/>
                <w:szCs w:val="20"/>
              </w:rPr>
              <w:t>otentially</w:t>
            </w:r>
            <w:r w:rsidR="0028155A" w:rsidRPr="00D0779B">
              <w:rPr>
                <w:rFonts w:ascii="Times New Roman" w:hAnsi="Times New Roman" w:cs="Times New Roman"/>
                <w:sz w:val="20"/>
                <w:szCs w:val="20"/>
              </w:rPr>
              <w:t xml:space="preserve"> toxic</w:t>
            </w:r>
          </w:p>
        </w:tc>
        <w:tc>
          <w:tcPr>
            <w:tcW w:w="2835" w:type="dxa"/>
            <w:hideMark/>
          </w:tcPr>
          <w:p w14:paraId="3372DFCE" w14:textId="3130EE17" w:rsidR="007D3047" w:rsidRPr="00D0779B" w:rsidRDefault="0028155A" w:rsidP="00D0779B">
            <w:pPr>
              <w:rPr>
                <w:rFonts w:ascii="Times New Roman" w:hAnsi="Times New Roman" w:cs="Times New Roman"/>
                <w:sz w:val="20"/>
                <w:szCs w:val="20"/>
              </w:rPr>
            </w:pPr>
            <w:r w:rsidRPr="00D0779B">
              <w:rPr>
                <w:rFonts w:ascii="Times New Roman" w:hAnsi="Times New Roman" w:cs="Times New Roman"/>
                <w:sz w:val="20"/>
                <w:szCs w:val="20"/>
              </w:rPr>
              <w:t>Low VOC content,</w:t>
            </w:r>
          </w:p>
          <w:p w14:paraId="4C1D9188" w14:textId="14203A8D" w:rsidR="0028155A" w:rsidRPr="00D0779B" w:rsidRDefault="0028155A" w:rsidP="00D0779B">
            <w:pPr>
              <w:rPr>
                <w:rFonts w:ascii="Times New Roman" w:hAnsi="Times New Roman" w:cs="Times New Roman"/>
                <w:sz w:val="20"/>
                <w:szCs w:val="20"/>
              </w:rPr>
            </w:pPr>
            <w:r w:rsidRPr="00D0779B">
              <w:rPr>
                <w:rFonts w:ascii="Times New Roman" w:hAnsi="Times New Roman" w:cs="Times New Roman"/>
                <w:sz w:val="20"/>
                <w:szCs w:val="20"/>
              </w:rPr>
              <w:t>Non-toxic</w:t>
            </w:r>
          </w:p>
        </w:tc>
      </w:tr>
      <w:tr w:rsidR="007D3047" w:rsidRPr="00723715" w14:paraId="3DCC4E50" w14:textId="77777777" w:rsidTr="00723715">
        <w:tc>
          <w:tcPr>
            <w:tcW w:w="1984" w:type="dxa"/>
            <w:hideMark/>
          </w:tcPr>
          <w:p w14:paraId="5E7B112D" w14:textId="77777777" w:rsidR="0028155A" w:rsidRPr="003B4949" w:rsidRDefault="0028155A" w:rsidP="003B4949">
            <w:pPr>
              <w:rPr>
                <w:rFonts w:ascii="Times New Roman" w:hAnsi="Times New Roman" w:cs="Times New Roman"/>
                <w:sz w:val="20"/>
                <w:szCs w:val="20"/>
              </w:rPr>
            </w:pPr>
            <w:r w:rsidRPr="003B4949">
              <w:rPr>
                <w:rFonts w:ascii="Times New Roman" w:hAnsi="Times New Roman" w:cs="Times New Roman"/>
                <w:sz w:val="20"/>
                <w:szCs w:val="20"/>
              </w:rPr>
              <w:t>Sustainability</w:t>
            </w:r>
          </w:p>
        </w:tc>
        <w:tc>
          <w:tcPr>
            <w:tcW w:w="1843" w:type="dxa"/>
            <w:hideMark/>
          </w:tcPr>
          <w:p w14:paraId="324EDA2B" w14:textId="77777777" w:rsidR="0028155A" w:rsidRPr="003B4949" w:rsidRDefault="0028155A" w:rsidP="003B4949">
            <w:pPr>
              <w:rPr>
                <w:rFonts w:ascii="Times New Roman" w:hAnsi="Times New Roman" w:cs="Times New Roman"/>
                <w:sz w:val="20"/>
                <w:szCs w:val="20"/>
              </w:rPr>
            </w:pPr>
            <w:r w:rsidRPr="003B4949">
              <w:rPr>
                <w:rFonts w:ascii="Times New Roman" w:hAnsi="Times New Roman" w:cs="Times New Roman"/>
                <w:sz w:val="20"/>
                <w:szCs w:val="20"/>
              </w:rPr>
              <w:t>Life Cycle</w:t>
            </w:r>
          </w:p>
        </w:tc>
        <w:tc>
          <w:tcPr>
            <w:tcW w:w="2815" w:type="dxa"/>
            <w:hideMark/>
          </w:tcPr>
          <w:p w14:paraId="2AFF471A" w14:textId="77777777" w:rsidR="00723715" w:rsidRPr="00D0779B" w:rsidRDefault="0028155A" w:rsidP="00D0779B">
            <w:pPr>
              <w:rPr>
                <w:rFonts w:ascii="Times New Roman" w:hAnsi="Times New Roman" w:cs="Times New Roman"/>
                <w:sz w:val="20"/>
                <w:szCs w:val="20"/>
              </w:rPr>
            </w:pPr>
            <w:r w:rsidRPr="00D0779B">
              <w:rPr>
                <w:rFonts w:ascii="Times New Roman" w:hAnsi="Times New Roman" w:cs="Times New Roman"/>
                <w:sz w:val="20"/>
                <w:szCs w:val="20"/>
              </w:rPr>
              <w:t xml:space="preserve">Non-biodegradable, </w:t>
            </w:r>
          </w:p>
          <w:p w14:paraId="16146FE7" w14:textId="22477925" w:rsidR="0028155A" w:rsidRPr="00D0779B" w:rsidRDefault="0028155A" w:rsidP="00D0779B">
            <w:pPr>
              <w:rPr>
                <w:rFonts w:ascii="Times New Roman" w:hAnsi="Times New Roman" w:cs="Times New Roman"/>
                <w:sz w:val="20"/>
                <w:szCs w:val="20"/>
              </w:rPr>
            </w:pPr>
            <w:r w:rsidRPr="00D0779B">
              <w:rPr>
                <w:rFonts w:ascii="Times New Roman" w:hAnsi="Times New Roman" w:cs="Times New Roman"/>
                <w:sz w:val="20"/>
                <w:szCs w:val="20"/>
              </w:rPr>
              <w:t>Long-term persistence</w:t>
            </w:r>
          </w:p>
        </w:tc>
        <w:tc>
          <w:tcPr>
            <w:tcW w:w="2835" w:type="dxa"/>
            <w:hideMark/>
          </w:tcPr>
          <w:p w14:paraId="7FEF817C" w14:textId="77777777" w:rsidR="00723715" w:rsidRPr="00D0779B" w:rsidRDefault="0028155A" w:rsidP="00D0779B">
            <w:pPr>
              <w:rPr>
                <w:rFonts w:ascii="Times New Roman" w:hAnsi="Times New Roman" w:cs="Times New Roman"/>
                <w:sz w:val="20"/>
                <w:szCs w:val="20"/>
              </w:rPr>
            </w:pPr>
            <w:r w:rsidRPr="00D0779B">
              <w:rPr>
                <w:rFonts w:ascii="Times New Roman" w:hAnsi="Times New Roman" w:cs="Times New Roman"/>
                <w:sz w:val="20"/>
                <w:szCs w:val="20"/>
              </w:rPr>
              <w:t xml:space="preserve">Biodegradable, </w:t>
            </w:r>
          </w:p>
          <w:p w14:paraId="2915A0F3" w14:textId="4452A151" w:rsidR="0028155A" w:rsidRPr="00723715" w:rsidRDefault="005E0C1C" w:rsidP="00D0779B">
            <w:pPr>
              <w:pStyle w:val="ListParagraph"/>
              <w:spacing w:after="160" w:line="259" w:lineRule="auto"/>
              <w:ind w:left="193" w:hanging="283"/>
              <w:rPr>
                <w:rFonts w:ascii="Times New Roman" w:hAnsi="Times New Roman" w:cs="Times New Roman"/>
                <w:sz w:val="20"/>
                <w:szCs w:val="20"/>
              </w:rPr>
            </w:pPr>
            <w:r>
              <w:rPr>
                <w:rFonts w:ascii="Times New Roman" w:hAnsi="Times New Roman" w:cs="Times New Roman"/>
                <w:sz w:val="20"/>
                <w:szCs w:val="20"/>
              </w:rPr>
              <w:t xml:space="preserve"> </w:t>
            </w:r>
            <w:r w:rsidR="0028155A" w:rsidRPr="00723715">
              <w:rPr>
                <w:rFonts w:ascii="Times New Roman" w:hAnsi="Times New Roman" w:cs="Times New Roman"/>
                <w:sz w:val="20"/>
                <w:szCs w:val="20"/>
              </w:rPr>
              <w:t xml:space="preserve">Short </w:t>
            </w:r>
            <w:r w:rsidR="00723715">
              <w:rPr>
                <w:rFonts w:ascii="Times New Roman" w:hAnsi="Times New Roman" w:cs="Times New Roman"/>
                <w:sz w:val="20"/>
                <w:szCs w:val="20"/>
              </w:rPr>
              <w:t>e</w:t>
            </w:r>
            <w:r w:rsidR="0028155A" w:rsidRPr="00723715">
              <w:rPr>
                <w:rFonts w:ascii="Times New Roman" w:hAnsi="Times New Roman" w:cs="Times New Roman"/>
                <w:sz w:val="20"/>
                <w:szCs w:val="20"/>
              </w:rPr>
              <w:t>nvironmental lifecycle</w:t>
            </w:r>
          </w:p>
        </w:tc>
      </w:tr>
      <w:tr w:rsidR="007D3047" w:rsidRPr="00723715" w14:paraId="0B409F02" w14:textId="77777777" w:rsidTr="00723715">
        <w:tc>
          <w:tcPr>
            <w:tcW w:w="1984" w:type="dxa"/>
            <w:hideMark/>
          </w:tcPr>
          <w:p w14:paraId="61E52A34" w14:textId="77777777" w:rsidR="0028155A" w:rsidRPr="00723715" w:rsidRDefault="0028155A" w:rsidP="00723715">
            <w:pPr>
              <w:pStyle w:val="ListParagraph"/>
              <w:spacing w:after="160" w:line="259" w:lineRule="auto"/>
              <w:ind w:hanging="824"/>
              <w:jc w:val="center"/>
              <w:rPr>
                <w:rFonts w:ascii="Times New Roman" w:hAnsi="Times New Roman" w:cs="Times New Roman"/>
                <w:sz w:val="20"/>
                <w:szCs w:val="20"/>
              </w:rPr>
            </w:pPr>
            <w:r w:rsidRPr="00723715">
              <w:rPr>
                <w:rFonts w:ascii="Times New Roman" w:hAnsi="Times New Roman" w:cs="Times New Roman"/>
                <w:sz w:val="20"/>
                <w:szCs w:val="20"/>
              </w:rPr>
              <w:t>Environmental Impact</w:t>
            </w:r>
          </w:p>
        </w:tc>
        <w:tc>
          <w:tcPr>
            <w:tcW w:w="1843" w:type="dxa"/>
            <w:hideMark/>
          </w:tcPr>
          <w:p w14:paraId="2F90F03F" w14:textId="77777777" w:rsidR="0028155A" w:rsidRPr="00723715" w:rsidRDefault="0028155A" w:rsidP="003B4949">
            <w:pPr>
              <w:rPr>
                <w:rFonts w:ascii="Times New Roman" w:hAnsi="Times New Roman" w:cs="Times New Roman"/>
                <w:sz w:val="20"/>
                <w:szCs w:val="20"/>
              </w:rPr>
            </w:pPr>
            <w:r w:rsidRPr="00723715">
              <w:rPr>
                <w:rFonts w:ascii="Times New Roman" w:hAnsi="Times New Roman" w:cs="Times New Roman"/>
                <w:sz w:val="20"/>
                <w:szCs w:val="20"/>
              </w:rPr>
              <w:t>Ecosystem Effects</w:t>
            </w:r>
          </w:p>
        </w:tc>
        <w:tc>
          <w:tcPr>
            <w:tcW w:w="2815" w:type="dxa"/>
            <w:hideMark/>
          </w:tcPr>
          <w:p w14:paraId="6DD5E521" w14:textId="77777777" w:rsidR="00D0779B" w:rsidRDefault="0028155A" w:rsidP="00D0779B">
            <w:pPr>
              <w:rPr>
                <w:rFonts w:ascii="Times New Roman" w:hAnsi="Times New Roman" w:cs="Times New Roman"/>
                <w:sz w:val="20"/>
                <w:szCs w:val="20"/>
              </w:rPr>
            </w:pPr>
            <w:r w:rsidRPr="00D0779B">
              <w:rPr>
                <w:rFonts w:ascii="Times New Roman" w:hAnsi="Times New Roman" w:cs="Times New Roman"/>
                <w:sz w:val="20"/>
                <w:szCs w:val="20"/>
              </w:rPr>
              <w:t>Aquatic toxicity,</w:t>
            </w:r>
            <w:r w:rsidR="00723715" w:rsidRPr="00D0779B">
              <w:rPr>
                <w:rFonts w:ascii="Times New Roman" w:hAnsi="Times New Roman" w:cs="Times New Roman"/>
                <w:sz w:val="20"/>
                <w:szCs w:val="20"/>
              </w:rPr>
              <w:t xml:space="preserve"> </w:t>
            </w:r>
          </w:p>
          <w:p w14:paraId="665D752E" w14:textId="313232DC" w:rsidR="0028155A" w:rsidRPr="00D0779B" w:rsidRDefault="0028155A" w:rsidP="00D0779B">
            <w:pPr>
              <w:rPr>
                <w:rFonts w:ascii="Times New Roman" w:hAnsi="Times New Roman" w:cs="Times New Roman"/>
                <w:sz w:val="20"/>
                <w:szCs w:val="20"/>
              </w:rPr>
            </w:pPr>
            <w:r w:rsidRPr="00D0779B">
              <w:rPr>
                <w:rFonts w:ascii="Times New Roman" w:hAnsi="Times New Roman" w:cs="Times New Roman"/>
                <w:sz w:val="20"/>
                <w:szCs w:val="20"/>
              </w:rPr>
              <w:t>Environmental accumulation</w:t>
            </w:r>
          </w:p>
        </w:tc>
        <w:tc>
          <w:tcPr>
            <w:tcW w:w="2835" w:type="dxa"/>
            <w:hideMark/>
          </w:tcPr>
          <w:p w14:paraId="788D40C3" w14:textId="77777777" w:rsidR="00D0779B" w:rsidRPr="00D0779B" w:rsidRDefault="0028155A" w:rsidP="00D0779B">
            <w:pPr>
              <w:rPr>
                <w:rFonts w:ascii="Times New Roman" w:hAnsi="Times New Roman" w:cs="Times New Roman"/>
                <w:sz w:val="20"/>
                <w:szCs w:val="20"/>
              </w:rPr>
            </w:pPr>
            <w:r w:rsidRPr="00D0779B">
              <w:rPr>
                <w:rFonts w:ascii="Times New Roman" w:hAnsi="Times New Roman" w:cs="Times New Roman"/>
                <w:sz w:val="20"/>
                <w:szCs w:val="20"/>
              </w:rPr>
              <w:t xml:space="preserve">Minimal ecotoxicity, </w:t>
            </w:r>
          </w:p>
          <w:p w14:paraId="2A654CD0" w14:textId="6B27FFCD" w:rsidR="0028155A" w:rsidRPr="00D0779B" w:rsidRDefault="0028155A" w:rsidP="00D0779B">
            <w:pPr>
              <w:rPr>
                <w:rFonts w:ascii="Times New Roman" w:hAnsi="Times New Roman" w:cs="Times New Roman"/>
                <w:sz w:val="20"/>
                <w:szCs w:val="20"/>
              </w:rPr>
            </w:pPr>
            <w:r w:rsidRPr="00D0779B">
              <w:rPr>
                <w:rFonts w:ascii="Times New Roman" w:hAnsi="Times New Roman" w:cs="Times New Roman"/>
                <w:sz w:val="20"/>
                <w:szCs w:val="20"/>
              </w:rPr>
              <w:t>No bioaccumulation</w:t>
            </w:r>
          </w:p>
        </w:tc>
      </w:tr>
      <w:tr w:rsidR="007D3047" w:rsidRPr="00723715" w14:paraId="0CF2A86F" w14:textId="77777777" w:rsidTr="00723715">
        <w:tc>
          <w:tcPr>
            <w:tcW w:w="1984" w:type="dxa"/>
            <w:hideMark/>
          </w:tcPr>
          <w:p w14:paraId="4920C23A" w14:textId="77777777" w:rsidR="0028155A" w:rsidRPr="00723715" w:rsidRDefault="0028155A" w:rsidP="00723715">
            <w:pPr>
              <w:pStyle w:val="ListParagraph"/>
              <w:spacing w:after="160" w:line="259" w:lineRule="auto"/>
              <w:ind w:left="604" w:hanging="708"/>
              <w:jc w:val="center"/>
              <w:rPr>
                <w:rFonts w:ascii="Times New Roman" w:hAnsi="Times New Roman" w:cs="Times New Roman"/>
                <w:sz w:val="20"/>
                <w:szCs w:val="20"/>
              </w:rPr>
            </w:pPr>
            <w:r w:rsidRPr="00723715">
              <w:rPr>
                <w:rFonts w:ascii="Times New Roman" w:hAnsi="Times New Roman" w:cs="Times New Roman"/>
                <w:sz w:val="20"/>
                <w:szCs w:val="20"/>
              </w:rPr>
              <w:t>Environmental Impact</w:t>
            </w:r>
          </w:p>
        </w:tc>
        <w:tc>
          <w:tcPr>
            <w:tcW w:w="1843" w:type="dxa"/>
            <w:hideMark/>
          </w:tcPr>
          <w:p w14:paraId="08C8153F" w14:textId="77777777" w:rsidR="0028155A" w:rsidRPr="003B4949" w:rsidRDefault="0028155A" w:rsidP="003B4949">
            <w:pPr>
              <w:rPr>
                <w:rFonts w:ascii="Times New Roman" w:hAnsi="Times New Roman" w:cs="Times New Roman"/>
                <w:sz w:val="20"/>
                <w:szCs w:val="20"/>
              </w:rPr>
            </w:pPr>
            <w:r w:rsidRPr="003B4949">
              <w:rPr>
                <w:rFonts w:ascii="Times New Roman" w:hAnsi="Times New Roman" w:cs="Times New Roman"/>
                <w:sz w:val="20"/>
                <w:szCs w:val="20"/>
              </w:rPr>
              <w:t>Degradation</w:t>
            </w:r>
          </w:p>
        </w:tc>
        <w:tc>
          <w:tcPr>
            <w:tcW w:w="2815" w:type="dxa"/>
            <w:hideMark/>
          </w:tcPr>
          <w:p w14:paraId="11292299" w14:textId="77777777" w:rsidR="00723715" w:rsidRPr="00D0779B" w:rsidRDefault="0028155A" w:rsidP="00D0779B">
            <w:pPr>
              <w:rPr>
                <w:rFonts w:ascii="Times New Roman" w:hAnsi="Times New Roman" w:cs="Times New Roman"/>
                <w:sz w:val="20"/>
                <w:szCs w:val="20"/>
              </w:rPr>
            </w:pPr>
            <w:r w:rsidRPr="00D0779B">
              <w:rPr>
                <w:rFonts w:ascii="Times New Roman" w:hAnsi="Times New Roman" w:cs="Times New Roman"/>
                <w:sz w:val="20"/>
                <w:szCs w:val="20"/>
              </w:rPr>
              <w:t xml:space="preserve">Difficult to degrade, </w:t>
            </w:r>
          </w:p>
          <w:p w14:paraId="7EE3D41F" w14:textId="22722CB0" w:rsidR="0028155A" w:rsidRPr="00D0779B" w:rsidRDefault="0028155A" w:rsidP="00D0779B">
            <w:pPr>
              <w:rPr>
                <w:rFonts w:ascii="Times New Roman" w:hAnsi="Times New Roman" w:cs="Times New Roman"/>
                <w:sz w:val="20"/>
                <w:szCs w:val="20"/>
              </w:rPr>
            </w:pPr>
            <w:r w:rsidRPr="00D0779B">
              <w:rPr>
                <w:rFonts w:ascii="Times New Roman" w:hAnsi="Times New Roman" w:cs="Times New Roman"/>
                <w:sz w:val="20"/>
                <w:szCs w:val="20"/>
              </w:rPr>
              <w:t>Affects ecosystem balance</w:t>
            </w:r>
          </w:p>
        </w:tc>
        <w:tc>
          <w:tcPr>
            <w:tcW w:w="2835" w:type="dxa"/>
            <w:hideMark/>
          </w:tcPr>
          <w:p w14:paraId="054D98FC" w14:textId="77777777" w:rsidR="0028155A" w:rsidRPr="00D0779B" w:rsidRDefault="0028155A" w:rsidP="00D0779B">
            <w:pPr>
              <w:rPr>
                <w:rFonts w:ascii="Times New Roman" w:hAnsi="Times New Roman" w:cs="Times New Roman"/>
                <w:sz w:val="20"/>
                <w:szCs w:val="20"/>
              </w:rPr>
            </w:pPr>
            <w:r w:rsidRPr="00D0779B">
              <w:rPr>
                <w:rFonts w:ascii="Times New Roman" w:hAnsi="Times New Roman" w:cs="Times New Roman"/>
                <w:sz w:val="20"/>
                <w:szCs w:val="20"/>
              </w:rPr>
              <w:t>Readily biodegradable, Ecosystem friendly</w:t>
            </w:r>
          </w:p>
        </w:tc>
      </w:tr>
    </w:tbl>
    <w:p w14:paraId="5A94EDAF" w14:textId="77777777" w:rsidR="00A67554" w:rsidRDefault="00A67554" w:rsidP="007D3047">
      <w:pPr>
        <w:pStyle w:val="ListParagraph"/>
        <w:jc w:val="center"/>
        <w:rPr>
          <w:rFonts w:ascii="Times New Roman" w:hAnsi="Times New Roman" w:cs="Times New Roman"/>
        </w:rPr>
      </w:pPr>
    </w:p>
    <w:p w14:paraId="2A1EAF26" w14:textId="77777777" w:rsidR="00A67554" w:rsidRDefault="00A67554" w:rsidP="007D3047">
      <w:pPr>
        <w:pStyle w:val="ListParagraph"/>
        <w:jc w:val="center"/>
        <w:rPr>
          <w:rFonts w:ascii="Times New Roman" w:hAnsi="Times New Roman" w:cs="Times New Roman"/>
        </w:rPr>
      </w:pPr>
    </w:p>
    <w:p w14:paraId="6ABEB3AB" w14:textId="77777777" w:rsidR="005E0C1C" w:rsidRDefault="005E0C1C" w:rsidP="007D3047">
      <w:pPr>
        <w:pStyle w:val="ListParagraph"/>
        <w:jc w:val="center"/>
        <w:rPr>
          <w:rFonts w:ascii="Times New Roman" w:hAnsi="Times New Roman" w:cs="Times New Roman"/>
        </w:rPr>
      </w:pPr>
    </w:p>
    <w:p w14:paraId="5AABEDDC" w14:textId="77777777" w:rsidR="005E0C1C" w:rsidRDefault="005E0C1C" w:rsidP="007D3047">
      <w:pPr>
        <w:pStyle w:val="ListParagraph"/>
        <w:jc w:val="center"/>
        <w:rPr>
          <w:rFonts w:ascii="Times New Roman" w:hAnsi="Times New Roman" w:cs="Times New Roman"/>
        </w:rPr>
      </w:pPr>
    </w:p>
    <w:p w14:paraId="38EAD69A" w14:textId="77777777" w:rsidR="005E0C1C" w:rsidRDefault="005E0C1C" w:rsidP="007D3047">
      <w:pPr>
        <w:pStyle w:val="ListParagraph"/>
        <w:jc w:val="center"/>
        <w:rPr>
          <w:rFonts w:ascii="Times New Roman" w:hAnsi="Times New Roman" w:cs="Times New Roman"/>
        </w:rPr>
      </w:pPr>
    </w:p>
    <w:p w14:paraId="362EBFD1" w14:textId="77777777" w:rsidR="005F2365" w:rsidRDefault="005F2365" w:rsidP="007D3047">
      <w:pPr>
        <w:pStyle w:val="ListParagraph"/>
        <w:jc w:val="center"/>
        <w:rPr>
          <w:rFonts w:ascii="Times New Roman" w:hAnsi="Times New Roman" w:cs="Times New Roman"/>
        </w:rPr>
      </w:pPr>
    </w:p>
    <w:p w14:paraId="179C6363" w14:textId="77777777" w:rsidR="005F2365" w:rsidRDefault="005F2365" w:rsidP="007D3047">
      <w:pPr>
        <w:pStyle w:val="ListParagraph"/>
        <w:jc w:val="center"/>
        <w:rPr>
          <w:rFonts w:ascii="Times New Roman" w:hAnsi="Times New Roman" w:cs="Times New Roman"/>
        </w:rPr>
      </w:pPr>
    </w:p>
    <w:p w14:paraId="0322B999" w14:textId="77777777" w:rsidR="005E0C1C" w:rsidRDefault="005E0C1C" w:rsidP="007D3047">
      <w:pPr>
        <w:pStyle w:val="ListParagraph"/>
        <w:jc w:val="center"/>
        <w:rPr>
          <w:rFonts w:ascii="Times New Roman" w:hAnsi="Times New Roman" w:cs="Times New Roman"/>
        </w:rPr>
      </w:pPr>
    </w:p>
    <w:p w14:paraId="399E99AC" w14:textId="65AC76FF" w:rsidR="00613423" w:rsidRPr="005E0C1C" w:rsidRDefault="00613423" w:rsidP="005E0C1C">
      <w:pPr>
        <w:pStyle w:val="ListParagraph"/>
        <w:numPr>
          <w:ilvl w:val="0"/>
          <w:numId w:val="3"/>
        </w:numPr>
        <w:rPr>
          <w:rFonts w:ascii="Times New Roman" w:hAnsi="Times New Roman" w:cs="Times New Roman"/>
          <w:b/>
          <w:bCs/>
          <w:sz w:val="24"/>
          <w:szCs w:val="24"/>
        </w:rPr>
      </w:pPr>
      <w:r w:rsidRPr="005E0C1C">
        <w:rPr>
          <w:rFonts w:ascii="Times New Roman" w:hAnsi="Times New Roman" w:cs="Times New Roman"/>
          <w:b/>
          <w:bCs/>
          <w:sz w:val="24"/>
          <w:szCs w:val="24"/>
        </w:rPr>
        <w:lastRenderedPageBreak/>
        <w:t>EMERGING INDUSTRIAL APPLICATIONS</w:t>
      </w:r>
    </w:p>
    <w:p w14:paraId="76CC6B4A" w14:textId="3656C3B4" w:rsidR="00A67554" w:rsidRDefault="00A67554" w:rsidP="00A67554">
      <w:pPr>
        <w:pStyle w:val="ListParagraph"/>
        <w:rPr>
          <w:rFonts w:ascii="Times New Roman" w:hAnsi="Times New Roman" w:cs="Times New Roman"/>
        </w:rPr>
      </w:pPr>
    </w:p>
    <w:p w14:paraId="0989B0F6" w14:textId="77777777" w:rsidR="00A67554" w:rsidRPr="003E7A1C" w:rsidRDefault="00A67554" w:rsidP="00A67554">
      <w:pPr>
        <w:pStyle w:val="ListParagraph"/>
        <w:rPr>
          <w:rFonts w:ascii="Times New Roman" w:hAnsi="Times New Roman" w:cs="Times New Roman"/>
          <w:b/>
          <w:bCs/>
        </w:rPr>
      </w:pPr>
    </w:p>
    <w:p w14:paraId="4D3D5D42" w14:textId="5A49D34E" w:rsidR="00A67554" w:rsidRPr="005E0C1C" w:rsidRDefault="00A67554" w:rsidP="005E0C1C">
      <w:pPr>
        <w:pStyle w:val="ListParagraph"/>
        <w:numPr>
          <w:ilvl w:val="1"/>
          <w:numId w:val="4"/>
        </w:numPr>
        <w:rPr>
          <w:rFonts w:ascii="Times New Roman" w:hAnsi="Times New Roman" w:cs="Times New Roman"/>
          <w:b/>
          <w:bCs/>
        </w:rPr>
      </w:pPr>
      <w:r w:rsidRPr="005E0C1C">
        <w:rPr>
          <w:rFonts w:ascii="Times New Roman" w:hAnsi="Times New Roman" w:cs="Times New Roman"/>
          <w:b/>
          <w:bCs/>
        </w:rPr>
        <w:t xml:space="preserve">Cosmetic </w:t>
      </w:r>
      <w:r w:rsidR="00D9086A" w:rsidRPr="005E0C1C">
        <w:rPr>
          <w:rFonts w:ascii="Times New Roman" w:hAnsi="Times New Roman" w:cs="Times New Roman"/>
          <w:b/>
          <w:bCs/>
        </w:rPr>
        <w:t xml:space="preserve">Formulation </w:t>
      </w:r>
    </w:p>
    <w:p w14:paraId="5A0834B5" w14:textId="18FC8ACC" w:rsidR="00A67554" w:rsidRPr="005E0C1C" w:rsidRDefault="00275560" w:rsidP="009D0A71">
      <w:pPr>
        <w:jc w:val="both"/>
        <w:rPr>
          <w:rFonts w:ascii="Times New Roman" w:hAnsi="Times New Roman" w:cs="Times New Roman"/>
          <w:sz w:val="20"/>
          <w:szCs w:val="20"/>
        </w:rPr>
      </w:pPr>
      <w:r w:rsidRPr="005E0C1C">
        <w:rPr>
          <w:rFonts w:ascii="Times New Roman" w:hAnsi="Times New Roman" w:cs="Times New Roman"/>
          <w:sz w:val="20"/>
          <w:szCs w:val="20"/>
        </w:rPr>
        <w:t>Green microemulsions are gaining prominence in the cosmetic industry as sustainable and eco-friendly formulations. These systems align with the growing consumer demand for environmentally conscious and "green" cosmetic products Microemulsions offer several advantages in cosmetic applications, including improved stability, enhanced delivery of active ingredients, and increased bioavailability of compounds.  The use of green microemulsions in cosmetics reflects the industry's shift towards sustainable ingredients and formulations. This trend is driven by increasing environmental awareness and consumer preferences for clean labels and eco-</w:t>
      </w:r>
      <w:r w:rsidR="00AE26FD" w:rsidRPr="005E0C1C">
        <w:rPr>
          <w:rFonts w:ascii="Times New Roman" w:hAnsi="Times New Roman" w:cs="Times New Roman"/>
          <w:sz w:val="20"/>
          <w:szCs w:val="20"/>
        </w:rPr>
        <w:t>friendly, Green</w:t>
      </w:r>
      <w:r w:rsidRPr="005E0C1C">
        <w:rPr>
          <w:rFonts w:ascii="Times New Roman" w:hAnsi="Times New Roman" w:cs="Times New Roman"/>
          <w:sz w:val="20"/>
          <w:szCs w:val="20"/>
        </w:rPr>
        <w:t xml:space="preserve"> microemulsions typically incorporate naturally derived surfactants, oils, and other components, reducing the reliance on synthetic chemicals and potentially harmful ingredients.  Interestingly, the COVID-19 pandemic has further accelerated the demand for sustainable and green cosmetic products, including microemulsi</w:t>
      </w:r>
      <w:r w:rsidR="00AE26FD" w:rsidRPr="005E0C1C">
        <w:rPr>
          <w:rFonts w:ascii="Times New Roman" w:hAnsi="Times New Roman" w:cs="Times New Roman"/>
          <w:sz w:val="20"/>
          <w:szCs w:val="20"/>
        </w:rPr>
        <w:t>on</w:t>
      </w:r>
      <w:r w:rsidRPr="005E0C1C">
        <w:rPr>
          <w:rFonts w:ascii="Times New Roman" w:hAnsi="Times New Roman" w:cs="Times New Roman"/>
          <w:sz w:val="20"/>
          <w:szCs w:val="20"/>
        </w:rPr>
        <w:t>. This shift has led to increased research and development efforts in creating innovative, environmentally friendly formulations that meet consumer expectations for both efficacy and sustainability. The integration of nanotechnology and green chemistry approaches in developing these microemulsions offers promising perspectives for creating sustainable and eco-friendly cosmetic ingredients.</w:t>
      </w:r>
      <w:r w:rsidR="00AE26FD" w:rsidRPr="005E0C1C">
        <w:rPr>
          <w:rFonts w:ascii="Times New Roman" w:hAnsi="Times New Roman" w:cs="Times New Roman"/>
          <w:sz w:val="20"/>
          <w:szCs w:val="20"/>
        </w:rPr>
        <w:fldChar w:fldCharType="begin"/>
      </w:r>
      <w:r w:rsidR="00AE26FD" w:rsidRPr="005E0C1C">
        <w:rPr>
          <w:rFonts w:ascii="Times New Roman" w:hAnsi="Times New Roman" w:cs="Times New Roman"/>
          <w:sz w:val="20"/>
          <w:szCs w:val="20"/>
        </w:rPr>
        <w:instrText xml:space="preserve"> ADDIN ZOTERO_ITEM CSL_CITATION {"citationID":"RRidcdSq","properties":{"formattedCitation":"[14], [15], [16]","plainCitation":"[14], [15], [16]","noteIndex":0},"citationItems":[{"id":44,"uris":["http://zotero.org/users/14718816/items/KZJU8USL"],"itemData":{"id":44,"type":"article-journal","abstract":"This research explores the evolving landscape of consumer behaviors within Malaysia’s growing market for green cosmetic products. Globally, the natural and organic cosmetics market has witnessed substantial growth, reflecting an increasing trend toward green cosmetic choices. In Malaysia, a market characterized by diverse consumer preferences and heightened environmental awareness, this study aims to unravel the intricate factors influencing consumers’ intentions in adopting green cosmetic products. Despite a preference for eco-friendly items, challenges arise from the perception that green products are inherently more expensive, leading some consumers to choose more economical alternatives. Sampling methods for this study involved a combination of purposive and convenience sampling. Situated in the unique socio-economic and cultural context of Malaysia, this research employs semi-structured interviews to delve into the factors shaping consumers’ purchase intentions. The findings reveal significant shifts in Malaysian consumers’ purchase behavior, notably an increased inclination to choose green cosmetics when armed with more information and a growing preference for products offering promotions and discounts. The study establishes a conceptual framework, highlighting the intention-behavior gap and brand loyalty as key factors driving these changes in purchase intention among Malaysians.","container-title":"International Journal of Research and Innovation in Social Science","DOI":"10.47772/IJRISS.2024.8090123","ISSN":"24546186","issue":"IX","journalAbbreviation":"IJRISS","page":"1503-1527","source":"DOI.org (Crossref)","title":"Understanding the Consumers’ Purchase Intention Toward Green Cosmetic Products in Malaysia","volume":"VIII","author":[{"family":"Nazri","given":"Nur Ain Shakila"},{"family":"Nordin","given":"Noorsyalina"},{"family":"Sharkawi","given":"Sharizan"}],"issued":{"date-parts":[["2024"]]}}},{"id":45,"uris":["http://zotero.org/users/14718816/items/ZEBF3ISG"],"itemData":{"id":45,"type":"article-journal","abstract":"Abstract\n            The main objective of the current study is to highlight sustainable development from the perspective of the cosmetics industry producing ‘eco-friendly’ products. In the last decades an enhancing interest is being experienced towards sustainable development among cosmetics manufacturing companies, scientific research and development (R &amp; D) laboratories as well as green consumers in the need for natural products safer for health and less toxic for the environment. Several international studies show that cosmetic products formulated with natural ingredients developed by cosmetic industry has a higher annual market growth than for synthetic products. R &amp; D puts special focus on new innovative technologies in green cosmetic products to meet the frequently updated requirements of regulations in compliance with the current legislation. Scientific laboratory market has an increasing importance to evaluate natural and organic raw materials. In this work the authors attempt to focus on the growing importance of research activities to sustainable cosmetics production in life cycle assessment methodology. Naturally, the conceptual scope and extent of this study do not permit all the possible issues to be examined from every aspects due to lack of data, thus it will be endeavored to point out merely the most relevant considerations in the field of cosmetic industry.","container-title":"Visegrad Journal on Bioeconomy and Sustainable Development","DOI":"10.2478/vjbsd-2018-0012","ISSN":"1339-3367","issue":"2","license":"http://creativecommons.org/licenses/by-nc-nd/4.0","page":"62-66","source":"DOI.org (Crossref)","title":"Sustainable Development of Cosmetic Products in the Frame of the Laboratory Market","volume":"7","author":[{"family":"Tolnay","given":"Anita"},{"family":"Koris","given":"András"},{"family":"Magda","given":"Robert"}],"issued":{"date-parts":[["2018",11,1]]}}},{"id":46,"uris":["http://zotero.org/users/14718816/items/GEDYW9W5"],"itemData":{"id":46,"type":"article-journal","abstract":"Sustainable ingredients in cosmetics have been discussed for the past decade, and the COVID-19 pandemic has increased awareness of this significant topic. Consumers are informed and vigilant about clean labels, driving the necessity for sustainability throughout the cosmetic production chain. Moreover, nanotechnology and green chemistry approaches have emerged as innovative perspectives to develop sustainable and eco-friendly cosmetic ingredients. In this sense, in this review, we present examples and applications of sustainable ingredients derived from several types of sources (i.e., plants, animals, microorganisms, cell cultures, and recycled materials/biomaterials). The benefits and drawbacks of all classes of compounds were organized and discussed in relation to novel formulations/products. Finally, we addressed perspectives on cosmetic ingredients that prioritize sustainability and safety, with an emphasis on exploring sustainable ingredients, compounds, or molecules as promising areas for research and development.","container-title":"Clean Technologies","DOI":"10.3390/cleantechnol6010011","ISSN":"2571-8797","issue":"1","journalAbbreviation":"Clean Technol.","language":"en","license":"https://creativecommons.org/licenses/by/4.0/","page":"176-198","source":"DOI.org (Crossref)","title":"Innovative Approaches to an Eco-Friendly Cosmetic Industry: A Review of Sustainable Ingredients","title-short":"Innovative Approaches to an Eco-Friendly Cosmetic Industry","volume":"6","author":[{"family":"Sasounian","given":"Rafaela"},{"family":"Martinez","given":"Renata Miliani"},{"family":"Lopes","given":"André Moreni"},{"family":"Giarolla","given":"Jeanine"},{"family":"Rosado","given":"Catarina"},{"family":"Magalhães","given":"Wagner Vidal"},{"family":"Velasco","given":"Maria Valéria Robles"},{"family":"Baby","given":"André Rolim"}],"issued":{"date-parts":[["2024",2,8]]}}}],"schema":"https://github.com/citation-style-language/schema/raw/master/csl-citation.json"} </w:instrText>
      </w:r>
      <w:r w:rsidR="00AE26FD" w:rsidRPr="005E0C1C">
        <w:rPr>
          <w:rFonts w:ascii="Times New Roman" w:hAnsi="Times New Roman" w:cs="Times New Roman"/>
          <w:sz w:val="20"/>
          <w:szCs w:val="20"/>
        </w:rPr>
        <w:fldChar w:fldCharType="separate"/>
      </w:r>
      <w:r w:rsidR="002F6667" w:rsidRPr="002F6667">
        <w:rPr>
          <w:rFonts w:ascii="Times New Roman" w:hAnsi="Times New Roman" w:cs="Times New Roman"/>
          <w:sz w:val="20"/>
        </w:rPr>
        <w:t>[14], [15], [16]</w:t>
      </w:r>
      <w:r w:rsidR="00AE26FD" w:rsidRPr="005E0C1C">
        <w:rPr>
          <w:rFonts w:ascii="Times New Roman" w:hAnsi="Times New Roman" w:cs="Times New Roman"/>
          <w:sz w:val="20"/>
          <w:szCs w:val="20"/>
        </w:rPr>
        <w:fldChar w:fldCharType="end"/>
      </w:r>
    </w:p>
    <w:p w14:paraId="1CCB1FDE" w14:textId="77777777" w:rsidR="0028155A" w:rsidRDefault="0028155A" w:rsidP="00275560">
      <w:pPr>
        <w:pStyle w:val="ListParagraph"/>
        <w:jc w:val="both"/>
      </w:pPr>
    </w:p>
    <w:p w14:paraId="6C06CAF8" w14:textId="553CEA2B" w:rsidR="0028155A" w:rsidRPr="006B4527" w:rsidRDefault="00ED4B1B" w:rsidP="006B4527">
      <w:pPr>
        <w:pStyle w:val="ListParagraph"/>
        <w:numPr>
          <w:ilvl w:val="1"/>
          <w:numId w:val="4"/>
        </w:numPr>
        <w:rPr>
          <w:rFonts w:ascii="Times New Roman" w:hAnsi="Times New Roman" w:cs="Times New Roman"/>
          <w:b/>
          <w:bCs/>
        </w:rPr>
      </w:pPr>
      <w:r w:rsidRPr="006B4527">
        <w:rPr>
          <w:rFonts w:ascii="Times New Roman" w:hAnsi="Times New Roman" w:cs="Times New Roman"/>
          <w:b/>
          <w:bCs/>
        </w:rPr>
        <w:t xml:space="preserve">Food Industry </w:t>
      </w:r>
    </w:p>
    <w:p w14:paraId="0FD8B85D" w14:textId="77777777" w:rsidR="00ED4B1B" w:rsidRDefault="00ED4B1B" w:rsidP="00ED4B1B">
      <w:pPr>
        <w:pStyle w:val="ListParagraph"/>
        <w:ind w:left="1080"/>
        <w:jc w:val="both"/>
      </w:pPr>
    </w:p>
    <w:p w14:paraId="22B6F6D7" w14:textId="3A832A33" w:rsidR="00ED4B1B" w:rsidRPr="006B4527" w:rsidRDefault="00ED4B1B" w:rsidP="009D0A71">
      <w:pPr>
        <w:jc w:val="both"/>
        <w:rPr>
          <w:rFonts w:ascii="Times New Roman" w:hAnsi="Times New Roman" w:cs="Times New Roman"/>
          <w:sz w:val="20"/>
          <w:szCs w:val="20"/>
        </w:rPr>
      </w:pPr>
      <w:r w:rsidRPr="006B4527">
        <w:rPr>
          <w:rFonts w:ascii="Times New Roman" w:hAnsi="Times New Roman" w:cs="Times New Roman"/>
          <w:sz w:val="20"/>
          <w:szCs w:val="20"/>
        </w:rPr>
        <w:t>Green microemulsions are gaining prominence in the food industry due to their unique properties and potential for sustainable applications. These systems combine the benefits of microemulsions with environmentally friendly components, addressing the growing demand for greener food products.  Microemulsions are homogeneous, transparent liquids consisting of oil, water, and surfactants, often with cosurfactants. They offer advantages such as significant interfacial area, low interfacial tension, and the ability to solubilize and deliver hydrophobic substances. In the food industry, microemulsions and nano emulsions are becoming increasingly popular due to their stability and optical clarity. These systems can be used to encapsulate, deliver, and protect food components like oil-soluble Flavors, vitamins, colorants, preservatives, and other bioactive ingredients.  Interestingly, the incorporation of essential oils in nano emulsions has shown promise in developing environmentally friendly food packaging materials. By nanoemulsifying essential oil, it is possible to increase their antimicrobial activity while reducing the amount required, addressing concerns about organoleptic acceptance levels. This approach can help extend the shelf-life of food products while improving their quality and safety during storage.  In conclusion, green microemulsions offer a sustainable solution for various food applications, from packaging to ingredient delivery. The use of natural emulsifiers, such as phospholipids, saponins, proteins, polysaccharides, and biosurfactants, further enhances the eco-friendly aspect of these systems. As the food industry continues to prioritize sustainability and consumer demands for greener products, the development and application of green microemulsions are likely to expand, contributing to more environmentally responsible food processing and packaging solutions.</w:t>
      </w:r>
      <w:r w:rsidRPr="006B4527">
        <w:rPr>
          <w:rFonts w:ascii="Times New Roman" w:hAnsi="Times New Roman" w:cs="Times New Roman"/>
          <w:sz w:val="20"/>
          <w:szCs w:val="20"/>
        </w:rPr>
        <w:fldChar w:fldCharType="begin"/>
      </w:r>
      <w:r w:rsidRPr="006B4527">
        <w:rPr>
          <w:rFonts w:ascii="Times New Roman" w:hAnsi="Times New Roman" w:cs="Times New Roman"/>
          <w:sz w:val="20"/>
          <w:szCs w:val="20"/>
        </w:rPr>
        <w:instrText xml:space="preserve"> ADDIN ZOTERO_ITEM CSL_CITATION {"citationID":"cHMliqgk","properties":{"formattedCitation":"[17], [18], [19]","plainCitation":"[17], [18], [19]","noteIndex":0},"citationItems":[{"id":52,"uris":["http://zotero.org/users/14718816/items/QSQMZKCQ"],"itemData":{"id":52,"type":"article-journal","abstract":"Edible films with essential oils (EOs) are becoming increasingly popular as an alternative to synthetic packaging due to their environmentally friendly properties and ability as carriers of active compounds. However, the required amounts of EOs to impart effective antimicrobial properties generally exceed the organoleptic acceptance levels. However, by nanoemulsifying EOs, it is possible to increase their antimicrobial activity while reducing the amount required. This review provides an overview of the physico-chemical and mechanical properties of polysaccharide-based edible films incorporated with EOs nanoemulsions and of their application to the preservation of different food types. By incorporating EOs nanoemulsions into the packaging matrix, these edible films can help to extend the shelf-life of food products while also improving the quality and safety of the food product during storage. It can be concluded that these edible films have the potential to be used in the food industry as a green, sustainable, and biodegradable method for perishable foods preservation.","container-title":"Foods","DOI":"10.3390/foods11040555","ISSN":"2304-8158","issue":"4","journalAbbreviation":"Foods","language":"en","license":"https://creativecommons.org/licenses/by/4.0/","page":"555","source":"DOI.org (Crossref)","title":"Polysaccharide-Based Edible Films Incorporated with Essential Oil Nanoemulsions: Physico-Chemical, Mechanical Properties and Its Application in Food Preservation—A Review","title-short":"Polysaccharide-Based Edible Films Incorporated with Essential Oil Nanoemulsions","volume":"11","author":[{"family":"Kong","given":"Ianne"},{"family":"Degraeve","given":"Pascal"},{"family":"Pui","given":"Liew Phing"}],"issued":{"date-parts":[["2022",2,16]]}}},{"id":50,"uris":["http://zotero.org/users/14718816/items/RI7TLU5P"],"itemData":{"id":50,"type":"article-journal","abstract":"Natural products refer to chemicals or compounds from living creatures occurring naturally in the environment. Natural commodities, such as spices, herbs, and medical remedies, are often used as additions. Natural products have many advantages, such as their environmentally sustainable nature, compatibility with the skin, affordability, and widespread availability. Nevertheless, developing natural products has several challenges, such as limited options for ingredients, functional limitations of natural substances, considerations about stability and preservation, consumer perceptions and expectations, and the variability in the composition of natural products. Microemulsions are prevalent emulsions that incorporate nanoparticles. A microemulsion is a homogeneous, transparent liquid consisting of oil, water, and a surfactant, often combined with a cosurfactant. The use of microemulsions has been extensively observed in many chemical and pharmacological applications owing to their unique attributes, such as a significant interfacial area, little interfacial tension, and the ability to solubilise and deliver hydrophobic substances. Therefore, the present review paper aims to comprehensively analyse microemulsion technology and its applications as an environmentally friendly formulation for natural products. Here, we propose strategies and research on microemulsions to overcome problems in natural product formulations.","container-title":"Pharmacy Education","DOI":"10.46542/pe.2024.246.124127","ISSN":"1477-2701, 1560-2214","issue":"6","journalAbbreviation":"Pharm Educ","page":"124-127","source":"DOI.org (Crossref)","title":"Microemulsion technology: Nanoparticle-based emulsion as a sustainable natural product formulation","title-short":"Microemulsion technology","volume":"24","author":[{"family":"Sembiring","given":"Mikael Ham"},{"literal":"Arsyadi"},{"family":"Riadi","given":"Taufik"}],"issued":{"date-parts":[["2024",6,14]]}}},{"id":54,"uris":["http://zotero.org/users/14718816/items/F8Z2NNUX"],"itemData":{"id":54,"type":"chapter","abstract":"The food industry depends on using different additives, which increases the search for effective natural or natural-derived solutions, to the detriment of the synthetic counterparts, a priority in a biobased and circular economy scenario. In this context, different natural emulsifiers are being studied to create a new generation of emulsion-based products. Among them, phospholipids, saponins, proteins, polysaccharides, biosurfactants (e.g., compounds derived from microbial fermentation), and organic-based solid particles (Pickering stabilizers) are being used or start to gather interest from the food industry. This chapter includes the basic theoretical fundamentals of emulsions technology, stabilization mechanisms, and stability. The preparation of oil-in-water (O/W) and water-in-oil (W/O) emulsions, the potential of double emulsions, and the re-emerging Pickering emulsions are discussed. Moreover, the most relevant natural-derived emulsifier families (e.g., origin, stabilization mechanism, and applications) focusing food applications are presented. The document is grounded in a bibliographic review mainly centered on the last 10-years, and bibliometric data was rationalized and used to better establish the hot topics in the proposed thematic.","container-title":"Natural Food Additives","ISBN":"978-1-83968-959-8","language":"en","license":"https://creativecommons.org/licenses/by/3.0/legalcode","note":"DOI: 10.5772/intechopen.99892","publisher":"IntechOpen","source":"DOI.org (Crossref)","title":"New Trends in Natural Emulsifiers and Emulsion Technology for the Food Industry","URL":"https://www.intechopen.com/chapters/78387","editor":[{"family":"A. Prieto","given":"Miguel"},{"family":"Otero","given":"Paz"}],"author":[{"family":"Santamaria-Echart","given":"Arantzazu"},{"family":"P. Fernandes","given":"Isabel"},{"family":"C. Silva","given":"Samara"},{"family":"C. Rezende","given":"Stephany"},{"family":"Colucci","given":"Giovana"},{"family":"M. Dias","given":"Madalena"},{"family":"Filomena Barreiro","given":"Maria"}],"accessed":{"date-parts":[["2024",10,28]]},"issued":{"date-parts":[["2022",10,5]]}}}],"schema":"https://github.com/citation-style-language/schema/raw/master/csl-citation.json"} </w:instrText>
      </w:r>
      <w:r w:rsidRPr="006B4527">
        <w:rPr>
          <w:rFonts w:ascii="Times New Roman" w:hAnsi="Times New Roman" w:cs="Times New Roman"/>
          <w:sz w:val="20"/>
          <w:szCs w:val="20"/>
        </w:rPr>
        <w:fldChar w:fldCharType="separate"/>
      </w:r>
      <w:r w:rsidR="002F6667" w:rsidRPr="002F6667">
        <w:rPr>
          <w:rFonts w:ascii="Times New Roman" w:hAnsi="Times New Roman" w:cs="Times New Roman"/>
          <w:sz w:val="20"/>
        </w:rPr>
        <w:t>[17], [18], [19]</w:t>
      </w:r>
      <w:r w:rsidRPr="006B4527">
        <w:rPr>
          <w:rFonts w:ascii="Times New Roman" w:hAnsi="Times New Roman" w:cs="Times New Roman"/>
          <w:sz w:val="20"/>
          <w:szCs w:val="20"/>
        </w:rPr>
        <w:fldChar w:fldCharType="end"/>
      </w:r>
    </w:p>
    <w:p w14:paraId="74A5E3BC" w14:textId="77777777" w:rsidR="0028155A" w:rsidRDefault="0028155A" w:rsidP="0028155A">
      <w:pPr>
        <w:pStyle w:val="ListParagraph"/>
        <w:jc w:val="both"/>
      </w:pPr>
    </w:p>
    <w:p w14:paraId="4B8FF6AA" w14:textId="51F2108F" w:rsidR="00C67001" w:rsidRPr="006B4527" w:rsidRDefault="003E7A1C" w:rsidP="006B4527">
      <w:pPr>
        <w:pStyle w:val="ListParagraph"/>
        <w:numPr>
          <w:ilvl w:val="1"/>
          <w:numId w:val="4"/>
        </w:numPr>
        <w:rPr>
          <w:rFonts w:ascii="Times New Roman" w:hAnsi="Times New Roman" w:cs="Times New Roman"/>
          <w:b/>
          <w:bCs/>
        </w:rPr>
      </w:pPr>
      <w:r w:rsidRPr="006B4527">
        <w:rPr>
          <w:rFonts w:ascii="Times New Roman" w:hAnsi="Times New Roman" w:cs="Times New Roman"/>
          <w:b/>
          <w:bCs/>
        </w:rPr>
        <w:t xml:space="preserve">Agrochemical industry </w:t>
      </w:r>
    </w:p>
    <w:p w14:paraId="00B71F42" w14:textId="7F29E042" w:rsidR="003B4371" w:rsidRPr="006B4527" w:rsidRDefault="003B4371" w:rsidP="003B4371">
      <w:pPr>
        <w:jc w:val="both"/>
        <w:rPr>
          <w:rFonts w:ascii="Times New Roman" w:hAnsi="Times New Roman" w:cs="Times New Roman"/>
          <w:sz w:val="20"/>
          <w:szCs w:val="20"/>
        </w:rPr>
      </w:pPr>
      <w:r w:rsidRPr="006B4527">
        <w:rPr>
          <w:rFonts w:ascii="Times New Roman" w:hAnsi="Times New Roman" w:cs="Times New Roman"/>
          <w:sz w:val="20"/>
          <w:szCs w:val="20"/>
        </w:rPr>
        <w:t>Green microemulsions have emerged as promising potential pesticide carriers, offering numerous advantages over conventional formulations. These environmentally friendly systems are thermodynamically stable, transparent liquids composed of polar and non-polar phases, surfactants, and often co-</w:t>
      </w:r>
      <w:r w:rsidR="00CF642B" w:rsidRPr="006B4527">
        <w:rPr>
          <w:rFonts w:ascii="Times New Roman" w:hAnsi="Times New Roman" w:cs="Times New Roman"/>
          <w:sz w:val="20"/>
          <w:szCs w:val="20"/>
        </w:rPr>
        <w:t>surfactants. They</w:t>
      </w:r>
      <w:r w:rsidRPr="006B4527">
        <w:rPr>
          <w:rFonts w:ascii="Times New Roman" w:hAnsi="Times New Roman" w:cs="Times New Roman"/>
          <w:sz w:val="20"/>
          <w:szCs w:val="20"/>
        </w:rPr>
        <w:t xml:space="preserve"> provide improved solubilization of active ingredients, enhanced bioavailability, and better stability during application, resulting in increased efficacy for pest control.  The development of green pesticide microemulsions involves careful selection of components to ensure environmental compatibility. For instance, a chlorpyrifos microemulsion was successfully formulated using environment-friendly compounds, consisting of chlorpyrifos, ethyl acetate, agricultural emulsifier, natural carboxylate, glycol, ethanol, and </w:t>
      </w:r>
      <w:r w:rsidR="0012048D" w:rsidRPr="006B4527">
        <w:rPr>
          <w:rFonts w:ascii="Times New Roman" w:hAnsi="Times New Roman" w:cs="Times New Roman"/>
          <w:sz w:val="20"/>
          <w:szCs w:val="20"/>
        </w:rPr>
        <w:t>water Similarly</w:t>
      </w:r>
      <w:r w:rsidRPr="006B4527">
        <w:rPr>
          <w:rFonts w:ascii="Times New Roman" w:hAnsi="Times New Roman" w:cs="Times New Roman"/>
          <w:sz w:val="20"/>
          <w:szCs w:val="20"/>
        </w:rPr>
        <w:t xml:space="preserve">, sophorolipid biosurfactants have been utilized to create cost-effective and environmentally friendly </w:t>
      </w:r>
      <w:r w:rsidR="0012048D" w:rsidRPr="006B4527">
        <w:rPr>
          <w:rFonts w:ascii="Times New Roman" w:hAnsi="Times New Roman" w:cs="Times New Roman"/>
          <w:sz w:val="20"/>
          <w:szCs w:val="20"/>
        </w:rPr>
        <w:t>nano pesticide</w:t>
      </w:r>
      <w:r w:rsidRPr="006B4527">
        <w:rPr>
          <w:rFonts w:ascii="Times New Roman" w:hAnsi="Times New Roman" w:cs="Times New Roman"/>
          <w:sz w:val="20"/>
          <w:szCs w:val="20"/>
        </w:rPr>
        <w:t xml:space="preserve"> systems loaded with lambda-cyhalothrin, demonstrating superior insecticidal efficacy compared to commercial emulsifiable concentrate formulations</w:t>
      </w:r>
      <w:r w:rsidR="00CF642B" w:rsidRPr="006B4527">
        <w:rPr>
          <w:rFonts w:ascii="Times New Roman" w:hAnsi="Times New Roman" w:cs="Times New Roman"/>
          <w:sz w:val="20"/>
          <w:szCs w:val="20"/>
        </w:rPr>
        <w:t>.</w:t>
      </w:r>
      <w:r w:rsidRPr="006B4527">
        <w:rPr>
          <w:rFonts w:ascii="Times New Roman" w:hAnsi="Times New Roman" w:cs="Times New Roman"/>
          <w:sz w:val="20"/>
          <w:szCs w:val="20"/>
        </w:rPr>
        <w:t xml:space="preserve"> (Interestingly, the stability and performance of agrochemical microemulsions depend on various </w:t>
      </w:r>
      <w:r w:rsidRPr="006B4527">
        <w:rPr>
          <w:rFonts w:ascii="Times New Roman" w:hAnsi="Times New Roman" w:cs="Times New Roman"/>
          <w:sz w:val="20"/>
          <w:szCs w:val="20"/>
        </w:rPr>
        <w:lastRenderedPageBreak/>
        <w:t xml:space="preserve">factors, including the nature of the pesticide, surfactant type and concentration, and the match between surfactant and oil </w:t>
      </w:r>
      <w:r w:rsidR="0012048D" w:rsidRPr="006B4527">
        <w:rPr>
          <w:rFonts w:ascii="Times New Roman" w:hAnsi="Times New Roman" w:cs="Times New Roman"/>
          <w:sz w:val="20"/>
          <w:szCs w:val="20"/>
        </w:rPr>
        <w:t>phase.</w:t>
      </w:r>
      <w:r w:rsidRPr="006B4527">
        <w:rPr>
          <w:rFonts w:ascii="Times New Roman" w:hAnsi="Times New Roman" w:cs="Times New Roman"/>
          <w:sz w:val="20"/>
          <w:szCs w:val="20"/>
        </w:rPr>
        <w:t xml:space="preserve"> However, water quality has been shown to have minimal effect on the cloud point of agrochemical microemulsions. These findings highlight the importance of optimizing formulation parameters to achieve desired performance characteristics.  In conclusion, green microemulsions offer a promising approach to developing sustainable and effective pesticide carriers. Their unique properties, such as high stability, spontaneous formation, and excellent solubilization potential, make them ideal candidates for improving pesticide delivery and reducing environmental impact </w:t>
      </w:r>
      <w:r w:rsidR="0012048D" w:rsidRPr="006B4527">
        <w:rPr>
          <w:rFonts w:ascii="Times New Roman" w:hAnsi="Times New Roman" w:cs="Times New Roman"/>
          <w:sz w:val="20"/>
          <w:szCs w:val="20"/>
        </w:rPr>
        <w:t>as</w:t>
      </w:r>
      <w:r w:rsidRPr="006B4527">
        <w:rPr>
          <w:rFonts w:ascii="Times New Roman" w:hAnsi="Times New Roman" w:cs="Times New Roman"/>
          <w:sz w:val="20"/>
          <w:szCs w:val="20"/>
        </w:rPr>
        <w:t xml:space="preserve"> research in this field continues to advance, green microemulsions are likely to play an increasingly important role in the development of eco-friendly agricultural solutions.</w:t>
      </w:r>
      <w:r w:rsidR="00CF642B" w:rsidRPr="006B4527">
        <w:rPr>
          <w:rFonts w:ascii="Times New Roman" w:hAnsi="Times New Roman" w:cs="Times New Roman"/>
          <w:sz w:val="20"/>
          <w:szCs w:val="20"/>
        </w:rPr>
        <w:fldChar w:fldCharType="begin"/>
      </w:r>
      <w:r w:rsidR="005A045D" w:rsidRPr="006B4527">
        <w:rPr>
          <w:rFonts w:ascii="Times New Roman" w:hAnsi="Times New Roman" w:cs="Times New Roman"/>
          <w:sz w:val="20"/>
          <w:szCs w:val="20"/>
        </w:rPr>
        <w:instrText xml:space="preserve"> ADDIN ZOTERO_ITEM CSL_CITATION {"citationID":"OfH4PNEz","properties":{"formattedCitation":"[20], [21], [22], [22], [23], [24]","plainCitation":"[20], [21], [22], [22], [23], [24]","noteIndex":0},"citationItems":[{"id":63,"uris":["http://zotero.org/users/14718816/items/8JGZLZ5V"],"itemData":{"id":63,"type":"article-journal","container-title":"Journal of Dispersion Science and Technology","DOI":"10.1080/01932691.2016.1172315","ISSN":"0193-2691, 1532-2351","issue":"3","journalAbbreviation":"Journal of Dispersion Science and Technology","language":"en","page":"409-415","source":"DOI.org (Crossref)","title":"Formulation and physicochemical properties of promising avermectin microemulsion with biodegradable surfactant and oil","volume":"38","author":[{"family":"Wang","given":"Chuanxin"},{"family":"Tai","given":"Xiumei"},{"family":"Du","given":"Zhiping"},{"family":"Liu","given":"Xiaoying"}],"issued":{"date-parts":[["2017",3,4]]}}},{"id":57,"uris":["http://zotero.org/users/14718816/items/NB6LIVHW"],"itemData":{"id":57,"type":"chapter","container-title":"Emulsion‐based Encapsulation of Antioxidants","event-place":"Cham","ISBN":"978-3-030-62051-6","language":"en","note":"collection-title: Food Bioactive Ingredients\nDOI: 10.1007/978-3-030-62052-3_5","page":"197-224","publisher":"Springer International Publishing","publisher-place":"Cham","source":"DOI.org (Crossref)","title":"Microemulsions as Antioxidant Carriers","URL":"http://link.springer.com/10.1007/978-3-030-62052-3_5","editor":[{"family":"Aboudzadeh","given":"M. Ali"}],"author":[{"family":"Froelich","given":"Anna"},{"family":"Osmałek","given":"Tomasz"}],"accessed":{"date-parts":[["2024",10,28]]},"issued":{"date-parts":[["2020"]]}}},{"id":61,"uris":["http://zotero.org/users/14718816/items/EY67RB58"],"itemData":{"id":61,"type":"article-journal","container-title":"Journal of Agricultural and Food Chemistry","DOI":"10.1021/acs.jafc.2c00743","ISSN":"0021-8561, 1520-5118","issue":"16","journalAbbreviation":"J. Agric. Food Chem.","language":"en","license":"https://doi.org/10.15223/policy-029","page":"4912-4920","source":"DOI.org (Crossref)","title":"Rapid Construction of Green Nanopesticide Delivery Systems Using Sophorolipids as Surfactants by Flash Nanoprecipitation","volume":"70","author":[{"family":"Ma","given":"Enguang"},{"family":"Chen","given":"Kai"},{"family":"Sun","given":"Liang"},{"family":"Fu","given":"Zhinan"},{"family":"Guo","given":"Jiangtao"},{"family":"Liu","given":"Jichang"},{"family":"Zhao","given":"Jigang"},{"family":"Liu","given":"Zhiyong"},{"family":"Lei","given":"Zhigang"},{"family":"Li","given":"Li"},{"family":"Hu","given":"Xiao"},{"family":"Guo","given":"Xuhong"}],"issued":{"date-parts":[["2022",4,27]]}}},{"id":61,"uris":["http://zotero.org/users/14718816/items/EY67RB58"],"itemData":{"id":61,"type":"article-journal","container-title":"Journal of Agricultural and Food Chemistry","DOI":"10.1021/acs.jafc.2c00743","ISSN":"0021-8561, 1520-5118","issue":"16","journalAbbreviation":"J. Agric. Food Chem.","language":"en","license":"https://doi.org/10.15223/policy-029","page":"4912-4920","source":"DOI.org (Crossref)","title":"Rapid Construction of Green Nanopesticide Delivery Systems Using Sophorolipids as Surfactants by Flash Nanoprecipitation","volume":"70","author":[{"family":"Ma","given":"Enguang"},{"family":"Chen","given":"Kai"},{"family":"Sun","given":"Liang"},{"family":"Fu","given":"Zhinan"},{"family":"Guo","given":"Jiangtao"},{"family":"Liu","given":"Jichang"},{"family":"Zhao","given":"Jigang"},{"family":"Liu","given":"Zhiyong"},{"family":"Lei","given":"Zhigang"},{"family":"Li","given":"Li"},{"family":"Hu","given":"Xiao"},{"family":"Guo","given":"Xuhong"}],"issued":{"date-parts":[["2022",4,27]]}}},{"id":58,"uris":["http://zotero.org/users/14718816/items/CAUBFKG7"],"itemData":{"id":58,"type":"article-journal","abstract":"Declines in crop yield due to pests and diseases require the development of safe, green and eco-friendly pesticide formulations. A major problem faced by the agricultural industry is the use of conventional agrochemicals that contribute broad-spectrum effects towards the environment and organisms. As a result of this issue, researchers are currently developing various pesticide formulations using different nanotechnology approaches. The progress and opportunities in developing nanoemulsions as carriers for plant protection or nanodelivery systems for agrochemicals in agricultural practice have been the subject of intense research. New unique chemical and biologic properties have resulted in a promising pesticide nanoformulations for crop protection. These innovations—particularly the nanoemulsion-based agrochemicals—are capable of enhancing the solubility of active ingredients, improving agrochemical bioavailability, and improving stability and wettability properties during the application, thus resulting in better efficacy for pest control and treatment. All of these—together with various preparation methods towards a greener and environmentally friendly agrochemicals—are also discussed and summarized in this review.","container-title":"Nanomaterials","DOI":"10.3390/nano10081608","ISSN":"2079-4991","issue":"8","journalAbbreviation":"Nanomaterials","language":"en","license":"https://creativecommons.org/licenses/by/4.0/","page":"1608","source":"DOI.org (Crossref)","title":"Synthesis and Technology of Nanoemulsion-Based Pesticide Formulation","volume":"10","author":[{"family":"Mustafa","given":"Isshadiba Faikah"},{"family":"Hussein","given":"Mohd Zobir"}],"issued":{"date-parts":[["2020",8,17]]}}},{"id":60,"uris":["http://zotero.org/users/14718816/items/CEAT3IJN"],"itemData":{"id":60,"type":"article-journal","abstract":"Pesticide formulation science is significant to deal with formulation development, production and storage as well as the interaction of the pesticide with plants, insects, mammals, soil, air and water. Aqueous pesticide microemulsion has become one of the most potential pesticide formulation instead of the conventional pesticide formulation in recent years. Very few works has studied the methodology of pesticide microemulsion preparation with environment-friendly compound.The green environment-friendly chorpyriphos pesticide microemulsion was successfully obtained through the further trials of screening of heat storage and cold storage experiments and the examination of dissociation rate. The optimized chorpyriphos microemulsion formulation is composed of chlorpyrifos (2.366%), ethyl acetate (1.001%), agricultural emulsifier 600(5.714%), natural carboxylate (2.857%), glycol (33.972%), ethanol (14.571%), and water (39.519%).","container-title":"Advanced Materials Research","DOI":"10.4028/www.scientific.net/AMR.850-851.1180","ISSN":"1662-8985","journalAbbreviation":"AMR","license":"https://www.scientific.net/PolicyAndEthics/PublishingPolicies","page":"1180-1183","source":"DOI.org (Crossref)","title":"Research and Exploitation of Chorpyriphos Pesticide Microemulsion","volume":"850-851","author":[{"family":"Wu","given":"Ya Qian"},{"family":"Xia","given":"Hong Ying"},{"family":"Zhao","given":"Feng"}],"issued":{"date-parts":[["2013",12]]}}}],"schema":"https://github.com/citation-style-language/schema/raw/master/csl-citation.json"} </w:instrText>
      </w:r>
      <w:r w:rsidR="00CF642B" w:rsidRPr="006B4527">
        <w:rPr>
          <w:rFonts w:ascii="Times New Roman" w:hAnsi="Times New Roman" w:cs="Times New Roman"/>
          <w:sz w:val="20"/>
          <w:szCs w:val="20"/>
        </w:rPr>
        <w:fldChar w:fldCharType="separate"/>
      </w:r>
      <w:r w:rsidR="002F6667" w:rsidRPr="002F6667">
        <w:rPr>
          <w:rFonts w:ascii="Times New Roman" w:hAnsi="Times New Roman" w:cs="Times New Roman"/>
          <w:sz w:val="20"/>
        </w:rPr>
        <w:t>[20], [21], [22], [22], [23], [24]</w:t>
      </w:r>
      <w:r w:rsidR="00CF642B" w:rsidRPr="006B4527">
        <w:rPr>
          <w:rFonts w:ascii="Times New Roman" w:hAnsi="Times New Roman" w:cs="Times New Roman"/>
          <w:sz w:val="20"/>
          <w:szCs w:val="20"/>
        </w:rPr>
        <w:fldChar w:fldCharType="end"/>
      </w:r>
    </w:p>
    <w:p w14:paraId="07FA0905" w14:textId="068D4962" w:rsidR="00AE7F50" w:rsidRPr="006B4527" w:rsidRDefault="00DF7125" w:rsidP="006B4527">
      <w:pPr>
        <w:pStyle w:val="ListParagraph"/>
        <w:numPr>
          <w:ilvl w:val="1"/>
          <w:numId w:val="4"/>
        </w:numPr>
        <w:rPr>
          <w:rFonts w:ascii="Times New Roman" w:hAnsi="Times New Roman" w:cs="Times New Roman"/>
          <w:b/>
          <w:bCs/>
        </w:rPr>
      </w:pPr>
      <w:r w:rsidRPr="006B4527">
        <w:rPr>
          <w:rFonts w:ascii="Times New Roman" w:hAnsi="Times New Roman" w:cs="Times New Roman"/>
          <w:b/>
          <w:bCs/>
        </w:rPr>
        <w:t>Pharmaceutical industry</w:t>
      </w:r>
    </w:p>
    <w:p w14:paraId="0D3B8831" w14:textId="30762BE1" w:rsidR="00AE7F50" w:rsidRDefault="00422F8A" w:rsidP="00DF7125">
      <w:pPr>
        <w:jc w:val="both"/>
      </w:pPr>
      <w:r w:rsidRPr="006B4527">
        <w:rPr>
          <w:rFonts w:ascii="Times New Roman" w:hAnsi="Times New Roman" w:cs="Times New Roman"/>
          <w:sz w:val="20"/>
          <w:szCs w:val="20"/>
        </w:rPr>
        <w:t>Green microemulsions have emerged as a promising approach in drug delivery systems, offering numerous advantages over traditional methods. These systems combine the principles of microemulsion technology with environmentally friendly and sustainable practices, resulting in more effective and safer drug delivery vehicles.  Microemulsions are excellent candidates for drug delivery due to their improved drug solubilization, long shelf life, and ease of preparation and administration. They offer high solubilization capacity, transparency, thermodynamic stability, and high diffusion and absorption rates compared to solvent systems without surfactants. The green synthesis of microemulsions further enhances these benefits by utilizing eco-friendly and cost-effective approaches.  Interestingly, the combination of green nanotechnology and microemulsions has led to innovative drug delivery systems. For instance, the use of plant extracts as reducing agents in the synthesis of silver nanoparticles</w:t>
      </w:r>
      <w:r w:rsidR="00DF7125" w:rsidRPr="006B4527">
        <w:rPr>
          <w:rFonts w:ascii="Times New Roman" w:hAnsi="Times New Roman" w:cs="Times New Roman"/>
          <w:sz w:val="20"/>
          <w:szCs w:val="20"/>
        </w:rPr>
        <w:t xml:space="preserve"> </w:t>
      </w:r>
      <w:r w:rsidRPr="006B4527">
        <w:rPr>
          <w:rFonts w:ascii="Times New Roman" w:hAnsi="Times New Roman" w:cs="Times New Roman"/>
          <w:sz w:val="20"/>
          <w:szCs w:val="20"/>
        </w:rPr>
        <w:t xml:space="preserve">has shown promise in developing advanced drug delivery systems. This approach not only aligns with environmentally friendly practices but also provides a cost-effective and scalable method for nanoparticle production. Similarly, the incorporation of Sargassum </w:t>
      </w:r>
      <w:proofErr w:type="spellStart"/>
      <w:r w:rsidRPr="006B4527">
        <w:rPr>
          <w:rFonts w:ascii="Times New Roman" w:hAnsi="Times New Roman" w:cs="Times New Roman"/>
          <w:sz w:val="20"/>
          <w:szCs w:val="20"/>
        </w:rPr>
        <w:t>cristaefolium</w:t>
      </w:r>
      <w:proofErr w:type="spellEnd"/>
      <w:r w:rsidRPr="006B4527">
        <w:rPr>
          <w:rFonts w:ascii="Times New Roman" w:hAnsi="Times New Roman" w:cs="Times New Roman"/>
          <w:sz w:val="20"/>
          <w:szCs w:val="20"/>
        </w:rPr>
        <w:t xml:space="preserve"> fucoidan into nano emulsions has demonstrated improved physicochemical properties, antioxidant capacity, and biocompatibility.  In conclusion, green microemulsions represent a significant advancement in drug delivery systems, offering improved efficacy, safety, and sustainability. By combining the benefits of microemulsion technology with environmentally friendly synthesis methods, these systems have the potential to revolutionize drug delivery across various routes of administration, including oral, dermal, and parenteral. As research in this field continues to evolve, green microemulsions are likely to play an increasingly important role in the development of novel and effective drug delivery strategies.</w:t>
      </w:r>
      <w:r w:rsidR="006716A1" w:rsidRPr="006B4527">
        <w:rPr>
          <w:rFonts w:ascii="Times New Roman" w:hAnsi="Times New Roman" w:cs="Times New Roman"/>
          <w:sz w:val="20"/>
          <w:szCs w:val="20"/>
        </w:rPr>
        <w:fldChar w:fldCharType="begin"/>
      </w:r>
      <w:r w:rsidR="006716A1" w:rsidRPr="006B4527">
        <w:rPr>
          <w:rFonts w:ascii="Times New Roman" w:hAnsi="Times New Roman" w:cs="Times New Roman"/>
          <w:sz w:val="20"/>
          <w:szCs w:val="20"/>
        </w:rPr>
        <w:instrText xml:space="preserve"> ADDIN ZOTERO_ITEM CSL_CITATION {"citationID":"CYZ6wnKb","properties":{"formattedCitation":"[25], [26], [26], [27], [28]","plainCitation":"[25], [26], [26], [27], [28]","noteIndex":0},"citationItems":[{"id":68,"uris":["http://zotero.org/users/14718816/items/BG8GLEPR"],"itemData":{"id":68,"type":"article-journal","abstract":"Background: The skeletal system, crucial for structural support, movement, and various metabolic processes, is continually remodeled through the balanced activity of osteoblasts, osteocytes, and osteoclasts. Disruptions in this balance lead to bone disorders, including osteoporosis and osteogenesis imperfecta, necessitating effective therapeutic strategies. Traditional drug delivery systems face challenges such as poor targeting efficiency and systemic toxicity. Aim: This review examines the application of green nanotechnology in developing advanced drug delivery systems for treating osteogenic disorders. Green nanotechnology focuses on using environmentally friendly methods to synthesize nanomaterials (NMs) that enhance drug delivery and promote bone regeneration while minimizing toxicity. Methods: The review evaluates various nanotechnology-based drug delivery systems, including bisphosphonates, tetracyclines, oligopeptides, and aptamers, and their applications in bone health. It highlights the limitations of conventional approaches and the potential of green nanotechnology to overcome these challenges. The review covers polysaccharide-based, protein-based, calcium-based, and silica-based green nanotechnologies and their roles in improving drug delivery for bone disorders. Results: Green nanotechnology has demonstrated significant promise in enhancing drug delivery for osteogenic disorders. Polysaccharide-based systems, such as heparin and chitosan nanocomplexes, offer improved targeting and drug release capabilities. Protein-based technologies, including silk sericin and collagen, support bone repair and regeneration.","container-title":"International journal of health sciences","DOI":"10.53730/ijhs.v4nS1.15037","ISSN":"2550-696X","issue":"S1","journalAbbreviation":"Int. J. of Health Sci.","license":"http://creativecommons.org/licenses/by-nc-nd/4.0","page":"67-86","source":"DOI.org (Crossref)","title":"Drug delivery systems for osteogenic disorders utilizing green nanotechnology","volume":"4","author":[{"family":"Alehaidib","given":"Soliman Mohammed"},{"family":"Alharbi","given":"Omar Obaid"},{"family":"Almegbel","given":"Maysam Taysir"},{"family":"Alzahrani","given":"Ahlam Mohammed"}],"issued":{"date-parts":[["2020",1,15]]}}},{"id":66,"uris":["http://zotero.org/users/14718816/items/MUF6I4DQ"],"itemData":{"id":66,"type":"article-journal","container-title":"Current Drug Delivery","DOI":"10.2174/156720106777731118","ISSN":"15672018","issue":"3","journalAbbreviation":"CDD","language":"en","page":"267-273","source":"DOI.org (Crossref)","title":"Applications of Microemulsion Based Drug Delivery System","volume":"3","author":[{"family":"Jadhav","given":"K."},{"family":"Shaikh","given":"I."},{"family":"Ambade","given":"K."},{"family":"Kadam","given":"V."}],"issued":{"date-parts":[["2006",7,1]]}}},{"id":66,"uris":["http://zotero.org/users/14718816/items/MUF6I4DQ"],"itemData":{"id":66,"type":"article-journal","container-title":"Current Drug Delivery","DOI":"10.2174/156720106777731118","ISSN":"15672018","issue":"3","journalAbbreviation":"CDD","language":"en","page":"267-273","source":"DOI.org (Crossref)","title":"Applications of Microemulsion Based Drug Delivery System","volume":"3","author":[{"family":"Jadhav","given":"K."},{"family":"Shaikh","given":"I."},{"family":"Ambade","given":"K."},{"family":"Kadam","given":"V."}],"issued":{"date-parts":[["2006",7,1]]}}},{"id":64,"uris":["http://zotero.org/users/14718816/items/7ATUMDN3"],"itemData":{"id":64,"type":"article-journal","abstract":"Microemulsions are excellent candidates as potential drug delivery systems because of their improved drug solubilization, long shelf life, and ease of preparation and administration. The formulation of microemulsion for pharmaceutical use requires a thorough understanding of the properties, uses, and limitations of microemulsion. Three distinct microemulsions – oil external, water external and middle phase can be used for drug delivery, depending upon the type of drug delivery upon the type of drug and the site of action. In this article, Since the term ‘microemulsion’ was first coined almost fifty years ago to describe clear, isotropic, thermodynamically stable systems composed of oil, water, surfactant and cosurfactant, numerous and varied reports of the applications of microemulsions have appeared in the literature. Reports of the use of microemulsions in separation science began to appear in the literature in the early 1990’s when they were first used as mobile phases for HPLC and as carrier electrolytes for CE separations, particularly for pharmaceutical applications.","container-title":"Journal of Scientific and Innovative Research","DOI":"10.31254/jsir.2014.3412","ISSN":"23204818","issue":"4","journalAbbreviation":"J. Sci. Innov. Res.","page":"467-474","source":"DOI.org (Crossref)","title":"Microemulsions: As drug delivery system","title-short":"Microemulsions","volume":"3","author":[{"literal":"Department of Pharmaceutics, B.N. Institute of Pharmaceutical Sciences, Udaipur-313002, Rajasthan, India"},{"family":"Mishra","given":"Amul"},{"family":"Panola","given":"Ridhi"},{"literal":"Department of Pharmaceutics, B.N. Institute of Pharmaceutical Sciences, Udaipur-313002, Rajasthan, India"},{"family":"Rana","given":"A.C."},{"literal":"Director, Institute of Pharmacy, Krukshetra University, Krukshetra136119, Haryana, India"}],"issued":{"date-parts":[["2014",8,25]]}}},{"id":72,"uris":["http://zotero.org/users/14718816/items/Z7ATYDZI"],"itemData":{"id":72,"type":"article-journal","abstract":"The burgeoning field of nanotechnology has ushered in innovative Novel drug delivery systems (NDDS) that enhance the efficacy, safety, and patient compliance of pharmaceutical treatments. This study explores the synthesis and application of silver nanoparticles (AgNPs) using green chemistry approaches, specifically leveraging plant extracts as reducing agents. AgNPs, known for their unique physical and chemical properties, including antimicrobial capabilities, offer significant potential in modern drug delivery. This study investigates the potential of using Allium cepa peel waste for the green synthesis of silver nanoparticles. This study also revealed the resultant formation of silver nanoparticles through microscopy and UV spectroscopy, which were further analyzed by Scanning Electron Microscopy. This green synthesis method not only aligns with environmentally friendly practices but also provides a cost-effective and scalable approach to nanoparticle production. We formulated a hair dye incorporating these AgNPs and evaluated its physicochemical parameters, demonstrating enhanced performance compared to control formulations without nanoparticles. This work underscores the promise of green-synthesized nanoparticles in developing advanced drug delivery systems, offering insights into future applications in anticancer and antimicrobial treatments. Our findings advocate for the broader adoption of sustainable nanotechnology in pharmaceutical sciences, potentially revolutionizing the treatment landscape with safer and more effective therapeutic options.","container-title":"Chinese Journal of Applied Physiology","DOI":"10.62958/j.cjap.2024.023","ISSN":"10006834","journalAbbreviation":"CJAP","page":"e20240023","source":"DOI.org (Crossref)","title":"Preparation of Allium Cepa Peel Extract-mediated Silver Nanoparticles: A Hair Dye Formulation","title-short":"Preparation of Allium Cepa Peel Extract-mediated Silver Nanoparticles","volume":"40","author":[{"literal":"Malla Reddy Institute of Pharmaceutical Sciences, Jawaharlal Nehru Technological University, Kompally, Hyderabad, Telangana, India"},{"family":"Rama","given":"B."},{"family":"K","given":"Srujana"},{"literal":"Malla Reddy Institute of Pharmaceutical Sciences, Jawaharlal Nehru Technological University, Kompally, Hyderabad, Telangana, India"},{"family":"Sudhamani","given":"K."},{"literal":"Malla Reddy Institute of Pharmaceutical Sciences, Jawaharlal Nehru Technological University, Kompally, Hyderabad, Telangana, India"},{"family":"Dhule","given":"Shweta Manoj"},{"literal":"Malla Reddy Institute of Pharmaceutical Sciences, Jawaharlal Nehru Technological University, Kompally, Hyderabad, Telangana, India"},{"family":"Rani","given":"L. Jyothi"},{"literal":"Malla Reddy Institute of Pharmaceutical Sciences, Jawaharlal Nehru Technological University, Kompally, Hyderabad, Telangana, India"},{"family":"Rajkamal","given":"B."},{"literal":"Malla Reddy Institute of Pharmaceutical Sciences, Jawaharlal Nehru Technological University, Kompally, Hyderabad, Telangana, India"},{"family":"Nagalaxmi","given":"V."},{"literal":"Malla Reddy Institute of Pharmaceutical Sciences, Jawaharlal Nehru Technological University, Kompally, Hyderabad, Telangana, India"}],"issued":{"date-parts":[["2024"]]}}}],"schema":"https://github.com/citation-style-language/schema/raw/master/csl-citation.json"} </w:instrText>
      </w:r>
      <w:r w:rsidR="006716A1" w:rsidRPr="006B4527">
        <w:rPr>
          <w:rFonts w:ascii="Times New Roman" w:hAnsi="Times New Roman" w:cs="Times New Roman"/>
          <w:sz w:val="20"/>
          <w:szCs w:val="20"/>
        </w:rPr>
        <w:fldChar w:fldCharType="separate"/>
      </w:r>
      <w:r w:rsidR="002F6667" w:rsidRPr="002F6667">
        <w:rPr>
          <w:rFonts w:ascii="Times New Roman" w:hAnsi="Times New Roman" w:cs="Times New Roman"/>
          <w:sz w:val="20"/>
        </w:rPr>
        <w:t>[25], [26], [26], [27], [28]</w:t>
      </w:r>
      <w:r w:rsidR="006716A1" w:rsidRPr="006B4527">
        <w:rPr>
          <w:rFonts w:ascii="Times New Roman" w:hAnsi="Times New Roman" w:cs="Times New Roman"/>
          <w:sz w:val="20"/>
          <w:szCs w:val="20"/>
        </w:rPr>
        <w:fldChar w:fldCharType="end"/>
      </w:r>
      <w:r w:rsidR="00C42AD7">
        <w:t>.</w:t>
      </w:r>
    </w:p>
    <w:p w14:paraId="6E87C353" w14:textId="77777777" w:rsidR="00C42AD7" w:rsidRDefault="00C42AD7" w:rsidP="00AE7F50">
      <w:pPr>
        <w:pStyle w:val="ListParagraph"/>
        <w:ind w:left="1080"/>
        <w:jc w:val="both"/>
      </w:pPr>
    </w:p>
    <w:p w14:paraId="1E4DD080" w14:textId="5703CAA9" w:rsidR="00B00C0C" w:rsidRPr="006B4527" w:rsidRDefault="006B4527" w:rsidP="006B4527">
      <w:pPr>
        <w:pStyle w:val="ListParagraph"/>
        <w:numPr>
          <w:ilvl w:val="0"/>
          <w:numId w:val="3"/>
        </w:numPr>
        <w:jc w:val="both"/>
        <w:rPr>
          <w:rFonts w:ascii="Times New Roman" w:hAnsi="Times New Roman" w:cs="Times New Roman"/>
          <w:b/>
          <w:bCs/>
          <w:sz w:val="24"/>
          <w:szCs w:val="24"/>
        </w:rPr>
      </w:pPr>
      <w:r w:rsidRPr="006B4527">
        <w:rPr>
          <w:rFonts w:ascii="Times New Roman" w:hAnsi="Times New Roman" w:cs="Times New Roman"/>
          <w:b/>
          <w:bCs/>
          <w:sz w:val="24"/>
          <w:szCs w:val="24"/>
        </w:rPr>
        <w:t xml:space="preserve">Summery </w:t>
      </w:r>
      <w:r w:rsidR="00B00C0C" w:rsidRPr="006B4527">
        <w:rPr>
          <w:rFonts w:ascii="Times New Roman" w:hAnsi="Times New Roman" w:cs="Times New Roman"/>
          <w:b/>
          <w:bCs/>
          <w:sz w:val="24"/>
          <w:szCs w:val="24"/>
        </w:rPr>
        <w:t xml:space="preserve"> </w:t>
      </w:r>
    </w:p>
    <w:p w14:paraId="2DC88502" w14:textId="3DBB61B1" w:rsidR="00B00C0C" w:rsidRDefault="00B00C0C" w:rsidP="006B4527">
      <w:pPr>
        <w:pStyle w:val="ListParagraph"/>
        <w:ind w:left="1080"/>
        <w:jc w:val="both"/>
      </w:pPr>
      <w:r w:rsidRPr="006B4527">
        <w:rPr>
          <w:rFonts w:ascii="Times New Roman" w:hAnsi="Times New Roman" w:cs="Times New Roman"/>
          <w:sz w:val="20"/>
          <w:szCs w:val="20"/>
        </w:rPr>
        <w:t>Green microemulsions show a great potential to be a sustainable chemical formulation due to the possibility of different industrial applications. Use of renewable, biodegradable and less toxic raw materials allows green microemulsions to respond to the ecological challenges of traditional formulations. Such trends can be noticed in cosmetics, pharmaceuticals, agriculture and food industries as their products offer better stability, higher effectiveness and cater the global demand for more environment friendly solutions. Even though there are some difficulties in optimizing and scaling the production, green microemulsions have proved their worth as clean alternatives with great performance. Their further advances and use will contribute to greater applications of sustainability and give businesses the means to decrease negative impacts while being productive</w:t>
      </w:r>
      <w:r w:rsidRPr="00B00C0C">
        <w:t>.</w:t>
      </w:r>
    </w:p>
    <w:p w14:paraId="223F2E2E" w14:textId="77777777" w:rsidR="00B00C0C" w:rsidRDefault="00B00C0C" w:rsidP="00AE7F50">
      <w:pPr>
        <w:pStyle w:val="ListParagraph"/>
        <w:ind w:left="1080"/>
        <w:jc w:val="both"/>
      </w:pPr>
    </w:p>
    <w:p w14:paraId="363C0320" w14:textId="5BA6E376" w:rsidR="00B00C0C" w:rsidRPr="00C33A1B" w:rsidRDefault="008C17CB" w:rsidP="008C17CB">
      <w:pPr>
        <w:pStyle w:val="ListParagraph"/>
        <w:numPr>
          <w:ilvl w:val="0"/>
          <w:numId w:val="3"/>
        </w:numPr>
        <w:jc w:val="both"/>
        <w:rPr>
          <w:rFonts w:ascii="Times New Roman" w:hAnsi="Times New Roman" w:cs="Times New Roman"/>
          <w:b/>
          <w:bCs/>
          <w:sz w:val="20"/>
          <w:szCs w:val="20"/>
        </w:rPr>
      </w:pPr>
      <w:r w:rsidRPr="00D77EE6">
        <w:rPr>
          <w:rFonts w:ascii="Times New Roman" w:hAnsi="Times New Roman" w:cs="Times New Roman"/>
          <w:b/>
          <w:bCs/>
          <w:sz w:val="24"/>
          <w:szCs w:val="24"/>
        </w:rPr>
        <w:t xml:space="preserve">Reference </w:t>
      </w:r>
    </w:p>
    <w:p w14:paraId="49E8C23F"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fldChar w:fldCharType="begin"/>
      </w:r>
      <w:r w:rsidRPr="00C33A1B">
        <w:rPr>
          <w:rFonts w:ascii="Times New Roman" w:hAnsi="Times New Roman" w:cs="Times New Roman"/>
          <w:sz w:val="20"/>
          <w:szCs w:val="20"/>
        </w:rPr>
        <w:instrText xml:space="preserve"> ADDIN ZOTERO_BIBL {"uncited":[],"omitted":[],"custom":[]} CSL_BIBLIOGRAPHY </w:instrText>
      </w:r>
      <w:r w:rsidRPr="00C33A1B">
        <w:rPr>
          <w:rFonts w:ascii="Times New Roman" w:hAnsi="Times New Roman" w:cs="Times New Roman"/>
          <w:sz w:val="20"/>
          <w:szCs w:val="20"/>
        </w:rPr>
        <w:fldChar w:fldCharType="separate"/>
      </w:r>
      <w:r w:rsidRPr="00C33A1B">
        <w:rPr>
          <w:rFonts w:ascii="Times New Roman" w:hAnsi="Times New Roman" w:cs="Times New Roman"/>
          <w:sz w:val="20"/>
          <w:szCs w:val="20"/>
        </w:rPr>
        <w:t>[1]</w:t>
      </w:r>
      <w:r w:rsidRPr="00C33A1B">
        <w:rPr>
          <w:rFonts w:ascii="Times New Roman" w:hAnsi="Times New Roman" w:cs="Times New Roman"/>
          <w:sz w:val="20"/>
          <w:szCs w:val="20"/>
        </w:rPr>
        <w:tab/>
        <w:t>L. Singh, S. Mishra, and K. Kumar, “A Mini-</w:t>
      </w:r>
      <w:proofErr w:type="gramStart"/>
      <w:r w:rsidRPr="00C33A1B">
        <w:rPr>
          <w:rFonts w:ascii="Times New Roman" w:hAnsi="Times New Roman" w:cs="Times New Roman"/>
          <w:sz w:val="20"/>
          <w:szCs w:val="20"/>
        </w:rPr>
        <w:t>Review :</w:t>
      </w:r>
      <w:proofErr w:type="gramEnd"/>
      <w:r w:rsidRPr="00C33A1B">
        <w:rPr>
          <w:rFonts w:ascii="Times New Roman" w:hAnsi="Times New Roman" w:cs="Times New Roman"/>
          <w:sz w:val="20"/>
          <w:szCs w:val="20"/>
        </w:rPr>
        <w:t xml:space="preserve"> Microemulsion as the Novel Carrier for Topical Drug Delivery”.</w:t>
      </w:r>
    </w:p>
    <w:p w14:paraId="0170CD0C"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[2]</w:t>
      </w:r>
      <w:r w:rsidRPr="00C33A1B">
        <w:rPr>
          <w:rFonts w:ascii="Times New Roman" w:hAnsi="Times New Roman" w:cs="Times New Roman"/>
          <w:sz w:val="20"/>
          <w:szCs w:val="20"/>
        </w:rPr>
        <w:tab/>
        <w:t xml:space="preserve">M. L. </w:t>
      </w:r>
      <w:proofErr w:type="spellStart"/>
      <w:r w:rsidRPr="00C33A1B">
        <w:rPr>
          <w:rFonts w:ascii="Times New Roman" w:hAnsi="Times New Roman" w:cs="Times New Roman"/>
          <w:sz w:val="20"/>
          <w:szCs w:val="20"/>
        </w:rPr>
        <w:t>Klossek</w:t>
      </w:r>
      <w:proofErr w:type="spellEnd"/>
      <w:r w:rsidRPr="00C33A1B">
        <w:rPr>
          <w:rFonts w:ascii="Times New Roman" w:hAnsi="Times New Roman" w:cs="Times New Roman"/>
          <w:sz w:val="20"/>
          <w:szCs w:val="20"/>
        </w:rPr>
        <w:t xml:space="preserve">, D. </w:t>
      </w:r>
      <w:proofErr w:type="spellStart"/>
      <w:r w:rsidRPr="00C33A1B">
        <w:rPr>
          <w:rFonts w:ascii="Times New Roman" w:hAnsi="Times New Roman" w:cs="Times New Roman"/>
          <w:sz w:val="20"/>
          <w:szCs w:val="20"/>
        </w:rPr>
        <w:t>Touraud</w:t>
      </w:r>
      <w:proofErr w:type="spellEnd"/>
      <w:r w:rsidRPr="00C33A1B">
        <w:rPr>
          <w:rFonts w:ascii="Times New Roman" w:hAnsi="Times New Roman" w:cs="Times New Roman"/>
          <w:sz w:val="20"/>
          <w:szCs w:val="20"/>
        </w:rPr>
        <w:t xml:space="preserve">, and W. Kunz, “Microemulsions with renewable feedstock oils,” </w:t>
      </w:r>
      <w:r w:rsidRPr="00C33A1B">
        <w:rPr>
          <w:rFonts w:ascii="Times New Roman" w:hAnsi="Times New Roman" w:cs="Times New Roman"/>
          <w:i/>
          <w:iCs/>
          <w:sz w:val="20"/>
          <w:szCs w:val="20"/>
        </w:rPr>
        <w:t>Green Chem.</w:t>
      </w:r>
      <w:r w:rsidRPr="00C33A1B">
        <w:rPr>
          <w:rFonts w:ascii="Times New Roman" w:hAnsi="Times New Roman" w:cs="Times New Roman"/>
          <w:sz w:val="20"/>
          <w:szCs w:val="20"/>
        </w:rPr>
        <w:t xml:space="preserve">, vol. 14, no. 7, p. 2017, 2012,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10.1039/c2gc35035a.</w:t>
      </w:r>
    </w:p>
    <w:p w14:paraId="5F76F6E3"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[3]</w:t>
      </w:r>
      <w:r w:rsidRPr="00C33A1B">
        <w:rPr>
          <w:rFonts w:ascii="Times New Roman" w:hAnsi="Times New Roman" w:cs="Times New Roman"/>
          <w:sz w:val="20"/>
          <w:szCs w:val="20"/>
        </w:rPr>
        <w:tab/>
        <w:t xml:space="preserve">N. Suhail </w:t>
      </w:r>
      <w:r w:rsidRPr="00C33A1B">
        <w:rPr>
          <w:rFonts w:ascii="Times New Roman" w:hAnsi="Times New Roman" w:cs="Times New Roman"/>
          <w:i/>
          <w:iCs/>
          <w:sz w:val="20"/>
          <w:szCs w:val="20"/>
        </w:rPr>
        <w:t>et al.</w:t>
      </w:r>
      <w:r w:rsidRPr="00C33A1B">
        <w:rPr>
          <w:rFonts w:ascii="Times New Roman" w:hAnsi="Times New Roman" w:cs="Times New Roman"/>
          <w:sz w:val="20"/>
          <w:szCs w:val="20"/>
        </w:rPr>
        <w:t xml:space="preserve">, “Microemulsions: Unique Properties, Pharmacological Applications, and Targeted Drug Delivery,” </w:t>
      </w:r>
      <w:r w:rsidRPr="00C33A1B">
        <w:rPr>
          <w:rFonts w:ascii="Times New Roman" w:hAnsi="Times New Roman" w:cs="Times New Roman"/>
          <w:i/>
          <w:iCs/>
          <w:sz w:val="20"/>
          <w:szCs w:val="20"/>
        </w:rPr>
        <w:t xml:space="preserve">Front. </w:t>
      </w:r>
      <w:proofErr w:type="spellStart"/>
      <w:r w:rsidRPr="00C33A1B">
        <w:rPr>
          <w:rFonts w:ascii="Times New Roman" w:hAnsi="Times New Roman" w:cs="Times New Roman"/>
          <w:i/>
          <w:iCs/>
          <w:sz w:val="20"/>
          <w:szCs w:val="20"/>
        </w:rPr>
        <w:t>Nanotechnol</w:t>
      </w:r>
      <w:proofErr w:type="spellEnd"/>
      <w:r w:rsidRPr="00C33A1B">
        <w:rPr>
          <w:rFonts w:ascii="Times New Roman" w:hAnsi="Times New Roman" w:cs="Times New Roman"/>
          <w:i/>
          <w:iCs/>
          <w:sz w:val="20"/>
          <w:szCs w:val="20"/>
        </w:rPr>
        <w:t>.</w:t>
      </w:r>
      <w:r w:rsidRPr="00C33A1B">
        <w:rPr>
          <w:rFonts w:ascii="Times New Roman" w:hAnsi="Times New Roman" w:cs="Times New Roman"/>
          <w:sz w:val="20"/>
          <w:szCs w:val="20"/>
        </w:rPr>
        <w:t xml:space="preserve">, vol. 3, p. 754889, Nov. 2021,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10.3389/fnano.2021.754889.</w:t>
      </w:r>
    </w:p>
    <w:p w14:paraId="71EA3EC6"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[4]</w:t>
      </w:r>
      <w:r w:rsidRPr="00C33A1B">
        <w:rPr>
          <w:rFonts w:ascii="Times New Roman" w:hAnsi="Times New Roman" w:cs="Times New Roman"/>
          <w:sz w:val="20"/>
          <w:szCs w:val="20"/>
        </w:rPr>
        <w:tab/>
        <w:t xml:space="preserve">S. R. Wagh, M. B. Patil, A. S. </w:t>
      </w:r>
      <w:proofErr w:type="spellStart"/>
      <w:r w:rsidRPr="00C33A1B">
        <w:rPr>
          <w:rFonts w:ascii="Times New Roman" w:hAnsi="Times New Roman" w:cs="Times New Roman"/>
          <w:sz w:val="20"/>
          <w:szCs w:val="20"/>
        </w:rPr>
        <w:t>Musale</w:t>
      </w:r>
      <w:proofErr w:type="spellEnd"/>
      <w:r w:rsidRPr="00C33A1B">
        <w:rPr>
          <w:rFonts w:ascii="Times New Roman" w:hAnsi="Times New Roman" w:cs="Times New Roman"/>
          <w:sz w:val="20"/>
          <w:szCs w:val="20"/>
        </w:rPr>
        <w:t>, H. D. Mahajan, and R. D. Wagh, “A REVIEW ON MICROEMULSION FOR DRUG DELIVERY SYSTEM”.</w:t>
      </w:r>
    </w:p>
    <w:p w14:paraId="42773534"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[5]</w:t>
      </w:r>
      <w:r w:rsidRPr="00C33A1B">
        <w:rPr>
          <w:rFonts w:ascii="Times New Roman" w:hAnsi="Times New Roman" w:cs="Times New Roman"/>
          <w:sz w:val="20"/>
          <w:szCs w:val="20"/>
        </w:rPr>
        <w:tab/>
        <w:t xml:space="preserve">V. Yadav, P. Jadhav, K. </w:t>
      </w:r>
      <w:proofErr w:type="spellStart"/>
      <w:r w:rsidRPr="00C33A1B">
        <w:rPr>
          <w:rFonts w:ascii="Times New Roman" w:hAnsi="Times New Roman" w:cs="Times New Roman"/>
          <w:sz w:val="20"/>
          <w:szCs w:val="20"/>
        </w:rPr>
        <w:t>Kanase</w:t>
      </w:r>
      <w:proofErr w:type="spellEnd"/>
      <w:r w:rsidRPr="00C33A1B">
        <w:rPr>
          <w:rFonts w:ascii="Times New Roman" w:hAnsi="Times New Roman" w:cs="Times New Roman"/>
          <w:sz w:val="20"/>
          <w:szCs w:val="20"/>
        </w:rPr>
        <w:t xml:space="preserve">, A. Bodhe, and S. </w:t>
      </w:r>
      <w:proofErr w:type="spellStart"/>
      <w:r w:rsidRPr="00C33A1B">
        <w:rPr>
          <w:rFonts w:ascii="Times New Roman" w:hAnsi="Times New Roman" w:cs="Times New Roman"/>
          <w:sz w:val="20"/>
          <w:szCs w:val="20"/>
        </w:rPr>
        <w:t>Dombe</w:t>
      </w:r>
      <w:proofErr w:type="spellEnd"/>
      <w:r w:rsidRPr="00C33A1B">
        <w:rPr>
          <w:rFonts w:ascii="Times New Roman" w:hAnsi="Times New Roman" w:cs="Times New Roman"/>
          <w:sz w:val="20"/>
          <w:szCs w:val="20"/>
        </w:rPr>
        <w:t xml:space="preserve">, “PREPARATION AND EVALUATION OF MICROEMULSION CONTAINING ANTIHYPERTENSIVE DRUG,” </w:t>
      </w:r>
      <w:r w:rsidRPr="00C33A1B">
        <w:rPr>
          <w:rFonts w:ascii="Times New Roman" w:hAnsi="Times New Roman" w:cs="Times New Roman"/>
          <w:i/>
          <w:iCs/>
          <w:sz w:val="20"/>
          <w:szCs w:val="20"/>
        </w:rPr>
        <w:t>Int. J. Appl. Pharm.</w:t>
      </w:r>
      <w:r w:rsidRPr="00C33A1B">
        <w:rPr>
          <w:rFonts w:ascii="Times New Roman" w:hAnsi="Times New Roman" w:cs="Times New Roman"/>
          <w:sz w:val="20"/>
          <w:szCs w:val="20"/>
        </w:rPr>
        <w:t xml:space="preserve">, vol. 10, no. 5, p. 138, Sep. 2018,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10.22159/ijap.2018v10i5.27415.</w:t>
      </w:r>
    </w:p>
    <w:p w14:paraId="7240EEB8"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lastRenderedPageBreak/>
        <w:t>[6]</w:t>
      </w:r>
      <w:r w:rsidRPr="00C33A1B">
        <w:rPr>
          <w:rFonts w:ascii="Times New Roman" w:hAnsi="Times New Roman" w:cs="Times New Roman"/>
          <w:sz w:val="20"/>
          <w:szCs w:val="20"/>
        </w:rPr>
        <w:tab/>
        <w:t xml:space="preserve">S. </w:t>
      </w:r>
      <w:proofErr w:type="spellStart"/>
      <w:r w:rsidRPr="00C33A1B">
        <w:rPr>
          <w:rFonts w:ascii="Times New Roman" w:hAnsi="Times New Roman" w:cs="Times New Roman"/>
          <w:sz w:val="20"/>
          <w:szCs w:val="20"/>
        </w:rPr>
        <w:t>Maleknia</w:t>
      </w:r>
      <w:proofErr w:type="spellEnd"/>
      <w:r w:rsidRPr="00C33A1B">
        <w:rPr>
          <w:rFonts w:ascii="Times New Roman" w:hAnsi="Times New Roman" w:cs="Times New Roman"/>
          <w:sz w:val="20"/>
          <w:szCs w:val="20"/>
        </w:rPr>
        <w:t xml:space="preserve">, </w:t>
      </w:r>
      <w:r w:rsidRPr="00C33A1B">
        <w:rPr>
          <w:rFonts w:ascii="Times New Roman" w:hAnsi="Times New Roman" w:cs="Times New Roman"/>
          <w:i/>
          <w:iCs/>
          <w:sz w:val="20"/>
          <w:szCs w:val="20"/>
        </w:rPr>
        <w:t xml:space="preserve">“Green” Microemulsions and </w:t>
      </w:r>
      <w:proofErr w:type="spellStart"/>
      <w:r w:rsidRPr="00C33A1B">
        <w:rPr>
          <w:rFonts w:ascii="Times New Roman" w:hAnsi="Times New Roman" w:cs="Times New Roman"/>
          <w:i/>
          <w:iCs/>
          <w:sz w:val="20"/>
          <w:szCs w:val="20"/>
        </w:rPr>
        <w:t>Nanoemulsions</w:t>
      </w:r>
      <w:proofErr w:type="spellEnd"/>
      <w:r w:rsidRPr="00C33A1B">
        <w:rPr>
          <w:rFonts w:ascii="Times New Roman" w:hAnsi="Times New Roman" w:cs="Times New Roman"/>
          <w:i/>
          <w:iCs/>
          <w:sz w:val="20"/>
          <w:szCs w:val="20"/>
        </w:rPr>
        <w:t xml:space="preserve"> as Alternative Fuels</w:t>
      </w:r>
      <w:r w:rsidRPr="00C33A1B">
        <w:rPr>
          <w:rFonts w:ascii="Times New Roman" w:hAnsi="Times New Roman" w:cs="Times New Roman"/>
          <w:sz w:val="20"/>
          <w:szCs w:val="20"/>
        </w:rPr>
        <w:t>, 1st ed. Göttingen: Cuvillier Verlag, 2015.</w:t>
      </w:r>
    </w:p>
    <w:p w14:paraId="4012F916"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[7]</w:t>
      </w:r>
      <w:r w:rsidRPr="00C33A1B">
        <w:rPr>
          <w:rFonts w:ascii="Times New Roman" w:hAnsi="Times New Roman" w:cs="Times New Roman"/>
          <w:sz w:val="20"/>
          <w:szCs w:val="20"/>
        </w:rPr>
        <w:tab/>
        <w:t xml:space="preserve">L. Pavoni </w:t>
      </w:r>
      <w:r w:rsidRPr="00C33A1B">
        <w:rPr>
          <w:rFonts w:ascii="Times New Roman" w:hAnsi="Times New Roman" w:cs="Times New Roman"/>
          <w:i/>
          <w:iCs/>
          <w:sz w:val="20"/>
          <w:szCs w:val="20"/>
        </w:rPr>
        <w:t>et al.</w:t>
      </w:r>
      <w:r w:rsidRPr="00C33A1B">
        <w:rPr>
          <w:rFonts w:ascii="Times New Roman" w:hAnsi="Times New Roman" w:cs="Times New Roman"/>
          <w:sz w:val="20"/>
          <w:szCs w:val="20"/>
        </w:rPr>
        <w:t xml:space="preserve">, “Green Micro- and </w:t>
      </w:r>
      <w:proofErr w:type="spellStart"/>
      <w:r w:rsidRPr="00C33A1B">
        <w:rPr>
          <w:rFonts w:ascii="Times New Roman" w:hAnsi="Times New Roman" w:cs="Times New Roman"/>
          <w:sz w:val="20"/>
          <w:szCs w:val="20"/>
        </w:rPr>
        <w:t>Nanoemulsions</w:t>
      </w:r>
      <w:proofErr w:type="spellEnd"/>
      <w:r w:rsidRPr="00C33A1B">
        <w:rPr>
          <w:rFonts w:ascii="Times New Roman" w:hAnsi="Times New Roman" w:cs="Times New Roman"/>
          <w:sz w:val="20"/>
          <w:szCs w:val="20"/>
        </w:rPr>
        <w:t xml:space="preserve"> for Managing Parasites, Vectors and Pests,” </w:t>
      </w:r>
      <w:r w:rsidRPr="00C33A1B">
        <w:rPr>
          <w:rFonts w:ascii="Times New Roman" w:hAnsi="Times New Roman" w:cs="Times New Roman"/>
          <w:i/>
          <w:iCs/>
          <w:sz w:val="20"/>
          <w:szCs w:val="20"/>
        </w:rPr>
        <w:t>Nanomaterials</w:t>
      </w:r>
      <w:r w:rsidRPr="00C33A1B">
        <w:rPr>
          <w:rFonts w:ascii="Times New Roman" w:hAnsi="Times New Roman" w:cs="Times New Roman"/>
          <w:sz w:val="20"/>
          <w:szCs w:val="20"/>
        </w:rPr>
        <w:t xml:space="preserve">, vol. 9, no. 9, p. 1285, Sep. 2019,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10.3390/nano9091285.</w:t>
      </w:r>
    </w:p>
    <w:p w14:paraId="32EA9EBB"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[8]</w:t>
      </w:r>
      <w:r w:rsidRPr="00C33A1B">
        <w:rPr>
          <w:rFonts w:ascii="Times New Roman" w:hAnsi="Times New Roman" w:cs="Times New Roman"/>
          <w:sz w:val="20"/>
          <w:szCs w:val="20"/>
        </w:rPr>
        <w:tab/>
        <w:t xml:space="preserve">A. Sharma, S. Dubey, and N. Iqbal, “Microemulsion Formulation of Botanical Oils as an Efficient Tool to Provide Sustainable Agricultural Pest Management,” in </w:t>
      </w:r>
      <w:r w:rsidRPr="00C33A1B">
        <w:rPr>
          <w:rFonts w:ascii="Times New Roman" w:hAnsi="Times New Roman" w:cs="Times New Roman"/>
          <w:i/>
          <w:iCs/>
          <w:sz w:val="20"/>
          <w:szCs w:val="20"/>
        </w:rPr>
        <w:t>Nano- and Microencapsulation - Techniques and Applications</w:t>
      </w:r>
      <w:r w:rsidRPr="00C33A1B">
        <w:rPr>
          <w:rFonts w:ascii="Times New Roman" w:hAnsi="Times New Roman" w:cs="Times New Roman"/>
          <w:sz w:val="20"/>
          <w:szCs w:val="20"/>
        </w:rPr>
        <w:t xml:space="preserve">, N. Abu-Thabit, Ed., </w:t>
      </w:r>
      <w:proofErr w:type="spellStart"/>
      <w:r w:rsidRPr="00C33A1B">
        <w:rPr>
          <w:rFonts w:ascii="Times New Roman" w:hAnsi="Times New Roman" w:cs="Times New Roman"/>
          <w:sz w:val="20"/>
          <w:szCs w:val="20"/>
        </w:rPr>
        <w:t>IntechOpen</w:t>
      </w:r>
      <w:proofErr w:type="spellEnd"/>
      <w:r w:rsidRPr="00C33A1B">
        <w:rPr>
          <w:rFonts w:ascii="Times New Roman" w:hAnsi="Times New Roman" w:cs="Times New Roman"/>
          <w:sz w:val="20"/>
          <w:szCs w:val="20"/>
        </w:rPr>
        <w:t xml:space="preserve">, 2021.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10.5772/intechopen.91788.</w:t>
      </w:r>
    </w:p>
    <w:p w14:paraId="6DD82853"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[9]</w:t>
      </w:r>
      <w:r w:rsidRPr="00C33A1B">
        <w:rPr>
          <w:rFonts w:ascii="Times New Roman" w:hAnsi="Times New Roman" w:cs="Times New Roman"/>
          <w:sz w:val="20"/>
          <w:szCs w:val="20"/>
        </w:rPr>
        <w:tab/>
        <w:t>A. M. Zeid, A. A. El-Masry, D. R. El-</w:t>
      </w:r>
      <w:proofErr w:type="spellStart"/>
      <w:r w:rsidRPr="00C33A1B">
        <w:rPr>
          <w:rFonts w:ascii="Times New Roman" w:hAnsi="Times New Roman" w:cs="Times New Roman"/>
          <w:sz w:val="20"/>
          <w:szCs w:val="20"/>
        </w:rPr>
        <w:t>Wasseef</w:t>
      </w:r>
      <w:proofErr w:type="spellEnd"/>
      <w:r w:rsidRPr="00C33A1B">
        <w:rPr>
          <w:rFonts w:ascii="Times New Roman" w:hAnsi="Times New Roman" w:cs="Times New Roman"/>
          <w:sz w:val="20"/>
          <w:szCs w:val="20"/>
        </w:rPr>
        <w:t xml:space="preserve">, M. Eid, and I. A. Shehata, “Green microemulsion electrokinetic chromatographic method for simultaneous determination of azelastine and budesonide,” </w:t>
      </w:r>
      <w:r w:rsidRPr="00C33A1B">
        <w:rPr>
          <w:rFonts w:ascii="Times New Roman" w:hAnsi="Times New Roman" w:cs="Times New Roman"/>
          <w:i/>
          <w:iCs/>
          <w:sz w:val="20"/>
          <w:szCs w:val="20"/>
        </w:rPr>
        <w:t>Sustain. Chem. Pharm.</w:t>
      </w:r>
      <w:r w:rsidRPr="00C33A1B">
        <w:rPr>
          <w:rFonts w:ascii="Times New Roman" w:hAnsi="Times New Roman" w:cs="Times New Roman"/>
          <w:sz w:val="20"/>
          <w:szCs w:val="20"/>
        </w:rPr>
        <w:t xml:space="preserve">, vol. 29, p. 100795, Oct. 2022,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10.1016/j.scp.2022.100795.</w:t>
      </w:r>
    </w:p>
    <w:p w14:paraId="188FE16E"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[10]</w:t>
      </w:r>
      <w:r w:rsidRPr="00C33A1B">
        <w:rPr>
          <w:rFonts w:ascii="Times New Roman" w:hAnsi="Times New Roman" w:cs="Times New Roman"/>
          <w:sz w:val="20"/>
          <w:szCs w:val="20"/>
        </w:rPr>
        <w:tab/>
        <w:t xml:space="preserve">M. </w:t>
      </w:r>
      <w:proofErr w:type="spellStart"/>
      <w:r w:rsidRPr="00C33A1B">
        <w:rPr>
          <w:rFonts w:ascii="Times New Roman" w:hAnsi="Times New Roman" w:cs="Times New Roman"/>
          <w:sz w:val="20"/>
          <w:szCs w:val="20"/>
        </w:rPr>
        <w:t>Kahlweit</w:t>
      </w:r>
      <w:proofErr w:type="spellEnd"/>
      <w:r w:rsidRPr="00C33A1B">
        <w:rPr>
          <w:rFonts w:ascii="Times New Roman" w:hAnsi="Times New Roman" w:cs="Times New Roman"/>
          <w:sz w:val="20"/>
          <w:szCs w:val="20"/>
        </w:rPr>
        <w:t xml:space="preserve"> </w:t>
      </w:r>
      <w:r w:rsidRPr="00C33A1B">
        <w:rPr>
          <w:rFonts w:ascii="Times New Roman" w:hAnsi="Times New Roman" w:cs="Times New Roman"/>
          <w:i/>
          <w:iCs/>
          <w:sz w:val="20"/>
          <w:szCs w:val="20"/>
        </w:rPr>
        <w:t>et al.</w:t>
      </w:r>
      <w:r w:rsidRPr="00C33A1B">
        <w:rPr>
          <w:rFonts w:ascii="Times New Roman" w:hAnsi="Times New Roman" w:cs="Times New Roman"/>
          <w:sz w:val="20"/>
          <w:szCs w:val="20"/>
        </w:rPr>
        <w:t xml:space="preserve">, “How to study microemulsions,” </w:t>
      </w:r>
      <w:r w:rsidRPr="00C33A1B">
        <w:rPr>
          <w:rFonts w:ascii="Times New Roman" w:hAnsi="Times New Roman" w:cs="Times New Roman"/>
          <w:i/>
          <w:iCs/>
          <w:sz w:val="20"/>
          <w:szCs w:val="20"/>
        </w:rPr>
        <w:t>J. Colloid Interface Sci.</w:t>
      </w:r>
      <w:r w:rsidRPr="00C33A1B">
        <w:rPr>
          <w:rFonts w:ascii="Times New Roman" w:hAnsi="Times New Roman" w:cs="Times New Roman"/>
          <w:sz w:val="20"/>
          <w:szCs w:val="20"/>
        </w:rPr>
        <w:t xml:space="preserve">, vol. 118, no. 2, pp. 436–453, Aug. 1987,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10.1016/0021-9797(87)90480-2.</w:t>
      </w:r>
    </w:p>
    <w:p w14:paraId="62C7F461"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[11]</w:t>
      </w:r>
      <w:r w:rsidRPr="00C33A1B">
        <w:rPr>
          <w:rFonts w:ascii="Times New Roman" w:hAnsi="Times New Roman" w:cs="Times New Roman"/>
          <w:sz w:val="20"/>
          <w:szCs w:val="20"/>
        </w:rPr>
        <w:tab/>
        <w:t xml:space="preserve">M. L. </w:t>
      </w:r>
      <w:proofErr w:type="spellStart"/>
      <w:r w:rsidRPr="00C33A1B">
        <w:rPr>
          <w:rFonts w:ascii="Times New Roman" w:hAnsi="Times New Roman" w:cs="Times New Roman"/>
          <w:sz w:val="20"/>
          <w:szCs w:val="20"/>
        </w:rPr>
        <w:t>Klossek</w:t>
      </w:r>
      <w:proofErr w:type="spellEnd"/>
      <w:r w:rsidRPr="00C33A1B">
        <w:rPr>
          <w:rFonts w:ascii="Times New Roman" w:hAnsi="Times New Roman" w:cs="Times New Roman"/>
          <w:sz w:val="20"/>
          <w:szCs w:val="20"/>
        </w:rPr>
        <w:t xml:space="preserve">, J. Marcus, D. </w:t>
      </w:r>
      <w:proofErr w:type="spellStart"/>
      <w:r w:rsidRPr="00C33A1B">
        <w:rPr>
          <w:rFonts w:ascii="Times New Roman" w:hAnsi="Times New Roman" w:cs="Times New Roman"/>
          <w:sz w:val="20"/>
          <w:szCs w:val="20"/>
        </w:rPr>
        <w:t>Touraud</w:t>
      </w:r>
      <w:proofErr w:type="spellEnd"/>
      <w:r w:rsidRPr="00C33A1B">
        <w:rPr>
          <w:rFonts w:ascii="Times New Roman" w:hAnsi="Times New Roman" w:cs="Times New Roman"/>
          <w:sz w:val="20"/>
          <w:szCs w:val="20"/>
        </w:rPr>
        <w:t xml:space="preserve">, and W. Kunz, “Highly water dilutable green microemulsions,” </w:t>
      </w:r>
      <w:r w:rsidRPr="00C33A1B">
        <w:rPr>
          <w:rFonts w:ascii="Times New Roman" w:hAnsi="Times New Roman" w:cs="Times New Roman"/>
          <w:i/>
          <w:iCs/>
          <w:sz w:val="20"/>
          <w:szCs w:val="20"/>
        </w:rPr>
        <w:t xml:space="preserve">Colloids Surf. </w:t>
      </w:r>
      <w:proofErr w:type="spellStart"/>
      <w:r w:rsidRPr="00C33A1B">
        <w:rPr>
          <w:rFonts w:ascii="Times New Roman" w:hAnsi="Times New Roman" w:cs="Times New Roman"/>
          <w:i/>
          <w:iCs/>
          <w:sz w:val="20"/>
          <w:szCs w:val="20"/>
        </w:rPr>
        <w:t>Physicochem</w:t>
      </w:r>
      <w:proofErr w:type="spellEnd"/>
      <w:r w:rsidRPr="00C33A1B">
        <w:rPr>
          <w:rFonts w:ascii="Times New Roman" w:hAnsi="Times New Roman" w:cs="Times New Roman"/>
          <w:i/>
          <w:iCs/>
          <w:sz w:val="20"/>
          <w:szCs w:val="20"/>
        </w:rPr>
        <w:t>. Eng. Asp.</w:t>
      </w:r>
      <w:r w:rsidRPr="00C33A1B">
        <w:rPr>
          <w:rFonts w:ascii="Times New Roman" w:hAnsi="Times New Roman" w:cs="Times New Roman"/>
          <w:sz w:val="20"/>
          <w:szCs w:val="20"/>
        </w:rPr>
        <w:t xml:space="preserve">, vol. 442, pp. 105–110, Feb. 2014,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10.1016/j.colsurfa.2012.12.061.</w:t>
      </w:r>
    </w:p>
    <w:p w14:paraId="2BF708A7"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[12]</w:t>
      </w:r>
      <w:r w:rsidRPr="00C33A1B">
        <w:rPr>
          <w:rFonts w:ascii="Times New Roman" w:hAnsi="Times New Roman" w:cs="Times New Roman"/>
          <w:sz w:val="20"/>
          <w:szCs w:val="20"/>
        </w:rPr>
        <w:tab/>
        <w:t xml:space="preserve">R. Kong Zheng Chen and S. Chee Wee, “PERFORMANCE EVALUATION OF ALPHA-OLEFIN SULFONATE (AOS), COCO GLUCOSIDE AND DECANE IN CREATING WINSOR TYPE-III MICROEMULSION,” </w:t>
      </w:r>
      <w:r w:rsidRPr="00C33A1B">
        <w:rPr>
          <w:rFonts w:ascii="Times New Roman" w:hAnsi="Times New Roman" w:cs="Times New Roman"/>
          <w:i/>
          <w:iCs/>
          <w:sz w:val="20"/>
          <w:szCs w:val="20"/>
        </w:rPr>
        <w:t>Platf. J. Eng.</w:t>
      </w:r>
      <w:r w:rsidRPr="00C33A1B">
        <w:rPr>
          <w:rFonts w:ascii="Times New Roman" w:hAnsi="Times New Roman" w:cs="Times New Roman"/>
          <w:sz w:val="20"/>
          <w:szCs w:val="20"/>
        </w:rPr>
        <w:t xml:space="preserve">, vol. 5, no. 3, p. 38, Sep. 2021,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10.61762/pajevol5iss3art14402.</w:t>
      </w:r>
    </w:p>
    <w:p w14:paraId="3F13B939"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[13]</w:t>
      </w:r>
      <w:r w:rsidRPr="00C33A1B">
        <w:rPr>
          <w:rFonts w:ascii="Times New Roman" w:hAnsi="Times New Roman" w:cs="Times New Roman"/>
          <w:sz w:val="20"/>
          <w:szCs w:val="20"/>
        </w:rPr>
        <w:tab/>
        <w:t xml:space="preserve">N. </w:t>
      </w:r>
      <w:proofErr w:type="spellStart"/>
      <w:r w:rsidRPr="00C33A1B">
        <w:rPr>
          <w:rFonts w:ascii="Times New Roman" w:hAnsi="Times New Roman" w:cs="Times New Roman"/>
          <w:sz w:val="20"/>
          <w:szCs w:val="20"/>
        </w:rPr>
        <w:t>Arpornpong</w:t>
      </w:r>
      <w:proofErr w:type="spellEnd"/>
      <w:r w:rsidRPr="00C33A1B">
        <w:rPr>
          <w:rFonts w:ascii="Times New Roman" w:hAnsi="Times New Roman" w:cs="Times New Roman"/>
          <w:sz w:val="20"/>
          <w:szCs w:val="20"/>
        </w:rPr>
        <w:t xml:space="preserve">, D. A. Sabatini, S. </w:t>
      </w:r>
      <w:proofErr w:type="spellStart"/>
      <w:r w:rsidRPr="00C33A1B">
        <w:rPr>
          <w:rFonts w:ascii="Times New Roman" w:hAnsi="Times New Roman" w:cs="Times New Roman"/>
          <w:sz w:val="20"/>
          <w:szCs w:val="20"/>
        </w:rPr>
        <w:t>Khaodhiar</w:t>
      </w:r>
      <w:proofErr w:type="spellEnd"/>
      <w:r w:rsidRPr="00C33A1B">
        <w:rPr>
          <w:rFonts w:ascii="Times New Roman" w:hAnsi="Times New Roman" w:cs="Times New Roman"/>
          <w:sz w:val="20"/>
          <w:szCs w:val="20"/>
        </w:rPr>
        <w:t xml:space="preserve">, and A. </w:t>
      </w:r>
      <w:proofErr w:type="spellStart"/>
      <w:r w:rsidRPr="00C33A1B">
        <w:rPr>
          <w:rFonts w:ascii="Times New Roman" w:hAnsi="Times New Roman" w:cs="Times New Roman"/>
          <w:sz w:val="20"/>
          <w:szCs w:val="20"/>
        </w:rPr>
        <w:t>Charoensaeng</w:t>
      </w:r>
      <w:proofErr w:type="spellEnd"/>
      <w:r w:rsidRPr="00C33A1B">
        <w:rPr>
          <w:rFonts w:ascii="Times New Roman" w:hAnsi="Times New Roman" w:cs="Times New Roman"/>
          <w:sz w:val="20"/>
          <w:szCs w:val="20"/>
        </w:rPr>
        <w:t xml:space="preserve">, “Life cycle assessment of palm oil microemulsion-based biofuel,” </w:t>
      </w:r>
      <w:r w:rsidRPr="00C33A1B">
        <w:rPr>
          <w:rFonts w:ascii="Times New Roman" w:hAnsi="Times New Roman" w:cs="Times New Roman"/>
          <w:i/>
          <w:iCs/>
          <w:sz w:val="20"/>
          <w:szCs w:val="20"/>
        </w:rPr>
        <w:t>Int. J. Life Cycle Assess.</w:t>
      </w:r>
      <w:r w:rsidRPr="00C33A1B">
        <w:rPr>
          <w:rFonts w:ascii="Times New Roman" w:hAnsi="Times New Roman" w:cs="Times New Roman"/>
          <w:sz w:val="20"/>
          <w:szCs w:val="20"/>
        </w:rPr>
        <w:t xml:space="preserve">, vol. 20, no. 7, pp. 913–926, Jul. 2015,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10.1007/s11367-015-0888-5.</w:t>
      </w:r>
    </w:p>
    <w:p w14:paraId="72B58F47"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[14]</w:t>
      </w:r>
      <w:r w:rsidRPr="00C33A1B">
        <w:rPr>
          <w:rFonts w:ascii="Times New Roman" w:hAnsi="Times New Roman" w:cs="Times New Roman"/>
          <w:sz w:val="20"/>
          <w:szCs w:val="20"/>
        </w:rPr>
        <w:tab/>
        <w:t xml:space="preserve">N. A. S. Nazri, N. Nordin, and S. </w:t>
      </w:r>
      <w:proofErr w:type="spellStart"/>
      <w:r w:rsidRPr="00C33A1B">
        <w:rPr>
          <w:rFonts w:ascii="Times New Roman" w:hAnsi="Times New Roman" w:cs="Times New Roman"/>
          <w:sz w:val="20"/>
          <w:szCs w:val="20"/>
        </w:rPr>
        <w:t>Sharkawi</w:t>
      </w:r>
      <w:proofErr w:type="spellEnd"/>
      <w:r w:rsidRPr="00C33A1B">
        <w:rPr>
          <w:rFonts w:ascii="Times New Roman" w:hAnsi="Times New Roman" w:cs="Times New Roman"/>
          <w:sz w:val="20"/>
          <w:szCs w:val="20"/>
        </w:rPr>
        <w:t xml:space="preserve">, “Understanding the Consumers’ Purchase Intention Toward Green Cosmetic Products in Malaysia,” </w:t>
      </w:r>
      <w:r w:rsidRPr="00C33A1B">
        <w:rPr>
          <w:rFonts w:ascii="Times New Roman" w:hAnsi="Times New Roman" w:cs="Times New Roman"/>
          <w:i/>
          <w:iCs/>
          <w:sz w:val="20"/>
          <w:szCs w:val="20"/>
        </w:rPr>
        <w:t xml:space="preserve">Int. J. Res. </w:t>
      </w:r>
      <w:proofErr w:type="spellStart"/>
      <w:r w:rsidRPr="00C33A1B">
        <w:rPr>
          <w:rFonts w:ascii="Times New Roman" w:hAnsi="Times New Roman" w:cs="Times New Roman"/>
          <w:i/>
          <w:iCs/>
          <w:sz w:val="20"/>
          <w:szCs w:val="20"/>
        </w:rPr>
        <w:t>Innov</w:t>
      </w:r>
      <w:proofErr w:type="spellEnd"/>
      <w:r w:rsidRPr="00C33A1B">
        <w:rPr>
          <w:rFonts w:ascii="Times New Roman" w:hAnsi="Times New Roman" w:cs="Times New Roman"/>
          <w:i/>
          <w:iCs/>
          <w:sz w:val="20"/>
          <w:szCs w:val="20"/>
        </w:rPr>
        <w:t>. Soc. Sci.</w:t>
      </w:r>
      <w:r w:rsidRPr="00C33A1B">
        <w:rPr>
          <w:rFonts w:ascii="Times New Roman" w:hAnsi="Times New Roman" w:cs="Times New Roman"/>
          <w:sz w:val="20"/>
          <w:szCs w:val="20"/>
        </w:rPr>
        <w:t xml:space="preserve">, vol. VIII, no. IX, pp. 1503–1527, 2024,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10.47772/IJRISS.2024.8090123.</w:t>
      </w:r>
    </w:p>
    <w:p w14:paraId="3A469340"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[15]</w:t>
      </w:r>
      <w:r w:rsidRPr="00C33A1B">
        <w:rPr>
          <w:rFonts w:ascii="Times New Roman" w:hAnsi="Times New Roman" w:cs="Times New Roman"/>
          <w:sz w:val="20"/>
          <w:szCs w:val="20"/>
        </w:rPr>
        <w:tab/>
        <w:t xml:space="preserve">A. Tolnay, A. Koris, and R. Magda, “Sustainable Development of Cosmetic Products in the Frame of the Laboratory Market,” </w:t>
      </w:r>
      <w:proofErr w:type="spellStart"/>
      <w:r w:rsidRPr="00C33A1B">
        <w:rPr>
          <w:rFonts w:ascii="Times New Roman" w:hAnsi="Times New Roman" w:cs="Times New Roman"/>
          <w:i/>
          <w:iCs/>
          <w:sz w:val="20"/>
          <w:szCs w:val="20"/>
        </w:rPr>
        <w:t>Visegrad</w:t>
      </w:r>
      <w:proofErr w:type="spellEnd"/>
      <w:r w:rsidRPr="00C33A1B">
        <w:rPr>
          <w:rFonts w:ascii="Times New Roman" w:hAnsi="Times New Roman" w:cs="Times New Roman"/>
          <w:i/>
          <w:iCs/>
          <w:sz w:val="20"/>
          <w:szCs w:val="20"/>
        </w:rPr>
        <w:t xml:space="preserve"> J. Bioeconomy Sustain. Dev.</w:t>
      </w:r>
      <w:r w:rsidRPr="00C33A1B">
        <w:rPr>
          <w:rFonts w:ascii="Times New Roman" w:hAnsi="Times New Roman" w:cs="Times New Roman"/>
          <w:sz w:val="20"/>
          <w:szCs w:val="20"/>
        </w:rPr>
        <w:t xml:space="preserve">, vol. 7, no. 2, pp. 62–66, Nov. 2018,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10.2478/vjbsd-2018-0012.</w:t>
      </w:r>
    </w:p>
    <w:p w14:paraId="408BCCDA"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[16]</w:t>
      </w:r>
      <w:r w:rsidRPr="00C33A1B">
        <w:rPr>
          <w:rFonts w:ascii="Times New Roman" w:hAnsi="Times New Roman" w:cs="Times New Roman"/>
          <w:sz w:val="20"/>
          <w:szCs w:val="20"/>
        </w:rPr>
        <w:tab/>
        <w:t xml:space="preserve">R. </w:t>
      </w:r>
      <w:proofErr w:type="spellStart"/>
      <w:r w:rsidRPr="00C33A1B">
        <w:rPr>
          <w:rFonts w:ascii="Times New Roman" w:hAnsi="Times New Roman" w:cs="Times New Roman"/>
          <w:sz w:val="20"/>
          <w:szCs w:val="20"/>
        </w:rPr>
        <w:t>Sasounian</w:t>
      </w:r>
      <w:proofErr w:type="spellEnd"/>
      <w:r w:rsidRPr="00C33A1B">
        <w:rPr>
          <w:rFonts w:ascii="Times New Roman" w:hAnsi="Times New Roman" w:cs="Times New Roman"/>
          <w:sz w:val="20"/>
          <w:szCs w:val="20"/>
        </w:rPr>
        <w:t xml:space="preserve"> </w:t>
      </w:r>
      <w:r w:rsidRPr="00C33A1B">
        <w:rPr>
          <w:rFonts w:ascii="Times New Roman" w:hAnsi="Times New Roman" w:cs="Times New Roman"/>
          <w:i/>
          <w:iCs/>
          <w:sz w:val="20"/>
          <w:szCs w:val="20"/>
        </w:rPr>
        <w:t>et al.</w:t>
      </w:r>
      <w:r w:rsidRPr="00C33A1B">
        <w:rPr>
          <w:rFonts w:ascii="Times New Roman" w:hAnsi="Times New Roman" w:cs="Times New Roman"/>
          <w:sz w:val="20"/>
          <w:szCs w:val="20"/>
        </w:rPr>
        <w:t xml:space="preserve">, “Innovative Approaches to an Eco-Friendly Cosmetic Industry: A Review of Sustainable Ingredients,” </w:t>
      </w:r>
      <w:r w:rsidRPr="00C33A1B">
        <w:rPr>
          <w:rFonts w:ascii="Times New Roman" w:hAnsi="Times New Roman" w:cs="Times New Roman"/>
          <w:i/>
          <w:iCs/>
          <w:sz w:val="20"/>
          <w:szCs w:val="20"/>
        </w:rPr>
        <w:t>Clean Technol.</w:t>
      </w:r>
      <w:r w:rsidRPr="00C33A1B">
        <w:rPr>
          <w:rFonts w:ascii="Times New Roman" w:hAnsi="Times New Roman" w:cs="Times New Roman"/>
          <w:sz w:val="20"/>
          <w:szCs w:val="20"/>
        </w:rPr>
        <w:t xml:space="preserve">, vol. 6, no. 1, pp. 176–198, Feb. 2024,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10.3390/cleantechnol6010011.</w:t>
      </w:r>
    </w:p>
    <w:p w14:paraId="4E3E8F6D"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[17]</w:t>
      </w:r>
      <w:r w:rsidRPr="00C33A1B">
        <w:rPr>
          <w:rFonts w:ascii="Times New Roman" w:hAnsi="Times New Roman" w:cs="Times New Roman"/>
          <w:sz w:val="20"/>
          <w:szCs w:val="20"/>
        </w:rPr>
        <w:tab/>
        <w:t xml:space="preserve">I. Kong, P. Degraeve, and L. P. </w:t>
      </w:r>
      <w:proofErr w:type="spellStart"/>
      <w:r w:rsidRPr="00C33A1B">
        <w:rPr>
          <w:rFonts w:ascii="Times New Roman" w:hAnsi="Times New Roman" w:cs="Times New Roman"/>
          <w:sz w:val="20"/>
          <w:szCs w:val="20"/>
        </w:rPr>
        <w:t>Pui</w:t>
      </w:r>
      <w:proofErr w:type="spellEnd"/>
      <w:r w:rsidRPr="00C33A1B">
        <w:rPr>
          <w:rFonts w:ascii="Times New Roman" w:hAnsi="Times New Roman" w:cs="Times New Roman"/>
          <w:sz w:val="20"/>
          <w:szCs w:val="20"/>
        </w:rPr>
        <w:t xml:space="preserve">, “Polysaccharide-Based Edible Films Incorporated with Essential Oil </w:t>
      </w:r>
      <w:proofErr w:type="spellStart"/>
      <w:r w:rsidRPr="00C33A1B">
        <w:rPr>
          <w:rFonts w:ascii="Times New Roman" w:hAnsi="Times New Roman" w:cs="Times New Roman"/>
          <w:sz w:val="20"/>
          <w:szCs w:val="20"/>
        </w:rPr>
        <w:t>Nanoemulsions</w:t>
      </w:r>
      <w:proofErr w:type="spellEnd"/>
      <w:r w:rsidRPr="00C33A1B">
        <w:rPr>
          <w:rFonts w:ascii="Times New Roman" w:hAnsi="Times New Roman" w:cs="Times New Roman"/>
          <w:sz w:val="20"/>
          <w:szCs w:val="20"/>
        </w:rPr>
        <w:t xml:space="preserve">: </w:t>
      </w:r>
      <w:proofErr w:type="spellStart"/>
      <w:r w:rsidRPr="00C33A1B">
        <w:rPr>
          <w:rFonts w:ascii="Times New Roman" w:hAnsi="Times New Roman" w:cs="Times New Roman"/>
          <w:sz w:val="20"/>
          <w:szCs w:val="20"/>
        </w:rPr>
        <w:t>Physico</w:t>
      </w:r>
      <w:proofErr w:type="spellEnd"/>
      <w:r w:rsidRPr="00C33A1B">
        <w:rPr>
          <w:rFonts w:ascii="Times New Roman" w:hAnsi="Times New Roman" w:cs="Times New Roman"/>
          <w:sz w:val="20"/>
          <w:szCs w:val="20"/>
        </w:rPr>
        <w:t xml:space="preserve">-Chemical, Mechanical Properties and Its Application in Food Preservation—A Review,” </w:t>
      </w:r>
      <w:r w:rsidRPr="00C33A1B">
        <w:rPr>
          <w:rFonts w:ascii="Times New Roman" w:hAnsi="Times New Roman" w:cs="Times New Roman"/>
          <w:i/>
          <w:iCs/>
          <w:sz w:val="20"/>
          <w:szCs w:val="20"/>
        </w:rPr>
        <w:t>Foods</w:t>
      </w:r>
      <w:r w:rsidRPr="00C33A1B">
        <w:rPr>
          <w:rFonts w:ascii="Times New Roman" w:hAnsi="Times New Roman" w:cs="Times New Roman"/>
          <w:sz w:val="20"/>
          <w:szCs w:val="20"/>
        </w:rPr>
        <w:t xml:space="preserve">, vol. 11, no. 4, p. 555, Feb. 2022,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10.3390/foods11040555.</w:t>
      </w:r>
    </w:p>
    <w:p w14:paraId="51112655"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[18]</w:t>
      </w:r>
      <w:r w:rsidRPr="00C33A1B">
        <w:rPr>
          <w:rFonts w:ascii="Times New Roman" w:hAnsi="Times New Roman" w:cs="Times New Roman"/>
          <w:sz w:val="20"/>
          <w:szCs w:val="20"/>
        </w:rPr>
        <w:tab/>
        <w:t xml:space="preserve">M. H. </w:t>
      </w:r>
      <w:proofErr w:type="spellStart"/>
      <w:r w:rsidRPr="00C33A1B">
        <w:rPr>
          <w:rFonts w:ascii="Times New Roman" w:hAnsi="Times New Roman" w:cs="Times New Roman"/>
          <w:sz w:val="20"/>
          <w:szCs w:val="20"/>
        </w:rPr>
        <w:t>Sembiring</w:t>
      </w:r>
      <w:proofErr w:type="spellEnd"/>
      <w:r w:rsidRPr="00C33A1B">
        <w:rPr>
          <w:rFonts w:ascii="Times New Roman" w:hAnsi="Times New Roman" w:cs="Times New Roman"/>
          <w:sz w:val="20"/>
          <w:szCs w:val="20"/>
        </w:rPr>
        <w:t xml:space="preserve">, </w:t>
      </w:r>
      <w:proofErr w:type="spellStart"/>
      <w:r w:rsidRPr="00C33A1B">
        <w:rPr>
          <w:rFonts w:ascii="Times New Roman" w:hAnsi="Times New Roman" w:cs="Times New Roman"/>
          <w:sz w:val="20"/>
          <w:szCs w:val="20"/>
        </w:rPr>
        <w:t>Arsyadi</w:t>
      </w:r>
      <w:proofErr w:type="spellEnd"/>
      <w:r w:rsidRPr="00C33A1B">
        <w:rPr>
          <w:rFonts w:ascii="Times New Roman" w:hAnsi="Times New Roman" w:cs="Times New Roman"/>
          <w:sz w:val="20"/>
          <w:szCs w:val="20"/>
        </w:rPr>
        <w:t xml:space="preserve">, and T. </w:t>
      </w:r>
      <w:proofErr w:type="spellStart"/>
      <w:r w:rsidRPr="00C33A1B">
        <w:rPr>
          <w:rFonts w:ascii="Times New Roman" w:hAnsi="Times New Roman" w:cs="Times New Roman"/>
          <w:sz w:val="20"/>
          <w:szCs w:val="20"/>
        </w:rPr>
        <w:t>Riadi</w:t>
      </w:r>
      <w:proofErr w:type="spellEnd"/>
      <w:r w:rsidRPr="00C33A1B">
        <w:rPr>
          <w:rFonts w:ascii="Times New Roman" w:hAnsi="Times New Roman" w:cs="Times New Roman"/>
          <w:sz w:val="20"/>
          <w:szCs w:val="20"/>
        </w:rPr>
        <w:t xml:space="preserve">, “Microemulsion technology: Nanoparticle-based emulsion as a sustainable natural product formulation,” </w:t>
      </w:r>
      <w:r w:rsidRPr="00C33A1B">
        <w:rPr>
          <w:rFonts w:ascii="Times New Roman" w:hAnsi="Times New Roman" w:cs="Times New Roman"/>
          <w:i/>
          <w:iCs/>
          <w:sz w:val="20"/>
          <w:szCs w:val="20"/>
        </w:rPr>
        <w:t>Pharm. Educ.</w:t>
      </w:r>
      <w:r w:rsidRPr="00C33A1B">
        <w:rPr>
          <w:rFonts w:ascii="Times New Roman" w:hAnsi="Times New Roman" w:cs="Times New Roman"/>
          <w:sz w:val="20"/>
          <w:szCs w:val="20"/>
        </w:rPr>
        <w:t xml:space="preserve">, vol. 24, no. 6, pp. 124–127, Jun. 2024,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10.46542/pe.2024.246.124127.</w:t>
      </w:r>
    </w:p>
    <w:p w14:paraId="19F86DA3"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[19]</w:t>
      </w:r>
      <w:r w:rsidRPr="00C33A1B">
        <w:rPr>
          <w:rFonts w:ascii="Times New Roman" w:hAnsi="Times New Roman" w:cs="Times New Roman"/>
          <w:sz w:val="20"/>
          <w:szCs w:val="20"/>
        </w:rPr>
        <w:tab/>
        <w:t xml:space="preserve">A. Santamaria-Echart </w:t>
      </w:r>
      <w:r w:rsidRPr="00C33A1B">
        <w:rPr>
          <w:rFonts w:ascii="Times New Roman" w:hAnsi="Times New Roman" w:cs="Times New Roman"/>
          <w:i/>
          <w:iCs/>
          <w:sz w:val="20"/>
          <w:szCs w:val="20"/>
        </w:rPr>
        <w:t>et al.</w:t>
      </w:r>
      <w:r w:rsidRPr="00C33A1B">
        <w:rPr>
          <w:rFonts w:ascii="Times New Roman" w:hAnsi="Times New Roman" w:cs="Times New Roman"/>
          <w:sz w:val="20"/>
          <w:szCs w:val="20"/>
        </w:rPr>
        <w:t xml:space="preserve">, “New Trends in Natural Emulsifiers and Emulsion Technology for the Food Industry,” in </w:t>
      </w:r>
      <w:r w:rsidRPr="00C33A1B">
        <w:rPr>
          <w:rFonts w:ascii="Times New Roman" w:hAnsi="Times New Roman" w:cs="Times New Roman"/>
          <w:i/>
          <w:iCs/>
          <w:sz w:val="20"/>
          <w:szCs w:val="20"/>
        </w:rPr>
        <w:t>Natural Food Additives</w:t>
      </w:r>
      <w:r w:rsidRPr="00C33A1B">
        <w:rPr>
          <w:rFonts w:ascii="Times New Roman" w:hAnsi="Times New Roman" w:cs="Times New Roman"/>
          <w:sz w:val="20"/>
          <w:szCs w:val="20"/>
        </w:rPr>
        <w:t xml:space="preserve">, M. A. Prieto and P. Otero, Eds., </w:t>
      </w:r>
      <w:proofErr w:type="spellStart"/>
      <w:r w:rsidRPr="00C33A1B">
        <w:rPr>
          <w:rFonts w:ascii="Times New Roman" w:hAnsi="Times New Roman" w:cs="Times New Roman"/>
          <w:sz w:val="20"/>
          <w:szCs w:val="20"/>
        </w:rPr>
        <w:t>IntechOpen</w:t>
      </w:r>
      <w:proofErr w:type="spellEnd"/>
      <w:r w:rsidRPr="00C33A1B">
        <w:rPr>
          <w:rFonts w:ascii="Times New Roman" w:hAnsi="Times New Roman" w:cs="Times New Roman"/>
          <w:sz w:val="20"/>
          <w:szCs w:val="20"/>
        </w:rPr>
        <w:t xml:space="preserve">, 2022.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10.5772/intechopen.99892.</w:t>
      </w:r>
    </w:p>
    <w:p w14:paraId="6A92C920"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[20]</w:t>
      </w:r>
      <w:r w:rsidRPr="00C33A1B">
        <w:rPr>
          <w:rFonts w:ascii="Times New Roman" w:hAnsi="Times New Roman" w:cs="Times New Roman"/>
          <w:sz w:val="20"/>
          <w:szCs w:val="20"/>
        </w:rPr>
        <w:tab/>
        <w:t xml:space="preserve">C. Wang, X. Tai, Z. Du, and X. Liu, “Formulation and physicochemical properties of promising </w:t>
      </w:r>
      <w:proofErr w:type="spellStart"/>
      <w:r w:rsidRPr="00C33A1B">
        <w:rPr>
          <w:rFonts w:ascii="Times New Roman" w:hAnsi="Times New Roman" w:cs="Times New Roman"/>
          <w:sz w:val="20"/>
          <w:szCs w:val="20"/>
        </w:rPr>
        <w:t>avermectin</w:t>
      </w:r>
      <w:proofErr w:type="spellEnd"/>
      <w:r w:rsidRPr="00C33A1B">
        <w:rPr>
          <w:rFonts w:ascii="Times New Roman" w:hAnsi="Times New Roman" w:cs="Times New Roman"/>
          <w:sz w:val="20"/>
          <w:szCs w:val="20"/>
        </w:rPr>
        <w:t xml:space="preserve"> microemulsion with biodegradable surfactant and oil,” </w:t>
      </w:r>
      <w:r w:rsidRPr="00C33A1B">
        <w:rPr>
          <w:rFonts w:ascii="Times New Roman" w:hAnsi="Times New Roman" w:cs="Times New Roman"/>
          <w:i/>
          <w:iCs/>
          <w:sz w:val="20"/>
          <w:szCs w:val="20"/>
        </w:rPr>
        <w:t xml:space="preserve">J. </w:t>
      </w:r>
      <w:proofErr w:type="spellStart"/>
      <w:r w:rsidRPr="00C33A1B">
        <w:rPr>
          <w:rFonts w:ascii="Times New Roman" w:hAnsi="Times New Roman" w:cs="Times New Roman"/>
          <w:i/>
          <w:iCs/>
          <w:sz w:val="20"/>
          <w:szCs w:val="20"/>
        </w:rPr>
        <w:t>Dispers</w:t>
      </w:r>
      <w:proofErr w:type="spellEnd"/>
      <w:r w:rsidRPr="00C33A1B">
        <w:rPr>
          <w:rFonts w:ascii="Times New Roman" w:hAnsi="Times New Roman" w:cs="Times New Roman"/>
          <w:i/>
          <w:iCs/>
          <w:sz w:val="20"/>
          <w:szCs w:val="20"/>
        </w:rPr>
        <w:t>. Sci. Technol.</w:t>
      </w:r>
      <w:r w:rsidRPr="00C33A1B">
        <w:rPr>
          <w:rFonts w:ascii="Times New Roman" w:hAnsi="Times New Roman" w:cs="Times New Roman"/>
          <w:sz w:val="20"/>
          <w:szCs w:val="20"/>
        </w:rPr>
        <w:t xml:space="preserve">, vol. 38, no. 3, pp. 409–415, Mar. 2017,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10.1080/01932691.2016.1172315.</w:t>
      </w:r>
    </w:p>
    <w:p w14:paraId="1C3AB256"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[21]</w:t>
      </w:r>
      <w:r w:rsidRPr="00C33A1B">
        <w:rPr>
          <w:rFonts w:ascii="Times New Roman" w:hAnsi="Times New Roman" w:cs="Times New Roman"/>
          <w:sz w:val="20"/>
          <w:szCs w:val="20"/>
        </w:rPr>
        <w:tab/>
        <w:t xml:space="preserve">A. Froelich and T. </w:t>
      </w:r>
      <w:proofErr w:type="spellStart"/>
      <w:r w:rsidRPr="00C33A1B">
        <w:rPr>
          <w:rFonts w:ascii="Times New Roman" w:hAnsi="Times New Roman" w:cs="Times New Roman"/>
          <w:sz w:val="20"/>
          <w:szCs w:val="20"/>
        </w:rPr>
        <w:t>Osmałek</w:t>
      </w:r>
      <w:proofErr w:type="spellEnd"/>
      <w:r w:rsidRPr="00C33A1B">
        <w:rPr>
          <w:rFonts w:ascii="Times New Roman" w:hAnsi="Times New Roman" w:cs="Times New Roman"/>
          <w:sz w:val="20"/>
          <w:szCs w:val="20"/>
        </w:rPr>
        <w:t xml:space="preserve">, “Microemulsions as Antioxidant Carriers,” in </w:t>
      </w:r>
      <w:r w:rsidRPr="00C33A1B">
        <w:rPr>
          <w:rFonts w:ascii="Times New Roman" w:hAnsi="Times New Roman" w:cs="Times New Roman"/>
          <w:i/>
          <w:iCs/>
          <w:sz w:val="20"/>
          <w:szCs w:val="20"/>
        </w:rPr>
        <w:t>Emulsion‐based Encapsulation of Antioxidants</w:t>
      </w:r>
      <w:r w:rsidRPr="00C33A1B">
        <w:rPr>
          <w:rFonts w:ascii="Times New Roman" w:hAnsi="Times New Roman" w:cs="Times New Roman"/>
          <w:sz w:val="20"/>
          <w:szCs w:val="20"/>
        </w:rPr>
        <w:t xml:space="preserve">, M. A. </w:t>
      </w:r>
      <w:proofErr w:type="spellStart"/>
      <w:r w:rsidRPr="00C33A1B">
        <w:rPr>
          <w:rFonts w:ascii="Times New Roman" w:hAnsi="Times New Roman" w:cs="Times New Roman"/>
          <w:sz w:val="20"/>
          <w:szCs w:val="20"/>
        </w:rPr>
        <w:t>Aboudzadeh</w:t>
      </w:r>
      <w:proofErr w:type="spellEnd"/>
      <w:r w:rsidRPr="00C33A1B">
        <w:rPr>
          <w:rFonts w:ascii="Times New Roman" w:hAnsi="Times New Roman" w:cs="Times New Roman"/>
          <w:sz w:val="20"/>
          <w:szCs w:val="20"/>
        </w:rPr>
        <w:t>, Ed., in Food Bioactive Ingredients</w:t>
      </w:r>
      <w:proofErr w:type="gramStart"/>
      <w:r w:rsidRPr="00C33A1B">
        <w:rPr>
          <w:rFonts w:ascii="Times New Roman" w:hAnsi="Times New Roman" w:cs="Times New Roman"/>
          <w:sz w:val="20"/>
          <w:szCs w:val="20"/>
        </w:rPr>
        <w:t>. ,</w:t>
      </w:r>
      <w:proofErr w:type="gramEnd"/>
      <w:r w:rsidRPr="00C33A1B">
        <w:rPr>
          <w:rFonts w:ascii="Times New Roman" w:hAnsi="Times New Roman" w:cs="Times New Roman"/>
          <w:sz w:val="20"/>
          <w:szCs w:val="20"/>
        </w:rPr>
        <w:t xml:space="preserve"> Cham: Springer International Publishing, 2020, pp. 197–224.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10.1007/978-3-030-62052-3_5.</w:t>
      </w:r>
    </w:p>
    <w:p w14:paraId="12D83B54"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[22]</w:t>
      </w:r>
      <w:r w:rsidRPr="00C33A1B">
        <w:rPr>
          <w:rFonts w:ascii="Times New Roman" w:hAnsi="Times New Roman" w:cs="Times New Roman"/>
          <w:sz w:val="20"/>
          <w:szCs w:val="20"/>
        </w:rPr>
        <w:tab/>
        <w:t xml:space="preserve">E. Ma </w:t>
      </w:r>
      <w:r w:rsidRPr="00C33A1B">
        <w:rPr>
          <w:rFonts w:ascii="Times New Roman" w:hAnsi="Times New Roman" w:cs="Times New Roman"/>
          <w:i/>
          <w:iCs/>
          <w:sz w:val="20"/>
          <w:szCs w:val="20"/>
        </w:rPr>
        <w:t>et al.</w:t>
      </w:r>
      <w:r w:rsidRPr="00C33A1B">
        <w:rPr>
          <w:rFonts w:ascii="Times New Roman" w:hAnsi="Times New Roman" w:cs="Times New Roman"/>
          <w:sz w:val="20"/>
          <w:szCs w:val="20"/>
        </w:rPr>
        <w:t xml:space="preserve">, “Rapid Construction of Green </w:t>
      </w:r>
      <w:proofErr w:type="spellStart"/>
      <w:r w:rsidRPr="00C33A1B">
        <w:rPr>
          <w:rFonts w:ascii="Times New Roman" w:hAnsi="Times New Roman" w:cs="Times New Roman"/>
          <w:sz w:val="20"/>
          <w:szCs w:val="20"/>
        </w:rPr>
        <w:t>Nanopesticide</w:t>
      </w:r>
      <w:proofErr w:type="spellEnd"/>
      <w:r w:rsidRPr="00C33A1B">
        <w:rPr>
          <w:rFonts w:ascii="Times New Roman" w:hAnsi="Times New Roman" w:cs="Times New Roman"/>
          <w:sz w:val="20"/>
          <w:szCs w:val="20"/>
        </w:rPr>
        <w:t xml:space="preserve"> Delivery Systems Using </w:t>
      </w:r>
      <w:proofErr w:type="spellStart"/>
      <w:r w:rsidRPr="00C33A1B">
        <w:rPr>
          <w:rFonts w:ascii="Times New Roman" w:hAnsi="Times New Roman" w:cs="Times New Roman"/>
          <w:sz w:val="20"/>
          <w:szCs w:val="20"/>
        </w:rPr>
        <w:t>Sophorolipids</w:t>
      </w:r>
      <w:proofErr w:type="spellEnd"/>
      <w:r w:rsidRPr="00C33A1B">
        <w:rPr>
          <w:rFonts w:ascii="Times New Roman" w:hAnsi="Times New Roman" w:cs="Times New Roman"/>
          <w:sz w:val="20"/>
          <w:szCs w:val="20"/>
        </w:rPr>
        <w:t xml:space="preserve"> as Surfactants by Flash Nanoprecipitation,” </w:t>
      </w:r>
      <w:r w:rsidRPr="00C33A1B">
        <w:rPr>
          <w:rFonts w:ascii="Times New Roman" w:hAnsi="Times New Roman" w:cs="Times New Roman"/>
          <w:i/>
          <w:iCs/>
          <w:sz w:val="20"/>
          <w:szCs w:val="20"/>
        </w:rPr>
        <w:t>J. Agric. Food Chem.</w:t>
      </w:r>
      <w:r w:rsidRPr="00C33A1B">
        <w:rPr>
          <w:rFonts w:ascii="Times New Roman" w:hAnsi="Times New Roman" w:cs="Times New Roman"/>
          <w:sz w:val="20"/>
          <w:szCs w:val="20"/>
        </w:rPr>
        <w:t xml:space="preserve">, vol. 70, no. 16, pp. 4912–4920, Apr. 2022,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10.1021/acs.jafc.2c00743.</w:t>
      </w:r>
    </w:p>
    <w:p w14:paraId="0C68ADD5"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[23]</w:t>
      </w:r>
      <w:r w:rsidRPr="00C33A1B">
        <w:rPr>
          <w:rFonts w:ascii="Times New Roman" w:hAnsi="Times New Roman" w:cs="Times New Roman"/>
          <w:sz w:val="20"/>
          <w:szCs w:val="20"/>
        </w:rPr>
        <w:tab/>
        <w:t xml:space="preserve">I. F. Mustafa and M. Z. Hussein, “Synthesis and Technology of </w:t>
      </w:r>
      <w:proofErr w:type="spellStart"/>
      <w:r w:rsidRPr="00C33A1B">
        <w:rPr>
          <w:rFonts w:ascii="Times New Roman" w:hAnsi="Times New Roman" w:cs="Times New Roman"/>
          <w:sz w:val="20"/>
          <w:szCs w:val="20"/>
        </w:rPr>
        <w:t>Nanoemulsion</w:t>
      </w:r>
      <w:proofErr w:type="spellEnd"/>
      <w:r w:rsidRPr="00C33A1B">
        <w:rPr>
          <w:rFonts w:ascii="Times New Roman" w:hAnsi="Times New Roman" w:cs="Times New Roman"/>
          <w:sz w:val="20"/>
          <w:szCs w:val="20"/>
        </w:rPr>
        <w:t xml:space="preserve">-Based Pesticide Formulation,” </w:t>
      </w:r>
      <w:r w:rsidRPr="00C33A1B">
        <w:rPr>
          <w:rFonts w:ascii="Times New Roman" w:hAnsi="Times New Roman" w:cs="Times New Roman"/>
          <w:i/>
          <w:iCs/>
          <w:sz w:val="20"/>
          <w:szCs w:val="20"/>
        </w:rPr>
        <w:t>Nanomaterials</w:t>
      </w:r>
      <w:r w:rsidRPr="00C33A1B">
        <w:rPr>
          <w:rFonts w:ascii="Times New Roman" w:hAnsi="Times New Roman" w:cs="Times New Roman"/>
          <w:sz w:val="20"/>
          <w:szCs w:val="20"/>
        </w:rPr>
        <w:t xml:space="preserve">, vol. 10, no. 8, p. 1608, Aug. 2020,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10.3390/nano10081608.</w:t>
      </w:r>
    </w:p>
    <w:p w14:paraId="26E16D37"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[24]</w:t>
      </w:r>
      <w:r w:rsidRPr="00C33A1B">
        <w:rPr>
          <w:rFonts w:ascii="Times New Roman" w:hAnsi="Times New Roman" w:cs="Times New Roman"/>
          <w:sz w:val="20"/>
          <w:szCs w:val="20"/>
        </w:rPr>
        <w:tab/>
        <w:t xml:space="preserve">Y. Q. Wu, H. Y. Xia, and F. Zhao, “Research and Exploitation of </w:t>
      </w:r>
      <w:proofErr w:type="spellStart"/>
      <w:r w:rsidRPr="00C33A1B">
        <w:rPr>
          <w:rFonts w:ascii="Times New Roman" w:hAnsi="Times New Roman" w:cs="Times New Roman"/>
          <w:sz w:val="20"/>
          <w:szCs w:val="20"/>
        </w:rPr>
        <w:t>Chorpyriphos</w:t>
      </w:r>
      <w:proofErr w:type="spellEnd"/>
      <w:r w:rsidRPr="00C33A1B">
        <w:rPr>
          <w:rFonts w:ascii="Times New Roman" w:hAnsi="Times New Roman" w:cs="Times New Roman"/>
          <w:sz w:val="20"/>
          <w:szCs w:val="20"/>
        </w:rPr>
        <w:t xml:space="preserve"> Pesticide Microemulsion,” </w:t>
      </w:r>
      <w:r w:rsidRPr="00C33A1B">
        <w:rPr>
          <w:rFonts w:ascii="Times New Roman" w:hAnsi="Times New Roman" w:cs="Times New Roman"/>
          <w:i/>
          <w:iCs/>
          <w:sz w:val="20"/>
          <w:szCs w:val="20"/>
        </w:rPr>
        <w:t>Adv. Mater. Res.</w:t>
      </w:r>
      <w:r w:rsidRPr="00C33A1B">
        <w:rPr>
          <w:rFonts w:ascii="Times New Roman" w:hAnsi="Times New Roman" w:cs="Times New Roman"/>
          <w:sz w:val="20"/>
          <w:szCs w:val="20"/>
        </w:rPr>
        <w:t xml:space="preserve">, vol. 850–851, pp. 1180–1183, Dec. 2013,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10.4028/www.scientific.net/AMR.850-851.1180.</w:t>
      </w:r>
    </w:p>
    <w:p w14:paraId="3127B099"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[25]</w:t>
      </w:r>
      <w:r w:rsidRPr="00C33A1B">
        <w:rPr>
          <w:rFonts w:ascii="Times New Roman" w:hAnsi="Times New Roman" w:cs="Times New Roman"/>
          <w:sz w:val="20"/>
          <w:szCs w:val="20"/>
        </w:rPr>
        <w:tab/>
        <w:t xml:space="preserve">S. M. </w:t>
      </w:r>
      <w:proofErr w:type="spellStart"/>
      <w:r w:rsidRPr="00C33A1B">
        <w:rPr>
          <w:rFonts w:ascii="Times New Roman" w:hAnsi="Times New Roman" w:cs="Times New Roman"/>
          <w:sz w:val="20"/>
          <w:szCs w:val="20"/>
        </w:rPr>
        <w:t>Alehaidib</w:t>
      </w:r>
      <w:proofErr w:type="spellEnd"/>
      <w:r w:rsidRPr="00C33A1B">
        <w:rPr>
          <w:rFonts w:ascii="Times New Roman" w:hAnsi="Times New Roman" w:cs="Times New Roman"/>
          <w:sz w:val="20"/>
          <w:szCs w:val="20"/>
        </w:rPr>
        <w:t xml:space="preserve">, O. O. Alharbi, M. T. </w:t>
      </w:r>
      <w:proofErr w:type="spellStart"/>
      <w:r w:rsidRPr="00C33A1B">
        <w:rPr>
          <w:rFonts w:ascii="Times New Roman" w:hAnsi="Times New Roman" w:cs="Times New Roman"/>
          <w:sz w:val="20"/>
          <w:szCs w:val="20"/>
        </w:rPr>
        <w:t>Almegbel</w:t>
      </w:r>
      <w:proofErr w:type="spellEnd"/>
      <w:r w:rsidRPr="00C33A1B">
        <w:rPr>
          <w:rFonts w:ascii="Times New Roman" w:hAnsi="Times New Roman" w:cs="Times New Roman"/>
          <w:sz w:val="20"/>
          <w:szCs w:val="20"/>
        </w:rPr>
        <w:t xml:space="preserve">, and A. M. Alzahrani, “Drug delivery systems for osteogenic disorders utilizing green nanotechnology,” </w:t>
      </w:r>
      <w:r w:rsidRPr="00C33A1B">
        <w:rPr>
          <w:rFonts w:ascii="Times New Roman" w:hAnsi="Times New Roman" w:cs="Times New Roman"/>
          <w:i/>
          <w:iCs/>
          <w:sz w:val="20"/>
          <w:szCs w:val="20"/>
        </w:rPr>
        <w:t>Int. J. Health Sci.</w:t>
      </w:r>
      <w:r w:rsidRPr="00C33A1B">
        <w:rPr>
          <w:rFonts w:ascii="Times New Roman" w:hAnsi="Times New Roman" w:cs="Times New Roman"/>
          <w:sz w:val="20"/>
          <w:szCs w:val="20"/>
        </w:rPr>
        <w:t xml:space="preserve">, vol. 4, no. S1, pp. 67–86, Jan. 2020,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10.53730/</w:t>
      </w:r>
      <w:proofErr w:type="gramStart"/>
      <w:r w:rsidRPr="00C33A1B">
        <w:rPr>
          <w:rFonts w:ascii="Times New Roman" w:hAnsi="Times New Roman" w:cs="Times New Roman"/>
          <w:sz w:val="20"/>
          <w:szCs w:val="20"/>
        </w:rPr>
        <w:t>ijhs.v</w:t>
      </w:r>
      <w:proofErr w:type="gramEnd"/>
      <w:r w:rsidRPr="00C33A1B">
        <w:rPr>
          <w:rFonts w:ascii="Times New Roman" w:hAnsi="Times New Roman" w:cs="Times New Roman"/>
          <w:sz w:val="20"/>
          <w:szCs w:val="20"/>
        </w:rPr>
        <w:t>4nS1.15037.</w:t>
      </w:r>
    </w:p>
    <w:p w14:paraId="5AAE9A59"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[26]</w:t>
      </w:r>
      <w:r w:rsidRPr="00C33A1B">
        <w:rPr>
          <w:rFonts w:ascii="Times New Roman" w:hAnsi="Times New Roman" w:cs="Times New Roman"/>
          <w:sz w:val="20"/>
          <w:szCs w:val="20"/>
        </w:rPr>
        <w:tab/>
        <w:t xml:space="preserve">K. Jadhav, I. Shaikh, K. </w:t>
      </w:r>
      <w:proofErr w:type="spellStart"/>
      <w:r w:rsidRPr="00C33A1B">
        <w:rPr>
          <w:rFonts w:ascii="Times New Roman" w:hAnsi="Times New Roman" w:cs="Times New Roman"/>
          <w:sz w:val="20"/>
          <w:szCs w:val="20"/>
        </w:rPr>
        <w:t>Ambade</w:t>
      </w:r>
      <w:proofErr w:type="spellEnd"/>
      <w:r w:rsidRPr="00C33A1B">
        <w:rPr>
          <w:rFonts w:ascii="Times New Roman" w:hAnsi="Times New Roman" w:cs="Times New Roman"/>
          <w:sz w:val="20"/>
          <w:szCs w:val="20"/>
        </w:rPr>
        <w:t xml:space="preserve">, and V. Kadam, “Applications of Microemulsion Based Drug Delivery System,” </w:t>
      </w:r>
      <w:r w:rsidRPr="00C33A1B">
        <w:rPr>
          <w:rFonts w:ascii="Times New Roman" w:hAnsi="Times New Roman" w:cs="Times New Roman"/>
          <w:i/>
          <w:iCs/>
          <w:sz w:val="20"/>
          <w:szCs w:val="20"/>
        </w:rPr>
        <w:t>Curr. Drug Deliv.</w:t>
      </w:r>
      <w:r w:rsidRPr="00C33A1B">
        <w:rPr>
          <w:rFonts w:ascii="Times New Roman" w:hAnsi="Times New Roman" w:cs="Times New Roman"/>
          <w:sz w:val="20"/>
          <w:szCs w:val="20"/>
        </w:rPr>
        <w:t xml:space="preserve">, vol. 3, no. 3, pp. 267–273, Jul. 2006,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10.2174/156720106777731118.</w:t>
      </w:r>
    </w:p>
    <w:p w14:paraId="77642E15"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[27]</w:t>
      </w:r>
      <w:r w:rsidRPr="00C33A1B">
        <w:rPr>
          <w:rFonts w:ascii="Times New Roman" w:hAnsi="Times New Roman" w:cs="Times New Roman"/>
          <w:sz w:val="20"/>
          <w:szCs w:val="20"/>
        </w:rPr>
        <w:tab/>
        <w:t xml:space="preserve">Department of Pharmaceutics, B.N. Institute of Pharmaceutical Sciences, Udaipur-313002, Rajasthan, India, A. Mishra, R. Panola, Department of Pharmaceutics, B.N. Institute of Pharmaceutical Sciences, </w:t>
      </w:r>
      <w:r w:rsidRPr="00C33A1B">
        <w:rPr>
          <w:rFonts w:ascii="Times New Roman" w:hAnsi="Times New Roman" w:cs="Times New Roman"/>
          <w:sz w:val="20"/>
          <w:szCs w:val="20"/>
        </w:rPr>
        <w:lastRenderedPageBreak/>
        <w:t xml:space="preserve">Udaipur-313002, Rajasthan, India, A. C. Rana, and Director, Institute of Pharmacy, </w:t>
      </w:r>
      <w:proofErr w:type="spellStart"/>
      <w:r w:rsidRPr="00C33A1B">
        <w:rPr>
          <w:rFonts w:ascii="Times New Roman" w:hAnsi="Times New Roman" w:cs="Times New Roman"/>
          <w:sz w:val="20"/>
          <w:szCs w:val="20"/>
        </w:rPr>
        <w:t>Krukshetra</w:t>
      </w:r>
      <w:proofErr w:type="spellEnd"/>
      <w:r w:rsidRPr="00C33A1B">
        <w:rPr>
          <w:rFonts w:ascii="Times New Roman" w:hAnsi="Times New Roman" w:cs="Times New Roman"/>
          <w:sz w:val="20"/>
          <w:szCs w:val="20"/>
        </w:rPr>
        <w:t xml:space="preserve"> University, Krukshetra136119, Haryana, India, “Microemulsions: As drug delivery system,” </w:t>
      </w:r>
      <w:r w:rsidRPr="00C33A1B">
        <w:rPr>
          <w:rFonts w:ascii="Times New Roman" w:hAnsi="Times New Roman" w:cs="Times New Roman"/>
          <w:i/>
          <w:iCs/>
          <w:sz w:val="20"/>
          <w:szCs w:val="20"/>
        </w:rPr>
        <w:t xml:space="preserve">J. Sci. </w:t>
      </w:r>
      <w:proofErr w:type="spellStart"/>
      <w:r w:rsidRPr="00C33A1B">
        <w:rPr>
          <w:rFonts w:ascii="Times New Roman" w:hAnsi="Times New Roman" w:cs="Times New Roman"/>
          <w:i/>
          <w:iCs/>
          <w:sz w:val="20"/>
          <w:szCs w:val="20"/>
        </w:rPr>
        <w:t>Innov</w:t>
      </w:r>
      <w:proofErr w:type="spellEnd"/>
      <w:r w:rsidRPr="00C33A1B">
        <w:rPr>
          <w:rFonts w:ascii="Times New Roman" w:hAnsi="Times New Roman" w:cs="Times New Roman"/>
          <w:i/>
          <w:iCs/>
          <w:sz w:val="20"/>
          <w:szCs w:val="20"/>
        </w:rPr>
        <w:t>. Res.</w:t>
      </w:r>
      <w:r w:rsidRPr="00C33A1B">
        <w:rPr>
          <w:rFonts w:ascii="Times New Roman" w:hAnsi="Times New Roman" w:cs="Times New Roman"/>
          <w:sz w:val="20"/>
          <w:szCs w:val="20"/>
        </w:rPr>
        <w:t xml:space="preserve">, vol. 3, no. 4, pp. 467–474, Aug. 2014,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10.31254/jsir.2014.3412.</w:t>
      </w:r>
    </w:p>
    <w:p w14:paraId="5948CF18" w14:textId="77777777" w:rsidR="00FB26FB" w:rsidRPr="00C33A1B" w:rsidRDefault="00FB26FB" w:rsidP="00FB26FB">
      <w:pPr>
        <w:pStyle w:val="Bibliography"/>
        <w:rPr>
          <w:rFonts w:ascii="Times New Roman" w:hAnsi="Times New Roman" w:cs="Times New Roman"/>
          <w:sz w:val="20"/>
          <w:szCs w:val="20"/>
        </w:rPr>
      </w:pPr>
      <w:r w:rsidRPr="00C33A1B">
        <w:rPr>
          <w:rFonts w:ascii="Times New Roman" w:hAnsi="Times New Roman" w:cs="Times New Roman"/>
          <w:sz w:val="20"/>
          <w:szCs w:val="20"/>
        </w:rPr>
        <w:t>[28]</w:t>
      </w:r>
      <w:r w:rsidRPr="00C33A1B">
        <w:rPr>
          <w:rFonts w:ascii="Times New Roman" w:hAnsi="Times New Roman" w:cs="Times New Roman"/>
          <w:sz w:val="20"/>
          <w:szCs w:val="20"/>
        </w:rPr>
        <w:tab/>
        <w:t xml:space="preserve">Malla Reddy Institute of Pharmaceutical Sciences, Jawaharlal Nehru Technological University, </w:t>
      </w:r>
      <w:proofErr w:type="spellStart"/>
      <w:r w:rsidRPr="00C33A1B">
        <w:rPr>
          <w:rFonts w:ascii="Times New Roman" w:hAnsi="Times New Roman" w:cs="Times New Roman"/>
          <w:sz w:val="20"/>
          <w:szCs w:val="20"/>
        </w:rPr>
        <w:t>Kompally</w:t>
      </w:r>
      <w:proofErr w:type="spellEnd"/>
      <w:r w:rsidRPr="00C33A1B">
        <w:rPr>
          <w:rFonts w:ascii="Times New Roman" w:hAnsi="Times New Roman" w:cs="Times New Roman"/>
          <w:sz w:val="20"/>
          <w:szCs w:val="20"/>
        </w:rPr>
        <w:t xml:space="preserve">, Hyderabad, Telangana, India </w:t>
      </w:r>
      <w:r w:rsidRPr="00C33A1B">
        <w:rPr>
          <w:rFonts w:ascii="Times New Roman" w:hAnsi="Times New Roman" w:cs="Times New Roman"/>
          <w:i/>
          <w:iCs/>
          <w:sz w:val="20"/>
          <w:szCs w:val="20"/>
        </w:rPr>
        <w:t>et al.</w:t>
      </w:r>
      <w:r w:rsidRPr="00C33A1B">
        <w:rPr>
          <w:rFonts w:ascii="Times New Roman" w:hAnsi="Times New Roman" w:cs="Times New Roman"/>
          <w:sz w:val="20"/>
          <w:szCs w:val="20"/>
        </w:rPr>
        <w:t xml:space="preserve">, “Preparation of Allium Cepa Peel Extract-mediated Silver Nanoparticles: A Hair Dye Formulation,” </w:t>
      </w:r>
      <w:r w:rsidRPr="00C33A1B">
        <w:rPr>
          <w:rFonts w:ascii="Times New Roman" w:hAnsi="Times New Roman" w:cs="Times New Roman"/>
          <w:i/>
          <w:iCs/>
          <w:sz w:val="20"/>
          <w:szCs w:val="20"/>
        </w:rPr>
        <w:t>Chin. J. Appl. Physiol.</w:t>
      </w:r>
      <w:r w:rsidRPr="00C33A1B">
        <w:rPr>
          <w:rFonts w:ascii="Times New Roman" w:hAnsi="Times New Roman" w:cs="Times New Roman"/>
          <w:sz w:val="20"/>
          <w:szCs w:val="20"/>
        </w:rPr>
        <w:t xml:space="preserve">, vol. 40, p. e20240023, 2024, </w:t>
      </w:r>
      <w:proofErr w:type="spellStart"/>
      <w:r w:rsidRPr="00C33A1B">
        <w:rPr>
          <w:rFonts w:ascii="Times New Roman" w:hAnsi="Times New Roman" w:cs="Times New Roman"/>
          <w:sz w:val="20"/>
          <w:szCs w:val="20"/>
        </w:rPr>
        <w:t>doi</w:t>
      </w:r>
      <w:proofErr w:type="spellEnd"/>
      <w:r w:rsidRPr="00C33A1B">
        <w:rPr>
          <w:rFonts w:ascii="Times New Roman" w:hAnsi="Times New Roman" w:cs="Times New Roman"/>
          <w:sz w:val="20"/>
          <w:szCs w:val="20"/>
        </w:rPr>
        <w:t>: 10.62958/j.cjap.2024.023.</w:t>
      </w:r>
    </w:p>
    <w:p w14:paraId="43C79B0C" w14:textId="6A80162E" w:rsidR="006002EF" w:rsidRPr="00C33A1B" w:rsidRDefault="00FB26FB" w:rsidP="008C17CB">
      <w:pPr>
        <w:jc w:val="both"/>
        <w:rPr>
          <w:rFonts w:ascii="Times New Roman" w:hAnsi="Times New Roman" w:cs="Times New Roman"/>
          <w:sz w:val="20"/>
          <w:szCs w:val="20"/>
        </w:rPr>
      </w:pPr>
      <w:r w:rsidRPr="00C33A1B">
        <w:rPr>
          <w:rFonts w:ascii="Times New Roman" w:hAnsi="Times New Roman" w:cs="Times New Roman"/>
          <w:sz w:val="20"/>
          <w:szCs w:val="20"/>
        </w:rPr>
        <w:fldChar w:fldCharType="end"/>
      </w:r>
    </w:p>
    <w:p w14:paraId="18CB2F71" w14:textId="0C1C71DF" w:rsidR="00572BAA" w:rsidRPr="00C33A1B" w:rsidRDefault="007623E3" w:rsidP="00AE7F50">
      <w:pPr>
        <w:pStyle w:val="ListParagraph"/>
        <w:ind w:left="1080"/>
        <w:jc w:val="both"/>
        <w:rPr>
          <w:rFonts w:ascii="Times New Roman" w:hAnsi="Times New Roman" w:cs="Times New Roman"/>
          <w:sz w:val="20"/>
          <w:szCs w:val="20"/>
        </w:rPr>
      </w:pPr>
      <w:r w:rsidRPr="00C33A1B">
        <w:rPr>
          <w:rFonts w:ascii="Times New Roman" w:hAnsi="Times New Roman" w:cs="Times New Roman"/>
          <w:sz w:val="20"/>
          <w:szCs w:val="20"/>
        </w:rPr>
        <w:t xml:space="preserve"> </w:t>
      </w:r>
    </w:p>
    <w:p w14:paraId="43D31DA8" w14:textId="77777777" w:rsidR="007623E3" w:rsidRPr="00C33A1B" w:rsidRDefault="007623E3" w:rsidP="00AE7F50">
      <w:pPr>
        <w:pStyle w:val="ListParagraph"/>
        <w:ind w:left="1080"/>
        <w:jc w:val="both"/>
        <w:rPr>
          <w:rFonts w:ascii="Times New Roman" w:hAnsi="Times New Roman" w:cs="Times New Roman"/>
          <w:sz w:val="20"/>
          <w:szCs w:val="20"/>
        </w:rPr>
      </w:pPr>
    </w:p>
    <w:p w14:paraId="5D0D2FAF" w14:textId="77777777" w:rsidR="007623E3" w:rsidRPr="00C33A1B" w:rsidRDefault="007623E3" w:rsidP="00AE7F50">
      <w:pPr>
        <w:pStyle w:val="ListParagraph"/>
        <w:ind w:left="1080"/>
        <w:jc w:val="both"/>
        <w:rPr>
          <w:rFonts w:ascii="Times New Roman" w:hAnsi="Times New Roman" w:cs="Times New Roman"/>
          <w:sz w:val="20"/>
          <w:szCs w:val="20"/>
        </w:rPr>
      </w:pPr>
    </w:p>
    <w:p w14:paraId="35F5545E" w14:textId="77777777" w:rsidR="00C42AD7" w:rsidRPr="00C33A1B" w:rsidRDefault="00C42AD7" w:rsidP="00AE7F50">
      <w:pPr>
        <w:pStyle w:val="ListParagraph"/>
        <w:ind w:left="1080"/>
        <w:jc w:val="both"/>
        <w:rPr>
          <w:rFonts w:ascii="Times New Roman" w:hAnsi="Times New Roman" w:cs="Times New Roman"/>
          <w:sz w:val="20"/>
          <w:szCs w:val="20"/>
        </w:rPr>
      </w:pPr>
    </w:p>
    <w:p w14:paraId="7D715E05" w14:textId="77777777" w:rsidR="00C42AD7" w:rsidRPr="00C33A1B" w:rsidRDefault="00C42AD7" w:rsidP="00AE7F50">
      <w:pPr>
        <w:pStyle w:val="ListParagraph"/>
        <w:ind w:left="1080"/>
        <w:jc w:val="both"/>
        <w:rPr>
          <w:rFonts w:ascii="Times New Roman" w:hAnsi="Times New Roman" w:cs="Times New Roman"/>
          <w:sz w:val="20"/>
          <w:szCs w:val="20"/>
        </w:rPr>
      </w:pPr>
    </w:p>
    <w:sectPr w:rsidR="00C42AD7" w:rsidRPr="00C33A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4CD19" w14:textId="77777777" w:rsidR="00932E00" w:rsidRDefault="00932E00" w:rsidP="00AA49C6">
      <w:pPr>
        <w:spacing w:after="0" w:line="240" w:lineRule="auto"/>
      </w:pPr>
      <w:r>
        <w:separator/>
      </w:r>
    </w:p>
  </w:endnote>
  <w:endnote w:type="continuationSeparator" w:id="0">
    <w:p w14:paraId="4E50E831" w14:textId="77777777" w:rsidR="00932E00" w:rsidRDefault="00932E00" w:rsidP="00AA4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D5E6E" w14:textId="77777777" w:rsidR="00932E00" w:rsidRDefault="00932E00" w:rsidP="00AA49C6">
      <w:pPr>
        <w:spacing w:after="0" w:line="240" w:lineRule="auto"/>
      </w:pPr>
      <w:r>
        <w:separator/>
      </w:r>
    </w:p>
  </w:footnote>
  <w:footnote w:type="continuationSeparator" w:id="0">
    <w:p w14:paraId="5D31BCE1" w14:textId="77777777" w:rsidR="00932E00" w:rsidRDefault="00932E00" w:rsidP="00AA4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D0118"/>
    <w:multiLevelType w:val="hybridMultilevel"/>
    <w:tmpl w:val="B3323718"/>
    <w:lvl w:ilvl="0" w:tplc="9FEC91D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DE15183"/>
    <w:multiLevelType w:val="hybridMultilevel"/>
    <w:tmpl w:val="6AA23564"/>
    <w:lvl w:ilvl="0" w:tplc="6994CE92">
      <w:start w:val="1"/>
      <w:numFmt w:val="decimal"/>
      <w:lvlText w:val="%1."/>
      <w:lvlJc w:val="left"/>
      <w:pPr>
        <w:ind w:left="720" w:hanging="360"/>
      </w:pPr>
      <w:rPr>
        <w:rFonts w:ascii="Times New Roman" w:hAnsi="Times New Roman" w:cs="Times New Roman" w:hint="default"/>
        <w:color w:val="000000" w:themeColor="text1"/>
        <w:sz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8D22A4A"/>
    <w:multiLevelType w:val="multilevel"/>
    <w:tmpl w:val="4CD2990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739F7B37"/>
    <w:multiLevelType w:val="multilevel"/>
    <w:tmpl w:val="93E2D2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064715">
    <w:abstractNumId w:val="2"/>
  </w:num>
  <w:num w:numId="2" w16cid:durableId="1319308083">
    <w:abstractNumId w:val="0"/>
  </w:num>
  <w:num w:numId="3" w16cid:durableId="389379564">
    <w:abstractNumId w:val="1"/>
  </w:num>
  <w:num w:numId="4" w16cid:durableId="1895191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91"/>
    <w:rsid w:val="00024A91"/>
    <w:rsid w:val="00057893"/>
    <w:rsid w:val="00064461"/>
    <w:rsid w:val="0007614D"/>
    <w:rsid w:val="000C38F2"/>
    <w:rsid w:val="000C3D14"/>
    <w:rsid w:val="000C488B"/>
    <w:rsid w:val="00120091"/>
    <w:rsid w:val="0012048D"/>
    <w:rsid w:val="00163CB7"/>
    <w:rsid w:val="002407F4"/>
    <w:rsid w:val="00246B26"/>
    <w:rsid w:val="00275560"/>
    <w:rsid w:val="0028155A"/>
    <w:rsid w:val="00283ACA"/>
    <w:rsid w:val="002D348E"/>
    <w:rsid w:val="002F6667"/>
    <w:rsid w:val="00372A25"/>
    <w:rsid w:val="003B4371"/>
    <w:rsid w:val="003B4949"/>
    <w:rsid w:val="003E2F54"/>
    <w:rsid w:val="003E7A1C"/>
    <w:rsid w:val="00422F8A"/>
    <w:rsid w:val="005556A3"/>
    <w:rsid w:val="00572BAA"/>
    <w:rsid w:val="005867C7"/>
    <w:rsid w:val="005A045D"/>
    <w:rsid w:val="005E0C1C"/>
    <w:rsid w:val="005E4A12"/>
    <w:rsid w:val="005F2365"/>
    <w:rsid w:val="006002EF"/>
    <w:rsid w:val="00613423"/>
    <w:rsid w:val="0062609B"/>
    <w:rsid w:val="00646150"/>
    <w:rsid w:val="00652F0F"/>
    <w:rsid w:val="006716A1"/>
    <w:rsid w:val="006B4527"/>
    <w:rsid w:val="00723715"/>
    <w:rsid w:val="0075660D"/>
    <w:rsid w:val="007623E3"/>
    <w:rsid w:val="007A4BF3"/>
    <w:rsid w:val="007C095A"/>
    <w:rsid w:val="007D3047"/>
    <w:rsid w:val="007F1B0E"/>
    <w:rsid w:val="008150AA"/>
    <w:rsid w:val="00823887"/>
    <w:rsid w:val="008422C0"/>
    <w:rsid w:val="008C17CB"/>
    <w:rsid w:val="00932E00"/>
    <w:rsid w:val="009668AF"/>
    <w:rsid w:val="009D0A71"/>
    <w:rsid w:val="009D24BA"/>
    <w:rsid w:val="00A43D34"/>
    <w:rsid w:val="00A67554"/>
    <w:rsid w:val="00AA49C6"/>
    <w:rsid w:val="00AA58FE"/>
    <w:rsid w:val="00AE0C66"/>
    <w:rsid w:val="00AE26FD"/>
    <w:rsid w:val="00AE4139"/>
    <w:rsid w:val="00AE7F50"/>
    <w:rsid w:val="00B00C0C"/>
    <w:rsid w:val="00B24317"/>
    <w:rsid w:val="00B301E0"/>
    <w:rsid w:val="00BB327A"/>
    <w:rsid w:val="00BD7579"/>
    <w:rsid w:val="00C123BE"/>
    <w:rsid w:val="00C153E3"/>
    <w:rsid w:val="00C33A1B"/>
    <w:rsid w:val="00C42AD7"/>
    <w:rsid w:val="00C67001"/>
    <w:rsid w:val="00C91787"/>
    <w:rsid w:val="00C91E9E"/>
    <w:rsid w:val="00CF642B"/>
    <w:rsid w:val="00D0779B"/>
    <w:rsid w:val="00D77EE6"/>
    <w:rsid w:val="00D9086A"/>
    <w:rsid w:val="00DF7125"/>
    <w:rsid w:val="00E30102"/>
    <w:rsid w:val="00E32852"/>
    <w:rsid w:val="00ED4B1B"/>
    <w:rsid w:val="00ED6336"/>
    <w:rsid w:val="00F430EA"/>
    <w:rsid w:val="00F8370B"/>
    <w:rsid w:val="00FB26FB"/>
    <w:rsid w:val="00FD32F4"/>
    <w:rsid w:val="00FE5F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9211"/>
  <w15:chartTrackingRefBased/>
  <w15:docId w15:val="{8ED36A36-5398-423C-9147-30A88378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6B26"/>
    <w:rPr>
      <w:color w:val="0563C1" w:themeColor="hyperlink"/>
      <w:u w:val="single"/>
    </w:rPr>
  </w:style>
  <w:style w:type="character" w:styleId="UnresolvedMention">
    <w:name w:val="Unresolved Mention"/>
    <w:basedOn w:val="DefaultParagraphFont"/>
    <w:uiPriority w:val="99"/>
    <w:semiHidden/>
    <w:unhideWhenUsed/>
    <w:rsid w:val="00246B26"/>
    <w:rPr>
      <w:color w:val="605E5C"/>
      <w:shd w:val="clear" w:color="auto" w:fill="E1DFDD"/>
    </w:rPr>
  </w:style>
  <w:style w:type="paragraph" w:styleId="ListParagraph">
    <w:name w:val="List Paragraph"/>
    <w:basedOn w:val="Normal"/>
    <w:uiPriority w:val="34"/>
    <w:qFormat/>
    <w:rsid w:val="00246B26"/>
    <w:pPr>
      <w:ind w:left="720"/>
      <w:contextualSpacing/>
    </w:pPr>
  </w:style>
  <w:style w:type="paragraph" w:styleId="FootnoteText">
    <w:name w:val="footnote text"/>
    <w:basedOn w:val="Normal"/>
    <w:link w:val="FootnoteTextChar"/>
    <w:uiPriority w:val="99"/>
    <w:semiHidden/>
    <w:unhideWhenUsed/>
    <w:rsid w:val="00AA49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49C6"/>
    <w:rPr>
      <w:sz w:val="20"/>
      <w:szCs w:val="20"/>
    </w:rPr>
  </w:style>
  <w:style w:type="character" w:styleId="FootnoteReference">
    <w:name w:val="footnote reference"/>
    <w:basedOn w:val="DefaultParagraphFont"/>
    <w:uiPriority w:val="99"/>
    <w:semiHidden/>
    <w:unhideWhenUsed/>
    <w:rsid w:val="00AA49C6"/>
    <w:rPr>
      <w:vertAlign w:val="superscript"/>
    </w:rPr>
  </w:style>
  <w:style w:type="table" w:styleId="TableGrid">
    <w:name w:val="Table Grid"/>
    <w:basedOn w:val="TableNormal"/>
    <w:uiPriority w:val="39"/>
    <w:rsid w:val="0028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83ACA"/>
    <w:rPr>
      <w:b/>
      <w:bCs/>
    </w:rPr>
  </w:style>
  <w:style w:type="paragraph" w:styleId="Bibliography">
    <w:name w:val="Bibliography"/>
    <w:basedOn w:val="Normal"/>
    <w:next w:val="Normal"/>
    <w:uiPriority w:val="37"/>
    <w:unhideWhenUsed/>
    <w:rsid w:val="00FB26FB"/>
    <w:pPr>
      <w:tabs>
        <w:tab w:val="left" w:pos="504"/>
      </w:tabs>
      <w:spacing w:after="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01373">
      <w:bodyDiv w:val="1"/>
      <w:marLeft w:val="0"/>
      <w:marRight w:val="0"/>
      <w:marTop w:val="0"/>
      <w:marBottom w:val="0"/>
      <w:divBdr>
        <w:top w:val="none" w:sz="0" w:space="0" w:color="auto"/>
        <w:left w:val="none" w:sz="0" w:space="0" w:color="auto"/>
        <w:bottom w:val="none" w:sz="0" w:space="0" w:color="auto"/>
        <w:right w:val="none" w:sz="0" w:space="0" w:color="auto"/>
      </w:divBdr>
    </w:div>
    <w:div w:id="196428231">
      <w:bodyDiv w:val="1"/>
      <w:marLeft w:val="0"/>
      <w:marRight w:val="0"/>
      <w:marTop w:val="0"/>
      <w:marBottom w:val="0"/>
      <w:divBdr>
        <w:top w:val="none" w:sz="0" w:space="0" w:color="auto"/>
        <w:left w:val="none" w:sz="0" w:space="0" w:color="auto"/>
        <w:bottom w:val="none" w:sz="0" w:space="0" w:color="auto"/>
        <w:right w:val="none" w:sz="0" w:space="0" w:color="auto"/>
      </w:divBdr>
    </w:div>
    <w:div w:id="360015616">
      <w:bodyDiv w:val="1"/>
      <w:marLeft w:val="0"/>
      <w:marRight w:val="0"/>
      <w:marTop w:val="0"/>
      <w:marBottom w:val="0"/>
      <w:divBdr>
        <w:top w:val="none" w:sz="0" w:space="0" w:color="auto"/>
        <w:left w:val="none" w:sz="0" w:space="0" w:color="auto"/>
        <w:bottom w:val="none" w:sz="0" w:space="0" w:color="auto"/>
        <w:right w:val="none" w:sz="0" w:space="0" w:color="auto"/>
      </w:divBdr>
    </w:div>
    <w:div w:id="575283463">
      <w:bodyDiv w:val="1"/>
      <w:marLeft w:val="0"/>
      <w:marRight w:val="0"/>
      <w:marTop w:val="0"/>
      <w:marBottom w:val="0"/>
      <w:divBdr>
        <w:top w:val="none" w:sz="0" w:space="0" w:color="auto"/>
        <w:left w:val="none" w:sz="0" w:space="0" w:color="auto"/>
        <w:bottom w:val="none" w:sz="0" w:space="0" w:color="auto"/>
        <w:right w:val="none" w:sz="0" w:space="0" w:color="auto"/>
      </w:divBdr>
    </w:div>
    <w:div w:id="756556195">
      <w:bodyDiv w:val="1"/>
      <w:marLeft w:val="0"/>
      <w:marRight w:val="0"/>
      <w:marTop w:val="0"/>
      <w:marBottom w:val="0"/>
      <w:divBdr>
        <w:top w:val="none" w:sz="0" w:space="0" w:color="auto"/>
        <w:left w:val="none" w:sz="0" w:space="0" w:color="auto"/>
        <w:bottom w:val="none" w:sz="0" w:space="0" w:color="auto"/>
        <w:right w:val="none" w:sz="0" w:space="0" w:color="auto"/>
      </w:divBdr>
    </w:div>
    <w:div w:id="1205364479">
      <w:bodyDiv w:val="1"/>
      <w:marLeft w:val="0"/>
      <w:marRight w:val="0"/>
      <w:marTop w:val="0"/>
      <w:marBottom w:val="0"/>
      <w:divBdr>
        <w:top w:val="none" w:sz="0" w:space="0" w:color="auto"/>
        <w:left w:val="none" w:sz="0" w:space="0" w:color="auto"/>
        <w:bottom w:val="none" w:sz="0" w:space="0" w:color="auto"/>
        <w:right w:val="none" w:sz="0" w:space="0" w:color="auto"/>
      </w:divBdr>
    </w:div>
    <w:div w:id="1301767007">
      <w:bodyDiv w:val="1"/>
      <w:marLeft w:val="0"/>
      <w:marRight w:val="0"/>
      <w:marTop w:val="0"/>
      <w:marBottom w:val="0"/>
      <w:divBdr>
        <w:top w:val="none" w:sz="0" w:space="0" w:color="auto"/>
        <w:left w:val="none" w:sz="0" w:space="0" w:color="auto"/>
        <w:bottom w:val="none" w:sz="0" w:space="0" w:color="auto"/>
        <w:right w:val="none" w:sz="0" w:space="0" w:color="auto"/>
      </w:divBdr>
    </w:div>
    <w:div w:id="1459034954">
      <w:bodyDiv w:val="1"/>
      <w:marLeft w:val="0"/>
      <w:marRight w:val="0"/>
      <w:marTop w:val="0"/>
      <w:marBottom w:val="0"/>
      <w:divBdr>
        <w:top w:val="none" w:sz="0" w:space="0" w:color="auto"/>
        <w:left w:val="none" w:sz="0" w:space="0" w:color="auto"/>
        <w:bottom w:val="none" w:sz="0" w:space="0" w:color="auto"/>
        <w:right w:val="none" w:sz="0" w:space="0" w:color="auto"/>
      </w:divBdr>
    </w:div>
    <w:div w:id="1489051104">
      <w:bodyDiv w:val="1"/>
      <w:marLeft w:val="0"/>
      <w:marRight w:val="0"/>
      <w:marTop w:val="0"/>
      <w:marBottom w:val="0"/>
      <w:divBdr>
        <w:top w:val="none" w:sz="0" w:space="0" w:color="auto"/>
        <w:left w:val="none" w:sz="0" w:space="0" w:color="auto"/>
        <w:bottom w:val="none" w:sz="0" w:space="0" w:color="auto"/>
        <w:right w:val="none" w:sz="0" w:space="0" w:color="auto"/>
      </w:divBdr>
    </w:div>
    <w:div w:id="1750032708">
      <w:bodyDiv w:val="1"/>
      <w:marLeft w:val="0"/>
      <w:marRight w:val="0"/>
      <w:marTop w:val="0"/>
      <w:marBottom w:val="0"/>
      <w:divBdr>
        <w:top w:val="none" w:sz="0" w:space="0" w:color="auto"/>
        <w:left w:val="none" w:sz="0" w:space="0" w:color="auto"/>
        <w:bottom w:val="none" w:sz="0" w:space="0" w:color="auto"/>
        <w:right w:val="none" w:sz="0" w:space="0" w:color="auto"/>
      </w:divBdr>
    </w:div>
    <w:div w:id="1754206180">
      <w:bodyDiv w:val="1"/>
      <w:marLeft w:val="0"/>
      <w:marRight w:val="0"/>
      <w:marTop w:val="0"/>
      <w:marBottom w:val="0"/>
      <w:divBdr>
        <w:top w:val="none" w:sz="0" w:space="0" w:color="auto"/>
        <w:left w:val="none" w:sz="0" w:space="0" w:color="auto"/>
        <w:bottom w:val="none" w:sz="0" w:space="0" w:color="auto"/>
        <w:right w:val="none" w:sz="0" w:space="0" w:color="auto"/>
      </w:divBdr>
    </w:div>
    <w:div w:id="198430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6</Pages>
  <Words>11100</Words>
  <Characters>63272</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Srivastava Rossari</dc:creator>
  <cp:keywords/>
  <dc:description/>
  <cp:lastModifiedBy>Nitin Srivastava Rossari</cp:lastModifiedBy>
  <cp:revision>69</cp:revision>
  <dcterms:created xsi:type="dcterms:W3CDTF">2024-10-28T04:50:00Z</dcterms:created>
  <dcterms:modified xsi:type="dcterms:W3CDTF">2024-10-28T13:53:00Z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zotero-version="7.0.8"&gt;&lt;session id="MFN0BANm"/&gt;&lt;style id="http://www.zotero.org/styles/ieee"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