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982323" w14:textId="77777777" w:rsidR="004408B8" w:rsidRDefault="00B600F5" w:rsidP="00B600F5">
      <w:pPr>
        <w:spacing w:line="360" w:lineRule="auto"/>
        <w:jc w:val="center"/>
        <w:rPr>
          <w:rFonts w:ascii="Times New Roman" w:hAnsi="Times New Roman" w:cs="Times New Roman"/>
          <w:b/>
          <w:sz w:val="28"/>
          <w:szCs w:val="28"/>
        </w:rPr>
      </w:pPr>
      <w:r w:rsidRPr="00B600F5">
        <w:rPr>
          <w:rFonts w:ascii="Times New Roman" w:hAnsi="Times New Roman" w:cs="Times New Roman"/>
          <w:b/>
          <w:sz w:val="28"/>
          <w:szCs w:val="28"/>
        </w:rPr>
        <w:t>Streamlining Regulatory Compliance: Core Dossier Development for EU and US Filings</w:t>
      </w:r>
    </w:p>
    <w:p w14:paraId="5488C97C" w14:textId="77777777" w:rsidR="00E60B8E" w:rsidRPr="00A87C23" w:rsidRDefault="00E60B8E" w:rsidP="00E60B8E">
      <w:pPr>
        <w:jc w:val="center"/>
        <w:rPr>
          <w:rFonts w:ascii="Times New Roman" w:hAnsi="Times New Roman" w:cs="Times New Roman"/>
          <w:sz w:val="24"/>
          <w:szCs w:val="24"/>
        </w:rPr>
      </w:pPr>
      <w:r w:rsidRPr="00A87C23">
        <w:rPr>
          <w:rFonts w:ascii="Times New Roman" w:hAnsi="Times New Roman" w:cs="Times New Roman"/>
          <w:sz w:val="24"/>
          <w:szCs w:val="24"/>
        </w:rPr>
        <w:t>Ajmalkhan</w:t>
      </w:r>
      <w:r w:rsidR="00004FD4" w:rsidRPr="00A87C23">
        <w:rPr>
          <w:rFonts w:ascii="Times New Roman" w:hAnsi="Times New Roman" w:cs="Times New Roman"/>
          <w:sz w:val="24"/>
          <w:szCs w:val="24"/>
        </w:rPr>
        <w:t>.M</w:t>
      </w:r>
      <w:r w:rsidRPr="00A87C23">
        <w:rPr>
          <w:rFonts w:ascii="Times New Roman" w:hAnsi="Times New Roman" w:cs="Times New Roman"/>
          <w:sz w:val="24"/>
          <w:szCs w:val="24"/>
        </w:rPr>
        <w:t>*, Dr.K,Jaganathan,</w:t>
      </w:r>
      <w:r w:rsidR="00004FD4" w:rsidRPr="00A87C23">
        <w:rPr>
          <w:rFonts w:ascii="Times New Roman" w:hAnsi="Times New Roman" w:cs="Times New Roman"/>
          <w:sz w:val="24"/>
          <w:szCs w:val="24"/>
        </w:rPr>
        <w:t xml:space="preserve"> </w:t>
      </w:r>
      <w:r w:rsidRPr="00A87C23">
        <w:rPr>
          <w:rFonts w:ascii="Times New Roman" w:hAnsi="Times New Roman" w:cs="Times New Roman"/>
          <w:sz w:val="24"/>
          <w:szCs w:val="24"/>
        </w:rPr>
        <w:t xml:space="preserve">Dr.B.Senthil Kumar,Dr.N.Senthil kumar  </w:t>
      </w:r>
    </w:p>
    <w:p w14:paraId="1EA676BC" w14:textId="7ADBC763" w:rsidR="00A87C23" w:rsidRPr="00A87C23" w:rsidRDefault="00B94F9B" w:rsidP="00E60B8E">
      <w:pPr>
        <w:jc w:val="center"/>
        <w:rPr>
          <w:rFonts w:ascii="Times New Roman" w:hAnsi="Times New Roman" w:cs="Times New Roman"/>
          <w:sz w:val="24"/>
          <w:szCs w:val="24"/>
        </w:rPr>
      </w:pPr>
      <w:r>
        <w:rPr>
          <w:rFonts w:ascii="Times New Roman" w:hAnsi="Times New Roman" w:cs="Times New Roman"/>
          <w:sz w:val="24"/>
          <w:szCs w:val="24"/>
        </w:rPr>
        <w:t>1</w:t>
      </w:r>
      <w:r w:rsidR="00A87C23" w:rsidRPr="00A87C23">
        <w:rPr>
          <w:rFonts w:ascii="Times New Roman" w:hAnsi="Times New Roman" w:cs="Times New Roman"/>
          <w:sz w:val="24"/>
          <w:szCs w:val="24"/>
        </w:rPr>
        <w:t>Dr.M.G.R Medical University, Chennai.</w:t>
      </w:r>
    </w:p>
    <w:p w14:paraId="7325D838" w14:textId="5C7D1BC5" w:rsidR="00E60B8E" w:rsidRPr="00A87C23" w:rsidRDefault="00B94F9B" w:rsidP="00E60B8E">
      <w:pPr>
        <w:jc w:val="center"/>
        <w:rPr>
          <w:rFonts w:ascii="Times New Roman" w:hAnsi="Times New Roman" w:cs="Times New Roman"/>
          <w:sz w:val="24"/>
          <w:szCs w:val="24"/>
        </w:rPr>
      </w:pPr>
      <w:r>
        <w:rPr>
          <w:rFonts w:ascii="Times New Roman" w:hAnsi="Times New Roman" w:cs="Times New Roman"/>
          <w:sz w:val="24"/>
          <w:szCs w:val="24"/>
        </w:rPr>
        <w:t>2</w:t>
      </w:r>
      <w:r w:rsidR="00E60B8E" w:rsidRPr="00A87C23">
        <w:rPr>
          <w:rFonts w:ascii="Times New Roman" w:hAnsi="Times New Roman" w:cs="Times New Roman"/>
          <w:sz w:val="24"/>
          <w:szCs w:val="24"/>
        </w:rPr>
        <w:t xml:space="preserve">Department of Pharmaceutical Regulatory Affairs,  JKKMRF’s Annai JKK Sampoorani   </w:t>
      </w:r>
    </w:p>
    <w:p w14:paraId="0DE4D8F4" w14:textId="469F49AE" w:rsidR="00E60B8E" w:rsidRPr="00A87C23" w:rsidRDefault="00E60B8E" w:rsidP="00E60B8E">
      <w:pPr>
        <w:jc w:val="center"/>
        <w:rPr>
          <w:rFonts w:ascii="Times New Roman" w:hAnsi="Times New Roman" w:cs="Times New Roman"/>
          <w:sz w:val="24"/>
          <w:szCs w:val="24"/>
        </w:rPr>
      </w:pPr>
      <w:r w:rsidRPr="00A87C23">
        <w:rPr>
          <w:rFonts w:ascii="Times New Roman" w:hAnsi="Times New Roman" w:cs="Times New Roman"/>
          <w:sz w:val="24"/>
          <w:szCs w:val="24"/>
        </w:rPr>
        <w:t xml:space="preserve">   </w:t>
      </w:r>
      <w:r w:rsidR="00B94F9B">
        <w:rPr>
          <w:rFonts w:ascii="Times New Roman" w:hAnsi="Times New Roman" w:cs="Times New Roman"/>
          <w:sz w:val="24"/>
          <w:szCs w:val="24"/>
        </w:rPr>
        <w:t>3</w:t>
      </w:r>
      <w:r w:rsidRPr="00A87C23">
        <w:rPr>
          <w:rFonts w:ascii="Times New Roman" w:hAnsi="Times New Roman" w:cs="Times New Roman"/>
          <w:sz w:val="24"/>
          <w:szCs w:val="24"/>
        </w:rPr>
        <w:t xml:space="preserve">Ammal College Of Pharmacy, Komarapalayam, Nammakkal – 638183,Tamil Nadu, India </w:t>
      </w:r>
    </w:p>
    <w:p w14:paraId="1F63BED1" w14:textId="77777777" w:rsidR="00E60B8E" w:rsidRPr="00A87C23" w:rsidRDefault="00E60B8E" w:rsidP="00B600F5">
      <w:pPr>
        <w:spacing w:line="360" w:lineRule="auto"/>
        <w:jc w:val="center"/>
        <w:rPr>
          <w:rFonts w:ascii="Times New Roman" w:hAnsi="Times New Roman" w:cs="Times New Roman"/>
          <w:b/>
          <w:sz w:val="24"/>
          <w:szCs w:val="24"/>
        </w:rPr>
      </w:pPr>
    </w:p>
    <w:p w14:paraId="509C17EA" w14:textId="77777777" w:rsidR="00B600F5" w:rsidRPr="0098799E" w:rsidRDefault="00B600F5" w:rsidP="00B600F5">
      <w:pPr>
        <w:spacing w:line="360" w:lineRule="auto"/>
        <w:jc w:val="both"/>
        <w:rPr>
          <w:rFonts w:ascii="Times New Roman" w:hAnsi="Times New Roman" w:cs="Times New Roman"/>
          <w:b/>
          <w:sz w:val="24"/>
          <w:szCs w:val="24"/>
        </w:rPr>
      </w:pPr>
      <w:r w:rsidRPr="0098799E">
        <w:rPr>
          <w:rFonts w:ascii="Times New Roman" w:hAnsi="Times New Roman" w:cs="Times New Roman"/>
          <w:b/>
          <w:sz w:val="24"/>
          <w:szCs w:val="24"/>
        </w:rPr>
        <w:t xml:space="preserve">ABSTRACT </w:t>
      </w:r>
    </w:p>
    <w:p w14:paraId="0F4E4A7F" w14:textId="77777777" w:rsidR="0098799E" w:rsidRPr="0098799E" w:rsidRDefault="0098799E" w:rsidP="00B600F5">
      <w:pPr>
        <w:spacing w:line="360" w:lineRule="auto"/>
        <w:jc w:val="both"/>
        <w:rPr>
          <w:rFonts w:ascii="Times New Roman" w:hAnsi="Times New Roman" w:cs="Times New Roman"/>
          <w:sz w:val="24"/>
          <w:szCs w:val="24"/>
        </w:rPr>
      </w:pPr>
      <w:r w:rsidRPr="0098799E">
        <w:rPr>
          <w:rFonts w:ascii="Times New Roman" w:hAnsi="Times New Roman" w:cs="Times New Roman"/>
          <w:sz w:val="24"/>
          <w:szCs w:val="24"/>
        </w:rPr>
        <w:t>Pharmaceutical companies are under intense global economic pressure to enhance the value of their assets and expand into new markets. However, they encounter significant challenges such as regulatory delays and submission failures during initial filings. By adopting proactive regulatory strategies, companies can optimize their product portfolios and avoid these issues. Simultaneously, governments are feeling the strain to reduce healthcare expenditures due to aging populations, economic slowdowns, and increasing drug prices. The European Union (EU) and the United States (US) have distinct regional and technical standards for generic drugs. In the US, regulatory information is submitted to the FDA via the Electronic Common Technical Document (eCTD), while the EU operates a centralized system for single applications. Generic medicines must demonstrate pharmaceutical equivalence, conduct bioequivalence studies, and provide clinical evidence supporting safety and efficacy in both markets. These differences must be fully understood to achieve faster drug approvals and ensure patient access to safe and effective generics.</w:t>
      </w:r>
    </w:p>
    <w:p w14:paraId="498C9F7C" w14:textId="77777777" w:rsidR="00B600F5" w:rsidRDefault="0098799E" w:rsidP="00B600F5">
      <w:pPr>
        <w:spacing w:line="360" w:lineRule="auto"/>
        <w:jc w:val="both"/>
        <w:rPr>
          <w:rFonts w:ascii="Times New Roman" w:hAnsi="Times New Roman" w:cs="Times New Roman"/>
          <w:sz w:val="24"/>
          <w:szCs w:val="24"/>
        </w:rPr>
      </w:pPr>
      <w:r w:rsidRPr="0098799E">
        <w:rPr>
          <w:rFonts w:ascii="Times New Roman" w:hAnsi="Times New Roman" w:cs="Times New Roman"/>
          <w:b/>
          <w:sz w:val="24"/>
          <w:szCs w:val="24"/>
        </w:rPr>
        <w:t>Key words:</w:t>
      </w:r>
      <w:r w:rsidR="00B600F5" w:rsidRPr="0098799E">
        <w:rPr>
          <w:rFonts w:ascii="Times New Roman" w:hAnsi="Times New Roman" w:cs="Times New Roman"/>
          <w:sz w:val="24"/>
          <w:szCs w:val="24"/>
        </w:rPr>
        <w:t xml:space="preserve"> EU, USA, Generic drugs, CTD, FDA, MRP, Orange book</w:t>
      </w:r>
    </w:p>
    <w:p w14:paraId="32CF3E7A" w14:textId="77777777" w:rsidR="00E60B8E" w:rsidRDefault="00E60B8E" w:rsidP="00B600F5">
      <w:pPr>
        <w:spacing w:line="360" w:lineRule="auto"/>
        <w:jc w:val="both"/>
        <w:rPr>
          <w:rFonts w:ascii="Times New Roman" w:hAnsi="Times New Roman" w:cs="Times New Roman"/>
          <w:sz w:val="24"/>
          <w:szCs w:val="24"/>
        </w:rPr>
      </w:pPr>
    </w:p>
    <w:p w14:paraId="539C8D69" w14:textId="77777777" w:rsidR="00E60B8E" w:rsidRDefault="00E60B8E" w:rsidP="00B600F5">
      <w:pPr>
        <w:spacing w:line="360" w:lineRule="auto"/>
        <w:jc w:val="both"/>
        <w:rPr>
          <w:rFonts w:ascii="Times New Roman" w:hAnsi="Times New Roman" w:cs="Times New Roman"/>
          <w:sz w:val="24"/>
          <w:szCs w:val="24"/>
        </w:rPr>
      </w:pPr>
    </w:p>
    <w:p w14:paraId="37E9CCBD" w14:textId="77777777" w:rsidR="00E60B8E" w:rsidRDefault="00E60B8E" w:rsidP="00B600F5">
      <w:pPr>
        <w:spacing w:line="360" w:lineRule="auto"/>
        <w:jc w:val="both"/>
        <w:rPr>
          <w:rFonts w:ascii="Times New Roman" w:hAnsi="Times New Roman" w:cs="Times New Roman"/>
          <w:sz w:val="24"/>
          <w:szCs w:val="24"/>
        </w:rPr>
      </w:pPr>
    </w:p>
    <w:p w14:paraId="1F602F1A" w14:textId="77777777" w:rsidR="00E60B8E" w:rsidRDefault="00E60B8E" w:rsidP="00E60B8E">
      <w:pPr>
        <w:spacing w:line="360" w:lineRule="auto"/>
        <w:jc w:val="both"/>
        <w:rPr>
          <w:rFonts w:ascii="Times New Roman" w:hAnsi="Times New Roman" w:cs="Times New Roman"/>
          <w:b/>
          <w:sz w:val="28"/>
          <w:szCs w:val="28"/>
        </w:rPr>
      </w:pPr>
      <w:r>
        <w:rPr>
          <w:rFonts w:ascii="Times New Roman" w:hAnsi="Times New Roman" w:cs="Times New Roman"/>
          <w:b/>
          <w:sz w:val="28"/>
          <w:szCs w:val="28"/>
        </w:rPr>
        <w:t>*Corresponding Author: Dr.K.Jaganathan, M.Pharm,Ph.D</w:t>
      </w:r>
    </w:p>
    <w:p w14:paraId="47FBB403" w14:textId="77777777" w:rsidR="00E60B8E" w:rsidRPr="00E60B8E" w:rsidRDefault="00E60B8E" w:rsidP="00E60B8E">
      <w:pPr>
        <w:spacing w:line="360" w:lineRule="auto"/>
        <w:jc w:val="both"/>
        <w:rPr>
          <w:rFonts w:ascii="Times New Roman" w:hAnsi="Times New Roman" w:cs="Times New Roman"/>
          <w:sz w:val="24"/>
          <w:szCs w:val="24"/>
        </w:rPr>
      </w:pPr>
      <w:r>
        <w:rPr>
          <w:rFonts w:ascii="Times New Roman" w:hAnsi="Times New Roman" w:cs="Times New Roman"/>
          <w:b/>
          <w:sz w:val="28"/>
          <w:szCs w:val="28"/>
        </w:rPr>
        <w:t xml:space="preserve">   </w:t>
      </w:r>
      <w:r w:rsidRPr="00E60B8E">
        <w:rPr>
          <w:rFonts w:ascii="Times New Roman" w:hAnsi="Times New Roman" w:cs="Times New Roman"/>
          <w:sz w:val="28"/>
          <w:szCs w:val="28"/>
        </w:rPr>
        <w:t>Email Id:</w:t>
      </w:r>
      <w:r>
        <w:rPr>
          <w:rFonts w:ascii="Times New Roman" w:hAnsi="Times New Roman" w:cs="Times New Roman"/>
          <w:sz w:val="28"/>
          <w:szCs w:val="28"/>
        </w:rPr>
        <w:t xml:space="preserve"> </w:t>
      </w:r>
      <w:r w:rsidRPr="00E60B8E">
        <w:rPr>
          <w:rFonts w:ascii="Times New Roman" w:hAnsi="Times New Roman" w:cs="Times New Roman"/>
          <w:sz w:val="28"/>
          <w:szCs w:val="28"/>
        </w:rPr>
        <w:t>jaganjkkm2022@gmail.com</w:t>
      </w:r>
    </w:p>
    <w:p w14:paraId="1E35C071" w14:textId="77777777" w:rsidR="00E60B8E" w:rsidRDefault="00E60B8E" w:rsidP="00B600F5">
      <w:pPr>
        <w:spacing w:line="360" w:lineRule="auto"/>
        <w:jc w:val="both"/>
        <w:rPr>
          <w:rFonts w:ascii="Times New Roman" w:hAnsi="Times New Roman" w:cs="Times New Roman"/>
          <w:sz w:val="24"/>
          <w:szCs w:val="24"/>
        </w:rPr>
      </w:pPr>
    </w:p>
    <w:p w14:paraId="0F24715E" w14:textId="77777777" w:rsidR="00E60B8E" w:rsidRDefault="00E60B8E" w:rsidP="00B600F5">
      <w:pPr>
        <w:spacing w:line="360" w:lineRule="auto"/>
        <w:jc w:val="both"/>
        <w:rPr>
          <w:rFonts w:ascii="Times New Roman" w:hAnsi="Times New Roman" w:cs="Times New Roman"/>
          <w:sz w:val="24"/>
          <w:szCs w:val="24"/>
        </w:rPr>
      </w:pPr>
    </w:p>
    <w:p w14:paraId="041DCD1D" w14:textId="77777777" w:rsidR="00E60B8E" w:rsidRDefault="00E60B8E" w:rsidP="00B600F5">
      <w:pPr>
        <w:spacing w:line="360" w:lineRule="auto"/>
        <w:jc w:val="both"/>
        <w:rPr>
          <w:rFonts w:ascii="Times New Roman" w:hAnsi="Times New Roman" w:cs="Times New Roman"/>
          <w:sz w:val="24"/>
          <w:szCs w:val="24"/>
        </w:rPr>
      </w:pPr>
    </w:p>
    <w:p w14:paraId="06527A3A" w14:textId="77777777" w:rsidR="00E60B8E" w:rsidRDefault="00E60B8E" w:rsidP="00B600F5">
      <w:pPr>
        <w:spacing w:line="360" w:lineRule="auto"/>
        <w:jc w:val="both"/>
        <w:rPr>
          <w:rFonts w:ascii="Times New Roman" w:hAnsi="Times New Roman" w:cs="Times New Roman"/>
          <w:sz w:val="24"/>
          <w:szCs w:val="24"/>
        </w:rPr>
      </w:pPr>
    </w:p>
    <w:p w14:paraId="2527A863" w14:textId="77777777" w:rsidR="0098799E" w:rsidRPr="0098799E" w:rsidRDefault="0098799E" w:rsidP="00B600F5">
      <w:pPr>
        <w:spacing w:line="360" w:lineRule="auto"/>
        <w:jc w:val="both"/>
        <w:rPr>
          <w:rFonts w:ascii="Times New Roman" w:hAnsi="Times New Roman" w:cs="Times New Roman"/>
          <w:b/>
          <w:sz w:val="24"/>
          <w:szCs w:val="24"/>
        </w:rPr>
      </w:pPr>
      <w:r w:rsidRPr="0098799E">
        <w:rPr>
          <w:rFonts w:ascii="Times New Roman" w:hAnsi="Times New Roman" w:cs="Times New Roman"/>
          <w:b/>
          <w:sz w:val="24"/>
          <w:szCs w:val="24"/>
        </w:rPr>
        <w:t>Introduction:</w:t>
      </w:r>
    </w:p>
    <w:p w14:paraId="7D73A2F8" w14:textId="77777777" w:rsidR="0098799E" w:rsidRDefault="0098799E" w:rsidP="0098799E">
      <w:pPr>
        <w:spacing w:line="360" w:lineRule="auto"/>
        <w:jc w:val="both"/>
        <w:rPr>
          <w:rFonts w:ascii="Times New Roman" w:hAnsi="Times New Roman" w:cs="Times New Roman"/>
          <w:sz w:val="24"/>
          <w:szCs w:val="24"/>
        </w:rPr>
      </w:pPr>
      <w:r w:rsidRPr="0098799E">
        <w:rPr>
          <w:rFonts w:ascii="Times New Roman" w:hAnsi="Times New Roman" w:cs="Times New Roman"/>
          <w:sz w:val="24"/>
          <w:szCs w:val="24"/>
        </w:rPr>
        <w:t>The current global economic climate is placing tremendous pressure on pharmaceutical companies to maximize the value of their assets. Companies with established products want to increase sales by expanding into additional markets to offset impending patent expirations. Confronted with these marketplace challenges, no pharmaceutical company can afford first-round submission failures or other regulatory delays that prevent its products from reaching their targeted markets in a timely fashion. The Common Technical Document (CTD) is submitted based on the requirement of the product approval. The guidance indicates an appropriate format for the data that has been acquired but not what studies are required. This study put forth the differences in registration requirements for generics in the European Union and the United States. It also gives an overview of the administrative documents required for generic drug registration in the Association of Southeast Asian Nations (ASEAN) CTD i.e. ACTD, Eastern European, Commonwealth Independent States, and Latin American countries that follow the CTD format. Bioavailability and Bioequivalence study data are critical in the generic drug approval process. There are several approaches to assessing BA/BE, and each regulatory authority has put forth its regulations/guidance for conducting BA/BE studies required for the approval of generic products. This study also emphasizes the BA/BE concepts, study conditions, designs, and methodology in conducting these studies in the EU and US.Though both countries have very stringent regulations in conducting these studies, the regulatory approaches for conducting BE studies differ in many parameters (dissolution, biowaiver, inclusion-exclusion criteria of subjec</w:t>
      </w:r>
      <w:r>
        <w:rPr>
          <w:rFonts w:ascii="Times New Roman" w:hAnsi="Times New Roman" w:cs="Times New Roman"/>
          <w:sz w:val="24"/>
          <w:szCs w:val="24"/>
        </w:rPr>
        <w:t>ts, and statistical results)</w:t>
      </w:r>
      <w:r w:rsidRPr="0098799E">
        <w:rPr>
          <w:rFonts w:ascii="Times New Roman" w:hAnsi="Times New Roman" w:cs="Times New Roman"/>
          <w:sz w:val="24"/>
          <w:szCs w:val="24"/>
        </w:rPr>
        <w:t>. As these differences in regulatory requirements can sometimes act as trade barriers, greatly delaying foreign market access. Hence, it is imperative to be aware of the dossier submission requirements for the EU and US, which can prevent the duplication of studies and speed up the generation of data required by a concerned regulatory authority.</w:t>
      </w:r>
    </w:p>
    <w:p w14:paraId="58400F76" w14:textId="77777777" w:rsidR="008706B8" w:rsidRDefault="008706B8" w:rsidP="0098799E">
      <w:pPr>
        <w:spacing w:line="360" w:lineRule="auto"/>
        <w:jc w:val="both"/>
        <w:rPr>
          <w:rFonts w:ascii="Times New Roman" w:hAnsi="Times New Roman" w:cs="Times New Roman"/>
          <w:sz w:val="24"/>
          <w:szCs w:val="24"/>
        </w:rPr>
      </w:pPr>
    </w:p>
    <w:p w14:paraId="2C9DF603" w14:textId="77777777" w:rsidR="008706B8" w:rsidRDefault="008706B8" w:rsidP="0098799E">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en-IN"/>
        </w:rPr>
        <w:lastRenderedPageBreak/>
        <mc:AlternateContent>
          <mc:Choice Requires="wps">
            <w:drawing>
              <wp:anchor distT="0" distB="0" distL="114300" distR="114300" simplePos="0" relativeHeight="251659264" behindDoc="0" locked="0" layoutInCell="1" allowOverlap="1" wp14:anchorId="15CF0541" wp14:editId="42094191">
                <wp:simplePos x="0" y="0"/>
                <wp:positionH relativeFrom="column">
                  <wp:posOffset>1608881</wp:posOffset>
                </wp:positionH>
                <wp:positionV relativeFrom="paragraph">
                  <wp:posOffset>5091639</wp:posOffset>
                </wp:positionV>
                <wp:extent cx="3078866" cy="277792"/>
                <wp:effectExtent l="0" t="0" r="26670" b="27305"/>
                <wp:wrapNone/>
                <wp:docPr id="3" name="Rectangle 3"/>
                <wp:cNvGraphicFramePr/>
                <a:graphic xmlns:a="http://schemas.openxmlformats.org/drawingml/2006/main">
                  <a:graphicData uri="http://schemas.microsoft.com/office/word/2010/wordprocessingShape">
                    <wps:wsp>
                      <wps:cNvSpPr/>
                      <wps:spPr>
                        <a:xfrm>
                          <a:off x="0" y="0"/>
                          <a:ext cx="3078866" cy="277792"/>
                        </a:xfrm>
                        <a:prstGeom prst="rect">
                          <a:avLst/>
                        </a:pr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77678BD0" w14:textId="77777777" w:rsidR="008706B8" w:rsidRPr="008706B8" w:rsidRDefault="008706B8" w:rsidP="008706B8">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Pr="008706B8">
                              <w:rPr>
                                <w:rFonts w:ascii="Times New Roman" w:hAnsi="Times New Roman" w:cs="Times New Roman"/>
                                <w:b/>
                                <w:color w:val="000000" w:themeColor="text1"/>
                                <w:sz w:val="24"/>
                                <w:szCs w:val="24"/>
                              </w:rPr>
                              <w:t>GRAPHICAL ABSTRACT</w:t>
                            </w:r>
                          </w:p>
                          <w:p w14:paraId="5A6BA691" w14:textId="77777777" w:rsidR="008706B8" w:rsidRDefault="008706B8" w:rsidP="008706B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5CF0541" id="Rectangle 3" o:spid="_x0000_s1026" style="position:absolute;left:0;text-align:left;margin-left:126.7pt;margin-top:400.9pt;width:242.45pt;height:21.8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" fillcolor="#cfcdcd [2894]" strokecolor="#1f4d78 [1604]" strokeweight="1pt">
                <v:textbox>
                  <w:txbxContent>
                    <w:p w14:paraId="77678BD0" w14:textId="77777777" w:rsidR="008706B8" w:rsidRPr="008706B8" w:rsidRDefault="008706B8" w:rsidP="008706B8">
                      <w:pPr>
                        <w:spacing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r w:rsidRPr="008706B8">
                        <w:rPr>
                          <w:rFonts w:ascii="Times New Roman" w:hAnsi="Times New Roman" w:cs="Times New Roman"/>
                          <w:b/>
                          <w:color w:val="000000" w:themeColor="text1"/>
                          <w:sz w:val="24"/>
                          <w:szCs w:val="24"/>
                        </w:rPr>
                        <w:t>GRAPHICAL ABSTRACT</w:t>
                      </w:r>
                    </w:p>
                    <w:p w14:paraId="5A6BA691" w14:textId="77777777" w:rsidR="008706B8" w:rsidRDefault="008706B8" w:rsidP="008706B8">
                      <w:pPr>
                        <w:jc w:val="center"/>
                      </w:pPr>
                    </w:p>
                  </w:txbxContent>
                </v:textbox>
              </v:rect>
            </w:pict>
          </mc:Fallback>
        </mc:AlternateContent>
      </w:r>
      <w:r w:rsidRPr="008706B8">
        <w:rPr>
          <w:rFonts w:ascii="Times New Roman" w:hAnsi="Times New Roman" w:cs="Times New Roman"/>
          <w:noProof/>
          <w:sz w:val="24"/>
          <w:szCs w:val="24"/>
          <w:lang w:eastAsia="en-IN"/>
        </w:rPr>
        <w:drawing>
          <wp:inline distT="0" distB="0" distL="0" distR="0" wp14:anchorId="78251EEE" wp14:editId="432086B3">
            <wp:extent cx="6371863" cy="49422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380883" cy="4949201"/>
                    </a:xfrm>
                    <a:prstGeom prst="rect">
                      <a:avLst/>
                    </a:prstGeom>
                  </pic:spPr>
                </pic:pic>
              </a:graphicData>
            </a:graphic>
          </wp:inline>
        </w:drawing>
      </w:r>
    </w:p>
    <w:p w14:paraId="42F3AA41" w14:textId="77777777" w:rsidR="008706B8" w:rsidRDefault="008706B8" w:rsidP="008706B8">
      <w:pPr>
        <w:spacing w:line="360" w:lineRule="auto"/>
        <w:jc w:val="both"/>
        <w:rPr>
          <w:rFonts w:ascii="Times New Roman" w:hAnsi="Times New Roman" w:cs="Times New Roman"/>
          <w:sz w:val="24"/>
          <w:szCs w:val="24"/>
        </w:rPr>
      </w:pPr>
    </w:p>
    <w:p w14:paraId="18D75F4D" w14:textId="77777777" w:rsidR="0098799E" w:rsidRPr="008706B8" w:rsidRDefault="0098799E" w:rsidP="008706B8">
      <w:pPr>
        <w:pStyle w:val="ListParagraph"/>
        <w:numPr>
          <w:ilvl w:val="1"/>
          <w:numId w:val="4"/>
        </w:numPr>
        <w:spacing w:line="360" w:lineRule="auto"/>
        <w:jc w:val="both"/>
        <w:rPr>
          <w:rFonts w:ascii="Times New Roman" w:hAnsi="Times New Roman" w:cs="Times New Roman"/>
          <w:sz w:val="24"/>
          <w:szCs w:val="24"/>
        </w:rPr>
      </w:pPr>
      <w:r w:rsidRPr="008706B8">
        <w:rPr>
          <w:rFonts w:ascii="Times New Roman" w:hAnsi="Times New Roman" w:cs="Times New Roman"/>
          <w:b/>
          <w:sz w:val="24"/>
          <w:szCs w:val="24"/>
        </w:rPr>
        <w:t xml:space="preserve">Intellectual Property Rights: </w:t>
      </w:r>
    </w:p>
    <w:p w14:paraId="196FBEBA" w14:textId="77777777" w:rsidR="0098799E" w:rsidRPr="0098799E" w:rsidRDefault="0098799E" w:rsidP="0098799E">
      <w:pPr>
        <w:pStyle w:val="ListParagraph"/>
        <w:spacing w:line="360" w:lineRule="auto"/>
        <w:ind w:left="390"/>
        <w:jc w:val="both"/>
        <w:rPr>
          <w:rFonts w:ascii="Times New Roman" w:hAnsi="Times New Roman" w:cs="Times New Roman"/>
          <w:sz w:val="24"/>
          <w:szCs w:val="24"/>
        </w:rPr>
      </w:pPr>
      <w:r w:rsidRPr="0098799E">
        <w:rPr>
          <w:rFonts w:ascii="Times New Roman" w:hAnsi="Times New Roman" w:cs="Times New Roman"/>
          <w:sz w:val="24"/>
          <w:szCs w:val="24"/>
        </w:rPr>
        <w:t xml:space="preserve">The term "Intellectual Property Rights (IPR)" refers to the legal rights granted to protect the creation of the intellect. These rights include Industrial Property Rights (e.g. patents, industrial designs, and trademarks), Copyright (rights of the author or creator), and Related Rights (rights of the performers, producers, and broadcasting organizations). </w:t>
      </w:r>
    </w:p>
    <w:p w14:paraId="6EF4B06C" w14:textId="77777777" w:rsidR="0098799E" w:rsidRDefault="0098799E" w:rsidP="0098799E">
      <w:pPr>
        <w:pStyle w:val="ListParagraph"/>
        <w:spacing w:line="360" w:lineRule="auto"/>
        <w:ind w:left="390"/>
        <w:jc w:val="both"/>
        <w:rPr>
          <w:rFonts w:ascii="Times New Roman" w:hAnsi="Times New Roman" w:cs="Times New Roman"/>
          <w:sz w:val="24"/>
          <w:szCs w:val="24"/>
        </w:rPr>
      </w:pPr>
      <w:r w:rsidRPr="0098799E">
        <w:rPr>
          <w:rFonts w:ascii="Times New Roman" w:hAnsi="Times New Roman" w:cs="Times New Roman"/>
          <w:b/>
          <w:sz w:val="24"/>
          <w:szCs w:val="24"/>
        </w:rPr>
        <w:t>Role of IPR in the Pharmaceutical Industry:</w:t>
      </w:r>
      <w:r w:rsidRPr="0098799E">
        <w:rPr>
          <w:rFonts w:ascii="Times New Roman" w:hAnsi="Times New Roman" w:cs="Times New Roman"/>
          <w:sz w:val="24"/>
          <w:szCs w:val="24"/>
        </w:rPr>
        <w:t xml:space="preserve"> </w:t>
      </w:r>
    </w:p>
    <w:p w14:paraId="3C210AAF" w14:textId="77777777" w:rsidR="0098799E" w:rsidRPr="0098799E" w:rsidRDefault="0098799E" w:rsidP="0098799E">
      <w:pPr>
        <w:pStyle w:val="ListParagraph"/>
        <w:spacing w:line="360" w:lineRule="auto"/>
        <w:ind w:left="390"/>
        <w:jc w:val="both"/>
        <w:rPr>
          <w:rFonts w:ascii="Times New Roman" w:hAnsi="Times New Roman" w:cs="Times New Roman"/>
          <w:b/>
          <w:sz w:val="24"/>
          <w:szCs w:val="24"/>
        </w:rPr>
      </w:pPr>
      <w:r w:rsidRPr="0098799E">
        <w:rPr>
          <w:rFonts w:ascii="Times New Roman" w:hAnsi="Times New Roman" w:cs="Times New Roman"/>
          <w:sz w:val="24"/>
          <w:szCs w:val="24"/>
        </w:rPr>
        <w:t xml:space="preserve">The pharmaceutical industry is one of the evergreen industries in the world. No matter what happens, whether the economy is at its most stable behavior or in recession mode. Any day a person can fall sick or might require his supplement pills. The products are used 24/7. </w:t>
      </w:r>
      <w:r w:rsidRPr="0098799E">
        <w:rPr>
          <w:rFonts w:ascii="Times New Roman" w:hAnsi="Times New Roman" w:cs="Times New Roman"/>
          <w:b/>
          <w:sz w:val="24"/>
          <w:szCs w:val="24"/>
        </w:rPr>
        <w:t xml:space="preserve">Below are the types of IPR involved </w:t>
      </w:r>
      <w:r>
        <w:rPr>
          <w:rFonts w:ascii="Times New Roman" w:hAnsi="Times New Roman" w:cs="Times New Roman"/>
          <w:b/>
          <w:sz w:val="24"/>
          <w:szCs w:val="24"/>
        </w:rPr>
        <w:t>in the pharmaceutical industry</w:t>
      </w:r>
    </w:p>
    <w:p w14:paraId="5AA3A155" w14:textId="77777777" w:rsidR="0098799E" w:rsidRDefault="0098799E" w:rsidP="0098799E">
      <w:pPr>
        <w:pStyle w:val="ListParagraph"/>
        <w:spacing w:line="360" w:lineRule="auto"/>
        <w:ind w:left="390"/>
        <w:jc w:val="both"/>
        <w:rPr>
          <w:rFonts w:ascii="Times New Roman" w:hAnsi="Times New Roman" w:cs="Times New Roman"/>
          <w:sz w:val="24"/>
          <w:szCs w:val="24"/>
        </w:rPr>
      </w:pPr>
      <w:r w:rsidRPr="0098799E">
        <w:rPr>
          <w:rFonts w:ascii="Times New Roman" w:hAnsi="Times New Roman" w:cs="Times New Roman"/>
          <w:sz w:val="24"/>
          <w:szCs w:val="24"/>
        </w:rPr>
        <w:t xml:space="preserve">• Patents, Industrial designs, Trademarks, Copyright, Trade Secrets. </w:t>
      </w:r>
    </w:p>
    <w:p w14:paraId="527117D7" w14:textId="77777777" w:rsidR="0098799E" w:rsidRDefault="0098799E" w:rsidP="0098799E">
      <w:pPr>
        <w:pStyle w:val="ListParagraph"/>
        <w:spacing w:line="360" w:lineRule="auto"/>
        <w:ind w:left="390"/>
        <w:jc w:val="both"/>
        <w:rPr>
          <w:rFonts w:ascii="Times New Roman" w:hAnsi="Times New Roman" w:cs="Times New Roman"/>
          <w:sz w:val="24"/>
          <w:szCs w:val="24"/>
        </w:rPr>
      </w:pPr>
      <w:r w:rsidRPr="0098799E">
        <w:rPr>
          <w:rFonts w:ascii="Times New Roman" w:hAnsi="Times New Roman" w:cs="Times New Roman"/>
          <w:sz w:val="24"/>
          <w:szCs w:val="24"/>
        </w:rPr>
        <w:lastRenderedPageBreak/>
        <w:t>• A patent is awarded for an invention, which satisfies the criteria of global novelty, non obviousness, and industrial or commercial application. Patents can be granted for products and processes.</w:t>
      </w:r>
    </w:p>
    <w:p w14:paraId="57AC6467" w14:textId="77777777" w:rsidR="0098799E" w:rsidRPr="0098799E" w:rsidRDefault="0098799E" w:rsidP="0098799E">
      <w:pPr>
        <w:pStyle w:val="ListParagraph"/>
        <w:spacing w:line="360" w:lineRule="auto"/>
        <w:ind w:left="390"/>
        <w:jc w:val="both"/>
        <w:rPr>
          <w:rFonts w:ascii="Times New Roman" w:hAnsi="Times New Roman" w:cs="Times New Roman"/>
          <w:sz w:val="24"/>
          <w:szCs w:val="24"/>
        </w:rPr>
      </w:pPr>
      <w:r w:rsidRPr="0098799E">
        <w:rPr>
          <w:rFonts w:ascii="Times New Roman" w:hAnsi="Times New Roman" w:cs="Times New Roman"/>
          <w:b/>
          <w:sz w:val="24"/>
          <w:szCs w:val="24"/>
        </w:rPr>
        <w:t>Drug Regulatory Affairs[10,11]:</w:t>
      </w:r>
      <w:r w:rsidRPr="0098799E">
        <w:rPr>
          <w:rFonts w:ascii="Times New Roman" w:hAnsi="Times New Roman" w:cs="Times New Roman"/>
          <w:sz w:val="24"/>
          <w:szCs w:val="24"/>
        </w:rPr>
        <w:t xml:space="preserve"> </w:t>
      </w:r>
    </w:p>
    <w:p w14:paraId="0B94A055" w14:textId="77777777" w:rsidR="0098799E" w:rsidRPr="0098799E" w:rsidRDefault="0098799E" w:rsidP="0098799E">
      <w:pPr>
        <w:pStyle w:val="ListParagraph"/>
        <w:spacing w:line="360" w:lineRule="auto"/>
        <w:ind w:left="390"/>
        <w:jc w:val="both"/>
        <w:rPr>
          <w:rFonts w:ascii="Times New Roman" w:hAnsi="Times New Roman" w:cs="Times New Roman"/>
          <w:sz w:val="24"/>
          <w:szCs w:val="24"/>
        </w:rPr>
      </w:pPr>
      <w:r w:rsidRPr="0098799E">
        <w:rPr>
          <w:rFonts w:ascii="Times New Roman" w:hAnsi="Times New Roman" w:cs="Times New Roman"/>
          <w:sz w:val="24"/>
          <w:szCs w:val="24"/>
        </w:rPr>
        <w:t xml:space="preserve">Regulatory Affairs in the Pharmaceutical industry is a profession that acts as the interface between the pharmaceutical industry and Drug Regulatory authorities across the world. It is mainly involved in the registration of the drug products in respective countries before their marketing. </w:t>
      </w:r>
    </w:p>
    <w:p w14:paraId="5FD79958" w14:textId="77777777" w:rsidR="0098799E" w:rsidRPr="0098799E" w:rsidRDefault="0098799E" w:rsidP="0098799E">
      <w:pPr>
        <w:pStyle w:val="ListParagraph"/>
        <w:spacing w:line="360" w:lineRule="auto"/>
        <w:ind w:left="390"/>
        <w:jc w:val="both"/>
        <w:rPr>
          <w:rFonts w:ascii="Times New Roman" w:hAnsi="Times New Roman" w:cs="Times New Roman"/>
          <w:b/>
          <w:sz w:val="24"/>
          <w:szCs w:val="24"/>
        </w:rPr>
      </w:pPr>
      <w:r w:rsidRPr="0098799E">
        <w:rPr>
          <w:rFonts w:ascii="Times New Roman" w:hAnsi="Times New Roman" w:cs="Times New Roman"/>
          <w:b/>
          <w:sz w:val="24"/>
          <w:szCs w:val="24"/>
        </w:rPr>
        <w:t xml:space="preserve">Responsibilities: </w:t>
      </w:r>
    </w:p>
    <w:p w14:paraId="6D22B535" w14:textId="77777777" w:rsidR="0098799E" w:rsidRPr="0098799E" w:rsidRDefault="0098799E" w:rsidP="0098799E">
      <w:pPr>
        <w:pStyle w:val="ListParagraph"/>
        <w:spacing w:line="360" w:lineRule="auto"/>
        <w:ind w:left="390"/>
        <w:jc w:val="both"/>
        <w:rPr>
          <w:rFonts w:ascii="Times New Roman" w:hAnsi="Times New Roman" w:cs="Times New Roman"/>
          <w:sz w:val="24"/>
          <w:szCs w:val="24"/>
        </w:rPr>
      </w:pPr>
      <w:r w:rsidRPr="0098799E">
        <w:rPr>
          <w:rFonts w:ascii="Times New Roman" w:hAnsi="Times New Roman" w:cs="Times New Roman"/>
          <w:sz w:val="24"/>
          <w:szCs w:val="24"/>
        </w:rPr>
        <w:t xml:space="preserve">• A new drug/generic drug manufactured by a pharmaceutical company just cannot be released into the market for human use. </w:t>
      </w:r>
    </w:p>
    <w:p w14:paraId="678EB633" w14:textId="77777777" w:rsidR="0098799E" w:rsidRDefault="0098799E" w:rsidP="0098799E">
      <w:pPr>
        <w:pStyle w:val="ListParagraph"/>
        <w:spacing w:line="360" w:lineRule="auto"/>
        <w:ind w:left="390"/>
        <w:jc w:val="both"/>
        <w:rPr>
          <w:rFonts w:ascii="Times New Roman" w:hAnsi="Times New Roman" w:cs="Times New Roman"/>
          <w:sz w:val="24"/>
          <w:szCs w:val="24"/>
        </w:rPr>
      </w:pPr>
      <w:r w:rsidRPr="0098799E">
        <w:rPr>
          <w:rFonts w:ascii="Times New Roman" w:hAnsi="Times New Roman" w:cs="Times New Roman"/>
          <w:sz w:val="24"/>
          <w:szCs w:val="24"/>
        </w:rPr>
        <w:t>• Here the Regulatory Affairs Department comes into play.</w:t>
      </w:r>
    </w:p>
    <w:p w14:paraId="68F0BDC8" w14:textId="77777777" w:rsidR="0098799E" w:rsidRPr="0098799E" w:rsidRDefault="0098799E" w:rsidP="0098799E">
      <w:pPr>
        <w:pStyle w:val="ListParagraph"/>
        <w:spacing w:line="360" w:lineRule="auto"/>
        <w:ind w:left="390"/>
        <w:jc w:val="both"/>
        <w:rPr>
          <w:rFonts w:ascii="Times New Roman" w:hAnsi="Times New Roman" w:cs="Times New Roman"/>
          <w:sz w:val="24"/>
          <w:szCs w:val="24"/>
        </w:rPr>
      </w:pPr>
      <w:r w:rsidRPr="0098799E">
        <w:rPr>
          <w:rFonts w:ascii="Times New Roman" w:hAnsi="Times New Roman" w:cs="Times New Roman"/>
          <w:b/>
          <w:sz w:val="24"/>
          <w:szCs w:val="24"/>
        </w:rPr>
        <w:t>Generic Drug Product</w:t>
      </w:r>
      <w:r w:rsidRPr="0098799E">
        <w:rPr>
          <w:rFonts w:ascii="Times New Roman" w:hAnsi="Times New Roman" w:cs="Times New Roman"/>
          <w:sz w:val="24"/>
          <w:szCs w:val="24"/>
        </w:rPr>
        <w:t xml:space="preserve">: </w:t>
      </w:r>
    </w:p>
    <w:p w14:paraId="76AD9A23" w14:textId="77777777" w:rsidR="0098799E" w:rsidRPr="0098799E" w:rsidRDefault="0098799E" w:rsidP="0098799E">
      <w:pPr>
        <w:pStyle w:val="ListParagraph"/>
        <w:spacing w:line="360" w:lineRule="auto"/>
        <w:ind w:left="390"/>
        <w:jc w:val="both"/>
        <w:rPr>
          <w:rFonts w:ascii="Times New Roman" w:hAnsi="Times New Roman" w:cs="Times New Roman"/>
          <w:sz w:val="24"/>
          <w:szCs w:val="24"/>
        </w:rPr>
      </w:pPr>
      <w:r w:rsidRPr="0098799E">
        <w:rPr>
          <w:rFonts w:ascii="Times New Roman" w:hAnsi="Times New Roman" w:cs="Times New Roman"/>
          <w:sz w:val="24"/>
          <w:szCs w:val="24"/>
        </w:rPr>
        <w:t>A generic drug is identical or bioequivalent to a brand name drug in dosage form, safety, strength, route of administration, quality, performance characteristics, and intended use. Although generic drugs are chemically identical to their branded counterparts, they are typically sold at substantial discounts from the branded price. According to the Congressional Budget Office, generic drugs save consumers an estimated $8 to $10 billion a year at retail pharmacies. Even more, billions are saved</w:t>
      </w:r>
      <w:r>
        <w:rPr>
          <w:rFonts w:ascii="Times New Roman" w:hAnsi="Times New Roman" w:cs="Times New Roman"/>
          <w:sz w:val="24"/>
          <w:szCs w:val="24"/>
        </w:rPr>
        <w:t xml:space="preserve"> when hospitals use generics</w:t>
      </w:r>
      <w:r w:rsidRPr="0098799E">
        <w:rPr>
          <w:rFonts w:ascii="Times New Roman" w:hAnsi="Times New Roman" w:cs="Times New Roman"/>
          <w:sz w:val="24"/>
          <w:szCs w:val="24"/>
        </w:rPr>
        <w:t xml:space="preserve">. Drug companies must submit an abbreviated new drug application (ANDA) for approval to market a generic product. </w:t>
      </w:r>
    </w:p>
    <w:p w14:paraId="7CFF33E9" w14:textId="77777777" w:rsidR="005D0BFF" w:rsidRPr="00AB53D5" w:rsidRDefault="0098799E" w:rsidP="00AB53D5">
      <w:pPr>
        <w:pStyle w:val="ListParagraph"/>
        <w:spacing w:line="360" w:lineRule="auto"/>
        <w:ind w:left="390"/>
        <w:jc w:val="both"/>
        <w:rPr>
          <w:rFonts w:ascii="Times New Roman" w:hAnsi="Times New Roman" w:cs="Times New Roman"/>
          <w:sz w:val="24"/>
          <w:szCs w:val="24"/>
        </w:rPr>
      </w:pPr>
      <w:r w:rsidRPr="0098799E">
        <w:rPr>
          <w:rFonts w:ascii="Times New Roman" w:hAnsi="Times New Roman" w:cs="Times New Roman"/>
          <w:sz w:val="24"/>
          <w:szCs w:val="24"/>
        </w:rPr>
        <w:t>The Drug Price Competition and Patent Term Restoration Act of 1984, more commonly known as the Hatch-Waxman Act, made ANDAs possible by creating a compromise in the drug industry. Generic drug companies gained greater access to the market for prescription drugs, and innovator companies gained restoration of patent life of their products lost during FDA's approval process.</w:t>
      </w:r>
    </w:p>
    <w:p w14:paraId="657773F1" w14:textId="77777777" w:rsidR="005D0BFF" w:rsidRPr="005D0BFF" w:rsidRDefault="005D0BFF" w:rsidP="0098799E">
      <w:pPr>
        <w:pStyle w:val="ListParagraph"/>
        <w:spacing w:line="360" w:lineRule="auto"/>
        <w:ind w:left="390"/>
        <w:jc w:val="both"/>
        <w:rPr>
          <w:rFonts w:ascii="Times New Roman" w:hAnsi="Times New Roman" w:cs="Times New Roman"/>
          <w:b/>
          <w:sz w:val="24"/>
          <w:szCs w:val="24"/>
        </w:rPr>
      </w:pPr>
      <w:r w:rsidRPr="005D0BFF">
        <w:rPr>
          <w:rFonts w:ascii="Times New Roman" w:hAnsi="Times New Roman" w:cs="Times New Roman"/>
          <w:b/>
          <w:sz w:val="24"/>
          <w:szCs w:val="24"/>
        </w:rPr>
        <w:t>Table 1: Comparison of EU and US Market Environment for Generic Medicines</w:t>
      </w:r>
    </w:p>
    <w:p w14:paraId="32A7DFF5" w14:textId="77777777" w:rsidR="00210BC3" w:rsidRPr="005D0BFF" w:rsidRDefault="00210BC3" w:rsidP="0098799E">
      <w:pPr>
        <w:pStyle w:val="ListParagraph"/>
        <w:spacing w:line="360" w:lineRule="auto"/>
        <w:ind w:left="390"/>
        <w:jc w:val="both"/>
        <w:rPr>
          <w:rFonts w:ascii="Times New Roman" w:hAnsi="Times New Roman" w:cs="Times New Roman"/>
          <w:b/>
          <w:sz w:val="24"/>
          <w:szCs w:val="24"/>
        </w:rPr>
      </w:pPr>
    </w:p>
    <w:tbl>
      <w:tblPr>
        <w:tblStyle w:val="TableGrid"/>
        <w:tblW w:w="0" w:type="auto"/>
        <w:tblInd w:w="390" w:type="dxa"/>
        <w:tblLook w:val="04A0" w:firstRow="1" w:lastRow="0" w:firstColumn="1" w:lastColumn="0" w:noHBand="0" w:noVBand="1"/>
      </w:tblPr>
      <w:tblGrid>
        <w:gridCol w:w="2903"/>
        <w:gridCol w:w="2900"/>
        <w:gridCol w:w="2823"/>
      </w:tblGrid>
      <w:tr w:rsidR="005D0BFF" w:rsidRPr="005D0BFF" w14:paraId="70DCBF97" w14:textId="77777777" w:rsidTr="005D0BFF">
        <w:tc>
          <w:tcPr>
            <w:tcW w:w="3005" w:type="dxa"/>
          </w:tcPr>
          <w:p w14:paraId="6D479A0F" w14:textId="77777777" w:rsidR="005D0BFF" w:rsidRPr="00090235" w:rsidRDefault="005D0BFF" w:rsidP="0098799E">
            <w:pPr>
              <w:pStyle w:val="ListParagraph"/>
              <w:spacing w:line="360" w:lineRule="auto"/>
              <w:ind w:left="0"/>
              <w:jc w:val="both"/>
              <w:rPr>
                <w:rFonts w:ascii="Times New Roman" w:hAnsi="Times New Roman" w:cs="Times New Roman"/>
                <w:b/>
                <w:sz w:val="24"/>
                <w:szCs w:val="24"/>
              </w:rPr>
            </w:pPr>
            <w:r w:rsidRPr="00090235">
              <w:rPr>
                <w:rFonts w:ascii="Times New Roman" w:hAnsi="Times New Roman" w:cs="Times New Roman"/>
                <w:b/>
                <w:sz w:val="24"/>
                <w:szCs w:val="24"/>
              </w:rPr>
              <w:t>Market Environment for Generic Medicines</w:t>
            </w:r>
          </w:p>
        </w:tc>
        <w:tc>
          <w:tcPr>
            <w:tcW w:w="3005" w:type="dxa"/>
          </w:tcPr>
          <w:p w14:paraId="6EEE2C67" w14:textId="77777777" w:rsidR="005D0BFF" w:rsidRPr="00090235" w:rsidRDefault="005D0BFF" w:rsidP="0098799E">
            <w:pPr>
              <w:pStyle w:val="ListParagraph"/>
              <w:spacing w:line="360" w:lineRule="auto"/>
              <w:ind w:left="0"/>
              <w:jc w:val="both"/>
              <w:rPr>
                <w:rFonts w:ascii="Times New Roman" w:hAnsi="Times New Roman" w:cs="Times New Roman"/>
                <w:b/>
                <w:sz w:val="24"/>
                <w:szCs w:val="24"/>
              </w:rPr>
            </w:pPr>
            <w:r w:rsidRPr="00090235">
              <w:rPr>
                <w:rFonts w:ascii="Times New Roman" w:hAnsi="Times New Roman" w:cs="Times New Roman"/>
                <w:b/>
                <w:sz w:val="24"/>
                <w:szCs w:val="24"/>
              </w:rPr>
              <w:t xml:space="preserve">EU </w:t>
            </w:r>
          </w:p>
        </w:tc>
        <w:tc>
          <w:tcPr>
            <w:tcW w:w="3006" w:type="dxa"/>
          </w:tcPr>
          <w:p w14:paraId="422A6E78" w14:textId="77777777" w:rsidR="005D0BFF" w:rsidRPr="00090235" w:rsidRDefault="005D0BFF" w:rsidP="0098799E">
            <w:pPr>
              <w:pStyle w:val="ListParagraph"/>
              <w:spacing w:line="360" w:lineRule="auto"/>
              <w:ind w:left="0"/>
              <w:jc w:val="both"/>
              <w:rPr>
                <w:rFonts w:ascii="Times New Roman" w:hAnsi="Times New Roman" w:cs="Times New Roman"/>
                <w:b/>
                <w:sz w:val="24"/>
                <w:szCs w:val="24"/>
              </w:rPr>
            </w:pPr>
            <w:r w:rsidRPr="00090235">
              <w:rPr>
                <w:rFonts w:ascii="Times New Roman" w:hAnsi="Times New Roman" w:cs="Times New Roman"/>
                <w:b/>
                <w:sz w:val="24"/>
                <w:szCs w:val="24"/>
              </w:rPr>
              <w:t xml:space="preserve">  US</w:t>
            </w:r>
          </w:p>
        </w:tc>
      </w:tr>
      <w:tr w:rsidR="005D0BFF" w:rsidRPr="005D0BFF" w14:paraId="108B2105" w14:textId="77777777" w:rsidTr="005D0BFF">
        <w:tc>
          <w:tcPr>
            <w:tcW w:w="3005" w:type="dxa"/>
          </w:tcPr>
          <w:p w14:paraId="5FAF076E" w14:textId="77777777" w:rsidR="005D0BFF" w:rsidRPr="005D0BFF" w:rsidRDefault="005D0BFF" w:rsidP="005D0BFF">
            <w:pPr>
              <w:pStyle w:val="ListParagraph"/>
              <w:spacing w:line="360" w:lineRule="auto"/>
              <w:ind w:left="0"/>
              <w:jc w:val="both"/>
              <w:rPr>
                <w:rFonts w:ascii="Times New Roman" w:hAnsi="Times New Roman" w:cs="Times New Roman"/>
                <w:sz w:val="24"/>
                <w:szCs w:val="24"/>
              </w:rPr>
            </w:pPr>
            <w:r w:rsidRPr="005D0BFF">
              <w:rPr>
                <w:rFonts w:ascii="Times New Roman" w:hAnsi="Times New Roman" w:cs="Times New Roman"/>
                <w:sz w:val="24"/>
                <w:szCs w:val="24"/>
              </w:rPr>
              <w:t>Generic medicines as % of total Pharmaceutical Market Volume</w:t>
            </w:r>
          </w:p>
        </w:tc>
        <w:tc>
          <w:tcPr>
            <w:tcW w:w="3005" w:type="dxa"/>
          </w:tcPr>
          <w:p w14:paraId="58BCDF4D" w14:textId="77777777" w:rsidR="005D0BFF" w:rsidRPr="005D0BFF" w:rsidRDefault="005D0BFF" w:rsidP="0098799E">
            <w:pPr>
              <w:pStyle w:val="ListParagraph"/>
              <w:spacing w:line="360" w:lineRule="auto"/>
              <w:ind w:left="0"/>
              <w:jc w:val="both"/>
              <w:rPr>
                <w:rFonts w:ascii="Times New Roman" w:hAnsi="Times New Roman" w:cs="Times New Roman"/>
                <w:sz w:val="24"/>
                <w:szCs w:val="24"/>
              </w:rPr>
            </w:pPr>
            <w:r w:rsidRPr="005D0BFF">
              <w:rPr>
                <w:rFonts w:ascii="Times New Roman" w:hAnsi="Times New Roman" w:cs="Times New Roman"/>
                <w:sz w:val="24"/>
                <w:szCs w:val="24"/>
              </w:rPr>
              <w:t>42%</w:t>
            </w:r>
          </w:p>
        </w:tc>
        <w:tc>
          <w:tcPr>
            <w:tcW w:w="3006" w:type="dxa"/>
          </w:tcPr>
          <w:p w14:paraId="60CF6CBB" w14:textId="77777777" w:rsidR="005D0BFF" w:rsidRPr="005D0BFF" w:rsidRDefault="005D0BFF" w:rsidP="0098799E">
            <w:pPr>
              <w:pStyle w:val="ListParagraph"/>
              <w:spacing w:line="360" w:lineRule="auto"/>
              <w:ind w:left="0"/>
              <w:jc w:val="both"/>
              <w:rPr>
                <w:rFonts w:ascii="Times New Roman" w:hAnsi="Times New Roman" w:cs="Times New Roman"/>
                <w:sz w:val="24"/>
                <w:szCs w:val="24"/>
              </w:rPr>
            </w:pPr>
            <w:r w:rsidRPr="005D0BFF">
              <w:rPr>
                <w:rFonts w:ascii="Times New Roman" w:hAnsi="Times New Roman" w:cs="Times New Roman"/>
                <w:sz w:val="24"/>
                <w:szCs w:val="24"/>
              </w:rPr>
              <w:t>63%</w:t>
            </w:r>
          </w:p>
        </w:tc>
      </w:tr>
      <w:tr w:rsidR="005D0BFF" w:rsidRPr="005D0BFF" w14:paraId="55CD892D" w14:textId="77777777" w:rsidTr="005D0BFF">
        <w:tc>
          <w:tcPr>
            <w:tcW w:w="3005" w:type="dxa"/>
          </w:tcPr>
          <w:p w14:paraId="447E838C" w14:textId="77777777" w:rsidR="005D0BFF" w:rsidRPr="005D0BFF" w:rsidRDefault="005D0BFF" w:rsidP="0098799E">
            <w:pPr>
              <w:pStyle w:val="ListParagraph"/>
              <w:spacing w:line="360" w:lineRule="auto"/>
              <w:ind w:left="0"/>
              <w:jc w:val="both"/>
              <w:rPr>
                <w:rFonts w:ascii="Times New Roman" w:hAnsi="Times New Roman" w:cs="Times New Roman"/>
                <w:sz w:val="24"/>
                <w:szCs w:val="24"/>
              </w:rPr>
            </w:pPr>
            <w:r w:rsidRPr="005D0BFF">
              <w:rPr>
                <w:rFonts w:ascii="Times New Roman" w:hAnsi="Times New Roman" w:cs="Times New Roman"/>
                <w:sz w:val="24"/>
                <w:szCs w:val="24"/>
              </w:rPr>
              <w:lastRenderedPageBreak/>
              <w:t>Basic product patent</w:t>
            </w:r>
          </w:p>
        </w:tc>
        <w:tc>
          <w:tcPr>
            <w:tcW w:w="3005" w:type="dxa"/>
          </w:tcPr>
          <w:p w14:paraId="44897DAE" w14:textId="77777777" w:rsidR="005D0BFF" w:rsidRPr="005D0BFF" w:rsidRDefault="005D0BFF" w:rsidP="0098799E">
            <w:pPr>
              <w:pStyle w:val="ListParagraph"/>
              <w:spacing w:line="360" w:lineRule="auto"/>
              <w:ind w:left="0"/>
              <w:jc w:val="both"/>
              <w:rPr>
                <w:rFonts w:ascii="Times New Roman" w:hAnsi="Times New Roman" w:cs="Times New Roman"/>
                <w:sz w:val="24"/>
                <w:szCs w:val="24"/>
              </w:rPr>
            </w:pPr>
            <w:r w:rsidRPr="005D0BFF">
              <w:rPr>
                <w:rFonts w:ascii="Times New Roman" w:hAnsi="Times New Roman" w:cs="Times New Roman"/>
                <w:sz w:val="24"/>
                <w:szCs w:val="24"/>
              </w:rPr>
              <w:t>Yes (20 yrs.)</w:t>
            </w:r>
          </w:p>
        </w:tc>
        <w:tc>
          <w:tcPr>
            <w:tcW w:w="3006" w:type="dxa"/>
          </w:tcPr>
          <w:p w14:paraId="69A764A9" w14:textId="77777777" w:rsidR="005D0BFF" w:rsidRPr="005D0BFF" w:rsidRDefault="005D0BFF" w:rsidP="0098799E">
            <w:pPr>
              <w:pStyle w:val="ListParagraph"/>
              <w:spacing w:line="360" w:lineRule="auto"/>
              <w:ind w:left="0"/>
              <w:jc w:val="both"/>
              <w:rPr>
                <w:rFonts w:ascii="Times New Roman" w:hAnsi="Times New Roman" w:cs="Times New Roman"/>
                <w:sz w:val="24"/>
                <w:szCs w:val="24"/>
              </w:rPr>
            </w:pPr>
            <w:r w:rsidRPr="005D0BFF">
              <w:rPr>
                <w:rFonts w:ascii="Times New Roman" w:hAnsi="Times New Roman" w:cs="Times New Roman"/>
                <w:sz w:val="24"/>
                <w:szCs w:val="24"/>
              </w:rPr>
              <w:t>Yes (20 yrs.)</w:t>
            </w:r>
          </w:p>
        </w:tc>
      </w:tr>
      <w:tr w:rsidR="005D0BFF" w:rsidRPr="005D0BFF" w14:paraId="003321CD" w14:textId="77777777" w:rsidTr="005D0BFF">
        <w:tc>
          <w:tcPr>
            <w:tcW w:w="3005" w:type="dxa"/>
          </w:tcPr>
          <w:p w14:paraId="49145EC3" w14:textId="77777777" w:rsidR="005D0BFF" w:rsidRPr="005D0BFF" w:rsidRDefault="005D0BFF" w:rsidP="0098799E">
            <w:pPr>
              <w:pStyle w:val="ListParagraph"/>
              <w:spacing w:line="360" w:lineRule="auto"/>
              <w:ind w:left="0"/>
              <w:jc w:val="both"/>
              <w:rPr>
                <w:rFonts w:ascii="Times New Roman" w:hAnsi="Times New Roman" w:cs="Times New Roman"/>
                <w:sz w:val="24"/>
                <w:szCs w:val="24"/>
              </w:rPr>
            </w:pPr>
            <w:r w:rsidRPr="005D0BFF">
              <w:rPr>
                <w:rFonts w:ascii="Times New Roman" w:hAnsi="Times New Roman" w:cs="Times New Roman"/>
                <w:sz w:val="24"/>
                <w:szCs w:val="24"/>
              </w:rPr>
              <w:t>Data exclusivity</w:t>
            </w:r>
          </w:p>
        </w:tc>
        <w:tc>
          <w:tcPr>
            <w:tcW w:w="3005" w:type="dxa"/>
          </w:tcPr>
          <w:p w14:paraId="2D842965" w14:textId="77777777" w:rsidR="005D0BFF" w:rsidRPr="005D0BFF" w:rsidRDefault="005D0BFF" w:rsidP="0098799E">
            <w:pPr>
              <w:pStyle w:val="ListParagraph"/>
              <w:spacing w:line="360" w:lineRule="auto"/>
              <w:ind w:left="0"/>
              <w:jc w:val="both"/>
              <w:rPr>
                <w:rFonts w:ascii="Times New Roman" w:hAnsi="Times New Roman" w:cs="Times New Roman"/>
                <w:sz w:val="24"/>
                <w:szCs w:val="24"/>
              </w:rPr>
            </w:pPr>
            <w:r w:rsidRPr="005D0BFF">
              <w:rPr>
                <w:rFonts w:ascii="Times New Roman" w:hAnsi="Times New Roman" w:cs="Times New Roman"/>
                <w:sz w:val="24"/>
                <w:szCs w:val="24"/>
              </w:rPr>
              <w:t>8+2+ (1) yrs.</w:t>
            </w:r>
          </w:p>
        </w:tc>
        <w:tc>
          <w:tcPr>
            <w:tcW w:w="3006" w:type="dxa"/>
          </w:tcPr>
          <w:p w14:paraId="4234D744" w14:textId="77777777" w:rsidR="005D0BFF" w:rsidRPr="005D0BFF" w:rsidRDefault="005D0BFF" w:rsidP="0098799E">
            <w:pPr>
              <w:pStyle w:val="ListParagraph"/>
              <w:spacing w:line="360" w:lineRule="auto"/>
              <w:ind w:left="0"/>
              <w:jc w:val="both"/>
              <w:rPr>
                <w:rFonts w:ascii="Times New Roman" w:hAnsi="Times New Roman" w:cs="Times New Roman"/>
                <w:sz w:val="24"/>
                <w:szCs w:val="24"/>
              </w:rPr>
            </w:pPr>
            <w:r w:rsidRPr="005D0BFF">
              <w:rPr>
                <w:rFonts w:ascii="Times New Roman" w:hAnsi="Times New Roman" w:cs="Times New Roman"/>
                <w:sz w:val="24"/>
                <w:szCs w:val="24"/>
              </w:rPr>
              <w:t>5 yrs.</w:t>
            </w:r>
          </w:p>
        </w:tc>
      </w:tr>
      <w:tr w:rsidR="005D0BFF" w:rsidRPr="005D0BFF" w14:paraId="13CEB90D" w14:textId="77777777" w:rsidTr="005D0BFF">
        <w:tc>
          <w:tcPr>
            <w:tcW w:w="3005" w:type="dxa"/>
          </w:tcPr>
          <w:p w14:paraId="44A45DA2" w14:textId="77777777" w:rsidR="005D0BFF" w:rsidRPr="005D0BFF" w:rsidRDefault="005D0BFF" w:rsidP="0098799E">
            <w:pPr>
              <w:pStyle w:val="ListParagraph"/>
              <w:spacing w:line="360" w:lineRule="auto"/>
              <w:ind w:left="0"/>
              <w:jc w:val="both"/>
              <w:rPr>
                <w:rFonts w:ascii="Times New Roman" w:hAnsi="Times New Roman" w:cs="Times New Roman"/>
                <w:sz w:val="24"/>
                <w:szCs w:val="24"/>
              </w:rPr>
            </w:pPr>
            <w:r w:rsidRPr="005D0BFF">
              <w:rPr>
                <w:rFonts w:ascii="Times New Roman" w:hAnsi="Times New Roman" w:cs="Times New Roman"/>
                <w:sz w:val="24"/>
                <w:szCs w:val="24"/>
              </w:rPr>
              <w:t>Patent extensions Supplementary protection certificates, etc.</w:t>
            </w:r>
          </w:p>
        </w:tc>
        <w:tc>
          <w:tcPr>
            <w:tcW w:w="3005" w:type="dxa"/>
          </w:tcPr>
          <w:p w14:paraId="70A8F77A" w14:textId="77777777" w:rsidR="005D0BFF" w:rsidRPr="005D0BFF" w:rsidRDefault="005D0BFF" w:rsidP="0098799E">
            <w:pPr>
              <w:pStyle w:val="ListParagraph"/>
              <w:spacing w:line="360" w:lineRule="auto"/>
              <w:ind w:left="0"/>
              <w:jc w:val="both"/>
              <w:rPr>
                <w:rFonts w:ascii="Times New Roman" w:hAnsi="Times New Roman" w:cs="Times New Roman"/>
                <w:sz w:val="24"/>
                <w:szCs w:val="24"/>
              </w:rPr>
            </w:pPr>
            <w:r w:rsidRPr="005D0BFF">
              <w:rPr>
                <w:rFonts w:ascii="Times New Roman" w:hAnsi="Times New Roman" w:cs="Times New Roman"/>
                <w:sz w:val="24"/>
                <w:szCs w:val="24"/>
              </w:rPr>
              <w:t>Yes (15 yrs.)</w:t>
            </w:r>
          </w:p>
        </w:tc>
        <w:tc>
          <w:tcPr>
            <w:tcW w:w="3006" w:type="dxa"/>
          </w:tcPr>
          <w:p w14:paraId="1D2AF391" w14:textId="77777777" w:rsidR="005D0BFF" w:rsidRPr="005D0BFF" w:rsidRDefault="005D0BFF" w:rsidP="0098799E">
            <w:pPr>
              <w:pStyle w:val="ListParagraph"/>
              <w:spacing w:line="360" w:lineRule="auto"/>
              <w:ind w:left="0"/>
              <w:jc w:val="both"/>
              <w:rPr>
                <w:rFonts w:ascii="Times New Roman" w:hAnsi="Times New Roman" w:cs="Times New Roman"/>
                <w:sz w:val="24"/>
                <w:szCs w:val="24"/>
              </w:rPr>
            </w:pPr>
            <w:r w:rsidRPr="005D0BFF">
              <w:rPr>
                <w:rFonts w:ascii="Times New Roman" w:hAnsi="Times New Roman" w:cs="Times New Roman"/>
                <w:sz w:val="24"/>
                <w:szCs w:val="24"/>
              </w:rPr>
              <w:t>Yes (14 yrs.)</w:t>
            </w:r>
          </w:p>
        </w:tc>
      </w:tr>
      <w:tr w:rsidR="005D0BFF" w:rsidRPr="005D0BFF" w14:paraId="30078399" w14:textId="77777777" w:rsidTr="005D0BFF">
        <w:tc>
          <w:tcPr>
            <w:tcW w:w="3005" w:type="dxa"/>
          </w:tcPr>
          <w:p w14:paraId="7C9DE41D" w14:textId="77777777" w:rsidR="005D0BFF" w:rsidRPr="005D0BFF" w:rsidRDefault="005D0BFF" w:rsidP="0098799E">
            <w:pPr>
              <w:pStyle w:val="ListParagraph"/>
              <w:spacing w:line="360" w:lineRule="auto"/>
              <w:ind w:left="0"/>
              <w:jc w:val="both"/>
              <w:rPr>
                <w:rFonts w:ascii="Times New Roman" w:hAnsi="Times New Roman" w:cs="Times New Roman"/>
                <w:sz w:val="24"/>
                <w:szCs w:val="24"/>
              </w:rPr>
            </w:pPr>
            <w:r w:rsidRPr="005D0BFF">
              <w:rPr>
                <w:rFonts w:ascii="Times New Roman" w:hAnsi="Times New Roman" w:cs="Times New Roman"/>
                <w:sz w:val="24"/>
                <w:szCs w:val="24"/>
              </w:rPr>
              <w:t>Bolar provision (Right to perform generic R&amp;D before patent expiration)</w:t>
            </w:r>
          </w:p>
        </w:tc>
        <w:tc>
          <w:tcPr>
            <w:tcW w:w="3005" w:type="dxa"/>
          </w:tcPr>
          <w:p w14:paraId="504515CF" w14:textId="77777777" w:rsidR="005D0BFF" w:rsidRPr="005D0BFF" w:rsidRDefault="005D0BFF" w:rsidP="0098799E">
            <w:pPr>
              <w:pStyle w:val="ListParagraph"/>
              <w:spacing w:line="360" w:lineRule="auto"/>
              <w:ind w:left="0"/>
              <w:jc w:val="both"/>
              <w:rPr>
                <w:rFonts w:ascii="Times New Roman" w:hAnsi="Times New Roman" w:cs="Times New Roman"/>
                <w:sz w:val="24"/>
                <w:szCs w:val="24"/>
              </w:rPr>
            </w:pPr>
            <w:r w:rsidRPr="005D0BFF">
              <w:rPr>
                <w:rFonts w:ascii="Times New Roman" w:hAnsi="Times New Roman" w:cs="Times New Roman"/>
                <w:sz w:val="24"/>
                <w:szCs w:val="24"/>
              </w:rPr>
              <w:t>Yes (but not correctly implemented in all member states)</w:t>
            </w:r>
          </w:p>
        </w:tc>
        <w:tc>
          <w:tcPr>
            <w:tcW w:w="3006" w:type="dxa"/>
          </w:tcPr>
          <w:p w14:paraId="056287FC" w14:textId="77777777" w:rsidR="005D0BFF" w:rsidRPr="005D0BFF" w:rsidRDefault="005D0BFF" w:rsidP="0098799E">
            <w:pPr>
              <w:pStyle w:val="ListParagraph"/>
              <w:spacing w:line="360" w:lineRule="auto"/>
              <w:ind w:left="0"/>
              <w:jc w:val="both"/>
              <w:rPr>
                <w:rFonts w:ascii="Times New Roman" w:hAnsi="Times New Roman" w:cs="Times New Roman"/>
                <w:sz w:val="24"/>
                <w:szCs w:val="24"/>
              </w:rPr>
            </w:pPr>
            <w:r w:rsidRPr="005D0BFF">
              <w:rPr>
                <w:rFonts w:ascii="Times New Roman" w:hAnsi="Times New Roman" w:cs="Times New Roman"/>
                <w:sz w:val="24"/>
                <w:szCs w:val="24"/>
              </w:rPr>
              <w:t>Yes</w:t>
            </w:r>
          </w:p>
        </w:tc>
      </w:tr>
      <w:tr w:rsidR="005D0BFF" w:rsidRPr="005D0BFF" w14:paraId="3AB78A59" w14:textId="77777777" w:rsidTr="005D0BFF">
        <w:tc>
          <w:tcPr>
            <w:tcW w:w="3005" w:type="dxa"/>
          </w:tcPr>
          <w:p w14:paraId="2B504F23" w14:textId="77777777" w:rsidR="005D0BFF" w:rsidRPr="005D0BFF" w:rsidRDefault="005D0BFF" w:rsidP="0098799E">
            <w:pPr>
              <w:pStyle w:val="ListParagraph"/>
              <w:spacing w:line="360" w:lineRule="auto"/>
              <w:ind w:left="0"/>
              <w:jc w:val="both"/>
              <w:rPr>
                <w:rFonts w:ascii="Times New Roman" w:hAnsi="Times New Roman" w:cs="Times New Roman"/>
                <w:sz w:val="24"/>
                <w:szCs w:val="24"/>
              </w:rPr>
            </w:pPr>
            <w:r w:rsidRPr="005D0BFF">
              <w:rPr>
                <w:rFonts w:ascii="Times New Roman" w:hAnsi="Times New Roman" w:cs="Times New Roman"/>
                <w:sz w:val="24"/>
                <w:szCs w:val="24"/>
              </w:rPr>
              <w:t>Immediate generic competition upon patent expiration</w:t>
            </w:r>
          </w:p>
        </w:tc>
        <w:tc>
          <w:tcPr>
            <w:tcW w:w="3005" w:type="dxa"/>
          </w:tcPr>
          <w:p w14:paraId="42F8C14A" w14:textId="77777777" w:rsidR="005D0BFF" w:rsidRPr="005D0BFF" w:rsidRDefault="005D0BFF" w:rsidP="0098799E">
            <w:pPr>
              <w:pStyle w:val="ListParagraph"/>
              <w:spacing w:line="360" w:lineRule="auto"/>
              <w:ind w:left="0"/>
              <w:jc w:val="both"/>
              <w:rPr>
                <w:rFonts w:ascii="Times New Roman" w:hAnsi="Times New Roman" w:cs="Times New Roman"/>
                <w:sz w:val="24"/>
                <w:szCs w:val="24"/>
              </w:rPr>
            </w:pPr>
            <w:r w:rsidRPr="005D0BFF">
              <w:rPr>
                <w:rFonts w:ascii="Times New Roman" w:hAnsi="Times New Roman" w:cs="Times New Roman"/>
                <w:sz w:val="24"/>
                <w:szCs w:val="24"/>
              </w:rPr>
              <w:t>No (due to price &amp; reimbursement procedures in many member states)</w:t>
            </w:r>
          </w:p>
        </w:tc>
        <w:tc>
          <w:tcPr>
            <w:tcW w:w="3006" w:type="dxa"/>
          </w:tcPr>
          <w:p w14:paraId="5C1C09F9" w14:textId="77777777" w:rsidR="005D0BFF" w:rsidRPr="005D0BFF" w:rsidRDefault="005D0BFF" w:rsidP="0098799E">
            <w:pPr>
              <w:pStyle w:val="ListParagraph"/>
              <w:spacing w:line="360" w:lineRule="auto"/>
              <w:ind w:left="0"/>
              <w:jc w:val="both"/>
              <w:rPr>
                <w:rFonts w:ascii="Times New Roman" w:hAnsi="Times New Roman" w:cs="Times New Roman"/>
                <w:sz w:val="24"/>
                <w:szCs w:val="24"/>
              </w:rPr>
            </w:pPr>
            <w:r w:rsidRPr="005D0BFF">
              <w:rPr>
                <w:rFonts w:ascii="Times New Roman" w:hAnsi="Times New Roman" w:cs="Times New Roman"/>
                <w:sz w:val="24"/>
                <w:szCs w:val="24"/>
              </w:rPr>
              <w:t>Yes</w:t>
            </w:r>
          </w:p>
        </w:tc>
      </w:tr>
      <w:tr w:rsidR="005D0BFF" w:rsidRPr="005D0BFF" w14:paraId="662D73F3" w14:textId="77777777" w:rsidTr="005D0BFF">
        <w:tc>
          <w:tcPr>
            <w:tcW w:w="3005" w:type="dxa"/>
          </w:tcPr>
          <w:p w14:paraId="2E433999" w14:textId="77777777" w:rsidR="005D0BFF" w:rsidRPr="005D0BFF" w:rsidRDefault="005D0BFF" w:rsidP="0098799E">
            <w:pPr>
              <w:pStyle w:val="ListParagraph"/>
              <w:spacing w:line="360" w:lineRule="auto"/>
              <w:ind w:left="0"/>
              <w:jc w:val="both"/>
              <w:rPr>
                <w:rFonts w:ascii="Times New Roman" w:hAnsi="Times New Roman" w:cs="Times New Roman"/>
                <w:sz w:val="24"/>
                <w:szCs w:val="24"/>
              </w:rPr>
            </w:pPr>
            <w:r w:rsidRPr="005D0BFF">
              <w:rPr>
                <w:rFonts w:ascii="Times New Roman" w:hAnsi="Times New Roman" w:cs="Times New Roman"/>
                <w:sz w:val="24"/>
                <w:szCs w:val="24"/>
              </w:rPr>
              <w:t>Fees for generic registration</w:t>
            </w:r>
          </w:p>
        </w:tc>
        <w:tc>
          <w:tcPr>
            <w:tcW w:w="3005" w:type="dxa"/>
          </w:tcPr>
          <w:p w14:paraId="64055E13" w14:textId="77777777" w:rsidR="005D0BFF" w:rsidRPr="005D0BFF" w:rsidRDefault="005D0BFF" w:rsidP="0098799E">
            <w:pPr>
              <w:pStyle w:val="ListParagraph"/>
              <w:spacing w:line="360" w:lineRule="auto"/>
              <w:ind w:left="0"/>
              <w:jc w:val="both"/>
              <w:rPr>
                <w:rFonts w:ascii="Times New Roman" w:hAnsi="Times New Roman" w:cs="Times New Roman"/>
                <w:sz w:val="24"/>
                <w:szCs w:val="24"/>
              </w:rPr>
            </w:pPr>
            <w:r w:rsidRPr="005D0BFF">
              <w:rPr>
                <w:rFonts w:ascii="Times New Roman" w:hAnsi="Times New Roman" w:cs="Times New Roman"/>
                <w:sz w:val="24"/>
                <w:szCs w:val="24"/>
              </w:rPr>
              <w:t>Yes (between 80,000-120,000 Euros)</w:t>
            </w:r>
          </w:p>
        </w:tc>
        <w:tc>
          <w:tcPr>
            <w:tcW w:w="3006" w:type="dxa"/>
          </w:tcPr>
          <w:p w14:paraId="3CF6E149" w14:textId="77777777" w:rsidR="005D0BFF" w:rsidRPr="005D0BFF" w:rsidRDefault="005D0BFF" w:rsidP="0098799E">
            <w:pPr>
              <w:pStyle w:val="ListParagraph"/>
              <w:spacing w:line="360" w:lineRule="auto"/>
              <w:ind w:left="0"/>
              <w:jc w:val="both"/>
              <w:rPr>
                <w:rFonts w:ascii="Times New Roman" w:hAnsi="Times New Roman" w:cs="Times New Roman"/>
                <w:sz w:val="24"/>
                <w:szCs w:val="24"/>
              </w:rPr>
            </w:pPr>
            <w:r w:rsidRPr="005D0BFF">
              <w:rPr>
                <w:rFonts w:ascii="Times New Roman" w:hAnsi="Times New Roman" w:cs="Times New Roman"/>
                <w:sz w:val="24"/>
                <w:szCs w:val="24"/>
              </w:rPr>
              <w:t>Yes</w:t>
            </w:r>
          </w:p>
        </w:tc>
      </w:tr>
      <w:tr w:rsidR="005D0BFF" w:rsidRPr="005D0BFF" w14:paraId="61C1AFFA" w14:textId="77777777" w:rsidTr="005D0BFF">
        <w:tc>
          <w:tcPr>
            <w:tcW w:w="3005" w:type="dxa"/>
          </w:tcPr>
          <w:p w14:paraId="78C62796" w14:textId="77777777" w:rsidR="005D0BFF" w:rsidRPr="005D0BFF" w:rsidRDefault="005D0BFF" w:rsidP="0098799E">
            <w:pPr>
              <w:pStyle w:val="ListParagraph"/>
              <w:spacing w:line="360" w:lineRule="auto"/>
              <w:ind w:left="0"/>
              <w:jc w:val="both"/>
              <w:rPr>
                <w:rFonts w:ascii="Times New Roman" w:hAnsi="Times New Roman" w:cs="Times New Roman"/>
                <w:sz w:val="24"/>
                <w:szCs w:val="24"/>
              </w:rPr>
            </w:pPr>
            <w:r w:rsidRPr="005D0BFF">
              <w:rPr>
                <w:rFonts w:ascii="Times New Roman" w:hAnsi="Times New Roman" w:cs="Times New Roman"/>
                <w:sz w:val="24"/>
                <w:szCs w:val="24"/>
              </w:rPr>
              <w:t>Harmonized regulatory and IP requirements</w:t>
            </w:r>
          </w:p>
        </w:tc>
        <w:tc>
          <w:tcPr>
            <w:tcW w:w="3005" w:type="dxa"/>
          </w:tcPr>
          <w:p w14:paraId="64E99E6D" w14:textId="77777777" w:rsidR="005D0BFF" w:rsidRPr="005D0BFF" w:rsidRDefault="005D0BFF" w:rsidP="0098799E">
            <w:pPr>
              <w:pStyle w:val="ListParagraph"/>
              <w:spacing w:line="360" w:lineRule="auto"/>
              <w:ind w:left="0"/>
              <w:jc w:val="both"/>
              <w:rPr>
                <w:rFonts w:ascii="Times New Roman" w:hAnsi="Times New Roman" w:cs="Times New Roman"/>
                <w:sz w:val="24"/>
                <w:szCs w:val="24"/>
              </w:rPr>
            </w:pPr>
            <w:r w:rsidRPr="005D0BFF">
              <w:rPr>
                <w:rFonts w:ascii="Times New Roman" w:hAnsi="Times New Roman" w:cs="Times New Roman"/>
                <w:sz w:val="24"/>
                <w:szCs w:val="24"/>
              </w:rPr>
              <w:t>No</w:t>
            </w:r>
          </w:p>
        </w:tc>
        <w:tc>
          <w:tcPr>
            <w:tcW w:w="3006" w:type="dxa"/>
          </w:tcPr>
          <w:p w14:paraId="716F9C07" w14:textId="77777777" w:rsidR="005D0BFF" w:rsidRPr="005D0BFF" w:rsidRDefault="005D0BFF" w:rsidP="0098799E">
            <w:pPr>
              <w:pStyle w:val="ListParagraph"/>
              <w:spacing w:line="360" w:lineRule="auto"/>
              <w:ind w:left="0"/>
              <w:jc w:val="both"/>
              <w:rPr>
                <w:rFonts w:ascii="Times New Roman" w:hAnsi="Times New Roman" w:cs="Times New Roman"/>
                <w:sz w:val="24"/>
                <w:szCs w:val="24"/>
              </w:rPr>
            </w:pPr>
            <w:r w:rsidRPr="005D0BFF">
              <w:rPr>
                <w:rFonts w:ascii="Times New Roman" w:hAnsi="Times New Roman" w:cs="Times New Roman"/>
                <w:sz w:val="24"/>
                <w:szCs w:val="24"/>
              </w:rPr>
              <w:t>Yes</w:t>
            </w:r>
          </w:p>
        </w:tc>
      </w:tr>
    </w:tbl>
    <w:p w14:paraId="5E88F857" w14:textId="77777777" w:rsidR="005D0BFF" w:rsidRDefault="005D0BFF" w:rsidP="0098799E">
      <w:pPr>
        <w:pStyle w:val="ListParagraph"/>
        <w:spacing w:line="360" w:lineRule="auto"/>
        <w:ind w:left="390"/>
        <w:jc w:val="both"/>
        <w:rPr>
          <w:rFonts w:ascii="Times New Roman" w:hAnsi="Times New Roman" w:cs="Times New Roman"/>
          <w:sz w:val="24"/>
          <w:szCs w:val="24"/>
        </w:rPr>
      </w:pPr>
    </w:p>
    <w:p w14:paraId="47ABF85F" w14:textId="77777777" w:rsidR="00FA6C99" w:rsidRPr="00FA6C99" w:rsidRDefault="00FA6C99" w:rsidP="00FA6C99">
      <w:pPr>
        <w:pStyle w:val="ListParagraph"/>
        <w:spacing w:line="360" w:lineRule="auto"/>
        <w:ind w:left="390"/>
        <w:jc w:val="both"/>
        <w:rPr>
          <w:rFonts w:ascii="Times New Roman" w:hAnsi="Times New Roman" w:cs="Times New Roman"/>
          <w:b/>
          <w:sz w:val="24"/>
          <w:szCs w:val="24"/>
        </w:rPr>
      </w:pPr>
      <w:r w:rsidRPr="00FA6C99">
        <w:rPr>
          <w:rFonts w:ascii="Times New Roman" w:hAnsi="Times New Roman" w:cs="Times New Roman"/>
          <w:b/>
          <w:sz w:val="24"/>
          <w:szCs w:val="24"/>
        </w:rPr>
        <w:t>METHODOLOGY</w:t>
      </w:r>
    </w:p>
    <w:p w14:paraId="2B643B64" w14:textId="77777777" w:rsidR="00FA6C99" w:rsidRDefault="00FA6C99" w:rsidP="00FA6C99">
      <w:pPr>
        <w:pStyle w:val="ListParagraph"/>
        <w:spacing w:line="360" w:lineRule="auto"/>
        <w:ind w:left="390"/>
        <w:jc w:val="both"/>
        <w:rPr>
          <w:rFonts w:ascii="Times New Roman" w:hAnsi="Times New Roman" w:cs="Times New Roman"/>
          <w:sz w:val="24"/>
          <w:szCs w:val="24"/>
        </w:rPr>
      </w:pPr>
      <w:r w:rsidRPr="00FA6C99">
        <w:rPr>
          <w:rFonts w:ascii="Times New Roman" w:hAnsi="Times New Roman" w:cs="Times New Roman"/>
          <w:sz w:val="24"/>
          <w:szCs w:val="24"/>
        </w:rPr>
        <w:t xml:space="preserve"> Literature review was done mainly on collection of the legislations, concentrating on their generic drug registration procedures in EU and US. The research carried out with the collected data by analyzing the terms of the below parameters: Methodology Each and every study has some patterns and follows certain pathways in order to reach the objective. Thus, the method to be followed plays an important role in determining the outputs as well as the consequences of study. </w:t>
      </w:r>
    </w:p>
    <w:p w14:paraId="3F472DDD" w14:textId="77777777" w:rsidR="00FA6C99" w:rsidRPr="00FA6C99" w:rsidRDefault="00FA6C99" w:rsidP="00FA6C99">
      <w:pPr>
        <w:pStyle w:val="ListParagraph"/>
        <w:spacing w:line="360" w:lineRule="auto"/>
        <w:ind w:left="390"/>
        <w:jc w:val="both"/>
        <w:rPr>
          <w:rFonts w:ascii="Times New Roman" w:hAnsi="Times New Roman" w:cs="Times New Roman"/>
          <w:sz w:val="24"/>
          <w:szCs w:val="24"/>
        </w:rPr>
      </w:pPr>
      <w:r w:rsidRPr="00FA6C99">
        <w:rPr>
          <w:rFonts w:ascii="Times New Roman" w:hAnsi="Times New Roman" w:cs="Times New Roman"/>
          <w:sz w:val="24"/>
          <w:szCs w:val="24"/>
        </w:rPr>
        <w:t xml:space="preserve">1. Researching databases, journals, and official regulatory websites to gather scholarly articles, guidelines, and regulatory documents related to generic drug registration. </w:t>
      </w:r>
    </w:p>
    <w:p w14:paraId="28B75C84" w14:textId="77777777" w:rsidR="00FA6C99" w:rsidRPr="00FA6C99" w:rsidRDefault="00FA6C99" w:rsidP="00FA6C99">
      <w:pPr>
        <w:pStyle w:val="ListParagraph"/>
        <w:spacing w:line="360" w:lineRule="auto"/>
        <w:ind w:left="390"/>
        <w:jc w:val="both"/>
        <w:rPr>
          <w:rFonts w:ascii="Times New Roman" w:hAnsi="Times New Roman" w:cs="Times New Roman"/>
          <w:sz w:val="24"/>
          <w:szCs w:val="24"/>
        </w:rPr>
      </w:pPr>
      <w:r w:rsidRPr="00FA6C99">
        <w:rPr>
          <w:rFonts w:ascii="Times New Roman" w:hAnsi="Times New Roman" w:cs="Times New Roman"/>
          <w:sz w:val="24"/>
          <w:szCs w:val="24"/>
        </w:rPr>
        <w:t xml:space="preserve">2. Extracted pertinent information from the literature, analyzed it using a systematic approach, and focused on regulatory frameworks, legislations, and guidelines specific to EU and US requirements. </w:t>
      </w:r>
    </w:p>
    <w:p w14:paraId="1D64F6A4" w14:textId="77777777" w:rsidR="00FA6C99" w:rsidRPr="00FA6C99" w:rsidRDefault="00FA6C99" w:rsidP="00FA6C99">
      <w:pPr>
        <w:pStyle w:val="ListParagraph"/>
        <w:spacing w:line="360" w:lineRule="auto"/>
        <w:ind w:left="390"/>
        <w:jc w:val="both"/>
        <w:rPr>
          <w:rFonts w:ascii="Times New Roman" w:hAnsi="Times New Roman" w:cs="Times New Roman"/>
          <w:sz w:val="24"/>
          <w:szCs w:val="24"/>
        </w:rPr>
      </w:pPr>
      <w:r w:rsidRPr="00FA6C99">
        <w:rPr>
          <w:rFonts w:ascii="Times New Roman" w:hAnsi="Times New Roman" w:cs="Times New Roman"/>
          <w:sz w:val="24"/>
          <w:szCs w:val="24"/>
        </w:rPr>
        <w:t xml:space="preserve">3. Compares the regulatory requirements in the EU and the US, identifying similarities and differences in approval processes, dossier formats, and administrative documents. </w:t>
      </w:r>
    </w:p>
    <w:p w14:paraId="4556BE61" w14:textId="77777777" w:rsidR="00FA6C99" w:rsidRPr="00FA6C99" w:rsidRDefault="00FA6C99" w:rsidP="00FA6C99">
      <w:pPr>
        <w:pStyle w:val="ListParagraph"/>
        <w:spacing w:line="360" w:lineRule="auto"/>
        <w:ind w:left="390"/>
        <w:jc w:val="both"/>
        <w:rPr>
          <w:rFonts w:ascii="Times New Roman" w:hAnsi="Times New Roman" w:cs="Times New Roman"/>
          <w:sz w:val="24"/>
          <w:szCs w:val="24"/>
        </w:rPr>
      </w:pPr>
      <w:r w:rsidRPr="00FA6C99">
        <w:rPr>
          <w:rFonts w:ascii="Times New Roman" w:hAnsi="Times New Roman" w:cs="Times New Roman"/>
          <w:sz w:val="24"/>
          <w:szCs w:val="24"/>
        </w:rPr>
        <w:t xml:space="preserve">4. The content emphasizes the need to analyze the impact of EU and US regulations on emerging nations and the challenges they face in complying with international standards. </w:t>
      </w:r>
    </w:p>
    <w:p w14:paraId="2BD2700C" w14:textId="77777777" w:rsidR="00FA6C99" w:rsidRDefault="00FA6C99" w:rsidP="00FA6C99">
      <w:pPr>
        <w:pStyle w:val="ListParagraph"/>
        <w:spacing w:line="360" w:lineRule="auto"/>
        <w:ind w:left="390"/>
        <w:jc w:val="both"/>
        <w:rPr>
          <w:rFonts w:ascii="Times New Roman" w:hAnsi="Times New Roman" w:cs="Times New Roman"/>
          <w:sz w:val="24"/>
          <w:szCs w:val="24"/>
        </w:rPr>
      </w:pPr>
      <w:r w:rsidRPr="00FA6C99">
        <w:rPr>
          <w:rFonts w:ascii="Times New Roman" w:hAnsi="Times New Roman" w:cs="Times New Roman"/>
          <w:sz w:val="24"/>
          <w:szCs w:val="24"/>
        </w:rPr>
        <w:lastRenderedPageBreak/>
        <w:t>5. The analysis suggests harmonizing generic drug registration procedures by adopting common formats like the Common Technical Document and expanding bioequivalence requirements.</w:t>
      </w:r>
    </w:p>
    <w:p w14:paraId="432149E9" w14:textId="77777777" w:rsidR="00C511B6" w:rsidRPr="00C511B6" w:rsidRDefault="00C511B6" w:rsidP="00FA6C99">
      <w:pPr>
        <w:pStyle w:val="ListParagraph"/>
        <w:spacing w:line="360" w:lineRule="auto"/>
        <w:ind w:left="390"/>
        <w:jc w:val="both"/>
        <w:rPr>
          <w:rFonts w:ascii="Times New Roman" w:hAnsi="Times New Roman" w:cs="Times New Roman"/>
          <w:b/>
          <w:sz w:val="24"/>
          <w:szCs w:val="24"/>
        </w:rPr>
      </w:pPr>
      <w:r w:rsidRPr="00C511B6">
        <w:rPr>
          <w:rFonts w:ascii="Times New Roman" w:hAnsi="Times New Roman" w:cs="Times New Roman"/>
          <w:b/>
          <w:sz w:val="24"/>
          <w:szCs w:val="24"/>
        </w:rPr>
        <w:t xml:space="preserve">Preparing and Organizing the CTD </w:t>
      </w:r>
    </w:p>
    <w:p w14:paraId="6F1D4968" w14:textId="77777777" w:rsidR="00C511B6" w:rsidRPr="00C511B6" w:rsidRDefault="00C511B6" w:rsidP="00FA6C99">
      <w:pPr>
        <w:pStyle w:val="ListParagraph"/>
        <w:spacing w:line="360" w:lineRule="auto"/>
        <w:ind w:left="390"/>
        <w:jc w:val="both"/>
        <w:rPr>
          <w:rFonts w:ascii="Times New Roman" w:hAnsi="Times New Roman" w:cs="Times New Roman"/>
          <w:sz w:val="24"/>
          <w:szCs w:val="24"/>
        </w:rPr>
      </w:pPr>
      <w:r w:rsidRPr="00C511B6">
        <w:rPr>
          <w:rFonts w:ascii="Times New Roman" w:hAnsi="Times New Roman" w:cs="Times New Roman"/>
          <w:sz w:val="24"/>
          <w:szCs w:val="24"/>
        </w:rPr>
        <w:t xml:space="preserve">In CTD, the display of information should be unambiguous and transparent, which facilitates the review of the basic data and helps a reviewer become quickly oriented to the application contents. Text and tables should be prepared using margins that allow the document to be printed on both A4 paper (EU) and 8.5x11 paper (US). A margin of at least 0.75 inches from the bound edge of the printed page is required to prevent information from being obscured and to place the paper in a binder. Narrative text is submitted in Times New Roman 12-point font. Generally, font sizes 9 to 10 points are considered acceptable in tables. Ten-point fonts are recommended for footnotes. Acronyms and abbreviations should be defined the first time they are used in each module. </w:t>
      </w:r>
    </w:p>
    <w:p w14:paraId="51960BD9" w14:textId="77777777" w:rsidR="00C511B6" w:rsidRPr="00E352DF" w:rsidRDefault="00C511B6" w:rsidP="00FA6C99">
      <w:pPr>
        <w:pStyle w:val="ListParagraph"/>
        <w:spacing w:line="360" w:lineRule="auto"/>
        <w:ind w:left="390"/>
        <w:jc w:val="both"/>
        <w:rPr>
          <w:rFonts w:ascii="Times New Roman" w:hAnsi="Times New Roman" w:cs="Times New Roman"/>
          <w:b/>
          <w:sz w:val="24"/>
          <w:szCs w:val="24"/>
        </w:rPr>
      </w:pPr>
      <w:r w:rsidRPr="00E352DF">
        <w:rPr>
          <w:rFonts w:ascii="Times New Roman" w:hAnsi="Times New Roman" w:cs="Times New Roman"/>
          <w:b/>
          <w:sz w:val="24"/>
          <w:szCs w:val="24"/>
        </w:rPr>
        <w:t xml:space="preserve">The CTD is divided into five modules: </w:t>
      </w:r>
    </w:p>
    <w:p w14:paraId="0451616C" w14:textId="77777777" w:rsidR="00C511B6" w:rsidRPr="00C511B6" w:rsidRDefault="00C511B6" w:rsidP="00FA6C99">
      <w:pPr>
        <w:pStyle w:val="ListParagraph"/>
        <w:spacing w:line="360" w:lineRule="auto"/>
        <w:ind w:left="390"/>
        <w:jc w:val="both"/>
        <w:rPr>
          <w:rFonts w:ascii="Times New Roman" w:hAnsi="Times New Roman" w:cs="Times New Roman"/>
          <w:sz w:val="24"/>
          <w:szCs w:val="24"/>
        </w:rPr>
      </w:pPr>
      <w:r w:rsidRPr="00C511B6">
        <w:rPr>
          <w:rFonts w:ascii="Times New Roman" w:hAnsi="Times New Roman" w:cs="Times New Roman"/>
          <w:sz w:val="24"/>
          <w:szCs w:val="24"/>
        </w:rPr>
        <w:t xml:space="preserve">• Module 1 - Administrative and prescribing information </w:t>
      </w:r>
    </w:p>
    <w:p w14:paraId="41131AB1" w14:textId="77777777" w:rsidR="00C511B6" w:rsidRPr="00C511B6" w:rsidRDefault="00C511B6" w:rsidP="00FA6C99">
      <w:pPr>
        <w:pStyle w:val="ListParagraph"/>
        <w:spacing w:line="360" w:lineRule="auto"/>
        <w:ind w:left="390"/>
        <w:jc w:val="both"/>
        <w:rPr>
          <w:rFonts w:ascii="Times New Roman" w:hAnsi="Times New Roman" w:cs="Times New Roman"/>
          <w:sz w:val="24"/>
          <w:szCs w:val="24"/>
        </w:rPr>
      </w:pPr>
      <w:r w:rsidRPr="00C511B6">
        <w:rPr>
          <w:rFonts w:ascii="Times New Roman" w:hAnsi="Times New Roman" w:cs="Times New Roman"/>
          <w:sz w:val="24"/>
          <w:szCs w:val="24"/>
        </w:rPr>
        <w:t xml:space="preserve">• Module 2 - Overview and summary of modules 3 to </w:t>
      </w:r>
    </w:p>
    <w:p w14:paraId="14F3C375" w14:textId="77777777" w:rsidR="00C511B6" w:rsidRPr="00C511B6" w:rsidRDefault="00C511B6" w:rsidP="00FA6C99">
      <w:pPr>
        <w:pStyle w:val="ListParagraph"/>
        <w:spacing w:line="360" w:lineRule="auto"/>
        <w:ind w:left="390"/>
        <w:jc w:val="both"/>
        <w:rPr>
          <w:rFonts w:ascii="Times New Roman" w:hAnsi="Times New Roman" w:cs="Times New Roman"/>
          <w:sz w:val="24"/>
          <w:szCs w:val="24"/>
        </w:rPr>
      </w:pPr>
      <w:r w:rsidRPr="00C511B6">
        <w:rPr>
          <w:rFonts w:ascii="Times New Roman" w:hAnsi="Times New Roman" w:cs="Times New Roman"/>
          <w:sz w:val="24"/>
          <w:szCs w:val="24"/>
        </w:rPr>
        <w:t xml:space="preserve">• Module 3 - Quality (Pharmaceutical documentation) </w:t>
      </w:r>
    </w:p>
    <w:p w14:paraId="669E1A19" w14:textId="77777777" w:rsidR="00C511B6" w:rsidRPr="00C511B6" w:rsidRDefault="00C511B6" w:rsidP="00FA6C99">
      <w:pPr>
        <w:pStyle w:val="ListParagraph"/>
        <w:spacing w:line="360" w:lineRule="auto"/>
        <w:ind w:left="390"/>
        <w:jc w:val="both"/>
        <w:rPr>
          <w:rFonts w:ascii="Times New Roman" w:hAnsi="Times New Roman" w:cs="Times New Roman"/>
          <w:sz w:val="24"/>
          <w:szCs w:val="24"/>
        </w:rPr>
      </w:pPr>
      <w:r w:rsidRPr="00C511B6">
        <w:rPr>
          <w:rFonts w:ascii="Times New Roman" w:hAnsi="Times New Roman" w:cs="Times New Roman"/>
          <w:sz w:val="24"/>
          <w:szCs w:val="24"/>
        </w:rPr>
        <w:t xml:space="preserve">• Module 4 - Nonclinical document safety (toxicology studies) </w:t>
      </w:r>
    </w:p>
    <w:p w14:paraId="5A5C0C91" w14:textId="77777777" w:rsidR="00C511B6" w:rsidRDefault="00C511B6" w:rsidP="00FA6C99">
      <w:pPr>
        <w:pStyle w:val="ListParagraph"/>
        <w:spacing w:line="360" w:lineRule="auto"/>
        <w:ind w:left="390"/>
        <w:jc w:val="both"/>
        <w:rPr>
          <w:rFonts w:ascii="Times New Roman" w:hAnsi="Times New Roman" w:cs="Times New Roman"/>
          <w:sz w:val="24"/>
          <w:szCs w:val="24"/>
        </w:rPr>
      </w:pPr>
      <w:r w:rsidRPr="00C511B6">
        <w:rPr>
          <w:rFonts w:ascii="Times New Roman" w:hAnsi="Times New Roman" w:cs="Times New Roman"/>
          <w:sz w:val="24"/>
          <w:szCs w:val="24"/>
        </w:rPr>
        <w:t>• Module 5 - Clinical document efficacy (Clinical studies)</w:t>
      </w:r>
    </w:p>
    <w:p w14:paraId="185B0E90" w14:textId="77777777" w:rsidR="00C55494" w:rsidRPr="00C511B6" w:rsidRDefault="00C55494" w:rsidP="00FA6C99">
      <w:pPr>
        <w:pStyle w:val="ListParagraph"/>
        <w:spacing w:line="360" w:lineRule="auto"/>
        <w:ind w:left="390"/>
        <w:jc w:val="both"/>
        <w:rPr>
          <w:rFonts w:ascii="Times New Roman" w:hAnsi="Times New Roman" w:cs="Times New Roman"/>
          <w:sz w:val="24"/>
          <w:szCs w:val="24"/>
        </w:rPr>
      </w:pPr>
      <w:r w:rsidRPr="00445F88">
        <w:rPr>
          <w:rFonts w:ascii="Times New Roman" w:eastAsia="Times New Roman" w:hAnsi="Times New Roman" w:cs="Times New Roman"/>
          <w:noProof/>
          <w:sz w:val="24"/>
          <w:szCs w:val="24"/>
          <w:lang w:eastAsia="en-IN"/>
        </w:rPr>
        <w:drawing>
          <wp:inline distT="0" distB="0" distL="0" distR="0" wp14:anchorId="51DC4CC7" wp14:editId="0B7A60A3">
            <wp:extent cx="5731510" cy="3839436"/>
            <wp:effectExtent l="0" t="0" r="2540" b="8890"/>
            <wp:docPr id="1" name="Picture 1" descr="C:\Users\HP\Pictures\Screenshots\Screenshot (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Pictures\Screenshots\Screenshot (23).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3839436"/>
                    </a:xfrm>
                    <a:prstGeom prst="rect">
                      <a:avLst/>
                    </a:prstGeom>
                    <a:noFill/>
                    <a:ln>
                      <a:noFill/>
                    </a:ln>
                  </pic:spPr>
                </pic:pic>
              </a:graphicData>
            </a:graphic>
          </wp:inline>
        </w:drawing>
      </w:r>
    </w:p>
    <w:p w14:paraId="784A75C3" w14:textId="77777777" w:rsidR="00C55494" w:rsidRPr="00C55494" w:rsidRDefault="00AB53D5" w:rsidP="00C55494">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Fig.1</w:t>
      </w:r>
      <w:r w:rsidR="00C55494" w:rsidRPr="00CB498C">
        <w:rPr>
          <w:rFonts w:ascii="Times New Roman" w:hAnsi="Times New Roman" w:cs="Times New Roman"/>
          <w:b/>
          <w:sz w:val="24"/>
          <w:szCs w:val="24"/>
        </w:rPr>
        <w:t xml:space="preserve"> CTD dossier</w:t>
      </w:r>
    </w:p>
    <w:p w14:paraId="5B94B6AB" w14:textId="77777777" w:rsidR="00C511B6" w:rsidRPr="00C511B6" w:rsidRDefault="00C511B6" w:rsidP="00FA6C99">
      <w:pPr>
        <w:pStyle w:val="ListParagraph"/>
        <w:spacing w:line="360" w:lineRule="auto"/>
        <w:ind w:left="390"/>
        <w:jc w:val="both"/>
        <w:rPr>
          <w:rFonts w:ascii="Times New Roman" w:hAnsi="Times New Roman" w:cs="Times New Roman"/>
          <w:b/>
          <w:sz w:val="24"/>
          <w:szCs w:val="24"/>
        </w:rPr>
      </w:pPr>
      <w:r w:rsidRPr="00C511B6">
        <w:rPr>
          <w:rFonts w:ascii="Times New Roman" w:hAnsi="Times New Roman" w:cs="Times New Roman"/>
          <w:b/>
          <w:sz w:val="24"/>
          <w:szCs w:val="24"/>
        </w:rPr>
        <w:t xml:space="preserve">Module 1 Administrative and prescribing Information: </w:t>
      </w:r>
    </w:p>
    <w:p w14:paraId="7330AFA2" w14:textId="77777777" w:rsidR="00C511B6" w:rsidRPr="00C511B6" w:rsidRDefault="00C511B6" w:rsidP="00FA6C99">
      <w:pPr>
        <w:pStyle w:val="ListParagraph"/>
        <w:spacing w:line="360" w:lineRule="auto"/>
        <w:ind w:left="390"/>
        <w:jc w:val="both"/>
        <w:rPr>
          <w:rFonts w:ascii="Times New Roman" w:hAnsi="Times New Roman" w:cs="Times New Roman"/>
          <w:sz w:val="24"/>
          <w:szCs w:val="24"/>
        </w:rPr>
      </w:pPr>
      <w:r w:rsidRPr="00C511B6">
        <w:rPr>
          <w:rFonts w:ascii="Times New Roman" w:hAnsi="Times New Roman" w:cs="Times New Roman"/>
          <w:sz w:val="24"/>
          <w:szCs w:val="24"/>
        </w:rPr>
        <w:t>This module contains administrative documents specific to each region; for example, application forms or the proposed label for use in the region. The content and format of this module is specified by the relevant regulatory authority.</w:t>
      </w:r>
    </w:p>
    <w:p w14:paraId="2DCEE12C" w14:textId="77777777" w:rsidR="00C511B6" w:rsidRPr="00C511B6" w:rsidRDefault="00C511B6" w:rsidP="00FA6C99">
      <w:pPr>
        <w:pStyle w:val="ListParagraph"/>
        <w:spacing w:line="360" w:lineRule="auto"/>
        <w:ind w:left="390"/>
        <w:jc w:val="both"/>
        <w:rPr>
          <w:rFonts w:ascii="Times New Roman" w:hAnsi="Times New Roman" w:cs="Times New Roman"/>
          <w:sz w:val="24"/>
          <w:szCs w:val="24"/>
        </w:rPr>
      </w:pPr>
      <w:r w:rsidRPr="00C511B6">
        <w:rPr>
          <w:rFonts w:ascii="Times New Roman" w:hAnsi="Times New Roman" w:cs="Times New Roman"/>
          <w:sz w:val="24"/>
          <w:szCs w:val="24"/>
        </w:rPr>
        <w:t xml:space="preserve">Module 2 Common Technical Document Summaries: </w:t>
      </w:r>
    </w:p>
    <w:p w14:paraId="74A1309E" w14:textId="77777777" w:rsidR="00C511B6" w:rsidRPr="00C511B6" w:rsidRDefault="00C511B6" w:rsidP="00FA6C99">
      <w:pPr>
        <w:pStyle w:val="ListParagraph"/>
        <w:spacing w:line="360" w:lineRule="auto"/>
        <w:ind w:left="390"/>
        <w:jc w:val="both"/>
        <w:rPr>
          <w:rFonts w:ascii="Times New Roman" w:hAnsi="Times New Roman" w:cs="Times New Roman"/>
          <w:sz w:val="24"/>
          <w:szCs w:val="24"/>
        </w:rPr>
      </w:pPr>
      <w:r w:rsidRPr="00C511B6">
        <w:rPr>
          <w:rFonts w:ascii="Times New Roman" w:hAnsi="Times New Roman" w:cs="Times New Roman"/>
          <w:sz w:val="24"/>
          <w:szCs w:val="24"/>
        </w:rPr>
        <w:t xml:space="preserve">Module 2 begins with a general introduction to the pharmaceutical, including its pharmacologic class, mode of action, and proposed clinical use. In general, the introduction should not exceed on page. </w:t>
      </w:r>
    </w:p>
    <w:p w14:paraId="66D32338" w14:textId="77777777" w:rsidR="00C511B6" w:rsidRPr="00C511B6" w:rsidRDefault="00C511B6" w:rsidP="00FA6C99">
      <w:pPr>
        <w:pStyle w:val="ListParagraph"/>
        <w:spacing w:line="360" w:lineRule="auto"/>
        <w:ind w:left="390"/>
        <w:jc w:val="both"/>
        <w:rPr>
          <w:rFonts w:ascii="Times New Roman" w:hAnsi="Times New Roman" w:cs="Times New Roman"/>
          <w:sz w:val="24"/>
          <w:szCs w:val="24"/>
        </w:rPr>
      </w:pPr>
      <w:r w:rsidRPr="00C511B6">
        <w:rPr>
          <w:rFonts w:ascii="Times New Roman" w:hAnsi="Times New Roman" w:cs="Times New Roman"/>
          <w:sz w:val="24"/>
          <w:szCs w:val="24"/>
        </w:rPr>
        <w:t xml:space="preserve">Module 2 contains 7 sections in the following order: </w:t>
      </w:r>
    </w:p>
    <w:p w14:paraId="4CFB0511" w14:textId="77777777" w:rsidR="00C511B6" w:rsidRPr="00C511B6" w:rsidRDefault="00C511B6" w:rsidP="00FA6C99">
      <w:pPr>
        <w:pStyle w:val="ListParagraph"/>
        <w:spacing w:line="360" w:lineRule="auto"/>
        <w:ind w:left="390"/>
        <w:jc w:val="both"/>
        <w:rPr>
          <w:rFonts w:ascii="Times New Roman" w:hAnsi="Times New Roman" w:cs="Times New Roman"/>
          <w:sz w:val="24"/>
          <w:szCs w:val="24"/>
        </w:rPr>
      </w:pPr>
      <w:r w:rsidRPr="00C511B6">
        <w:rPr>
          <w:rFonts w:ascii="Times New Roman" w:hAnsi="Times New Roman" w:cs="Times New Roman"/>
          <w:sz w:val="24"/>
          <w:szCs w:val="24"/>
        </w:rPr>
        <w:t xml:space="preserve">1. CTD Table of Contents </w:t>
      </w:r>
    </w:p>
    <w:p w14:paraId="54FE4254" w14:textId="77777777" w:rsidR="00C511B6" w:rsidRPr="00C511B6" w:rsidRDefault="00C511B6" w:rsidP="00FA6C99">
      <w:pPr>
        <w:pStyle w:val="ListParagraph"/>
        <w:spacing w:line="360" w:lineRule="auto"/>
        <w:ind w:left="390"/>
        <w:jc w:val="both"/>
        <w:rPr>
          <w:rFonts w:ascii="Times New Roman" w:hAnsi="Times New Roman" w:cs="Times New Roman"/>
          <w:sz w:val="24"/>
          <w:szCs w:val="24"/>
        </w:rPr>
      </w:pPr>
      <w:r w:rsidRPr="00C511B6">
        <w:rPr>
          <w:rFonts w:ascii="Times New Roman" w:hAnsi="Times New Roman" w:cs="Times New Roman"/>
          <w:sz w:val="24"/>
          <w:szCs w:val="24"/>
        </w:rPr>
        <w:t xml:space="preserve">2. CTD Introduction </w:t>
      </w:r>
    </w:p>
    <w:p w14:paraId="39437299" w14:textId="77777777" w:rsidR="00C511B6" w:rsidRPr="00C511B6" w:rsidRDefault="00C511B6" w:rsidP="00FA6C99">
      <w:pPr>
        <w:pStyle w:val="ListParagraph"/>
        <w:spacing w:line="360" w:lineRule="auto"/>
        <w:ind w:left="390"/>
        <w:jc w:val="both"/>
        <w:rPr>
          <w:rFonts w:ascii="Times New Roman" w:hAnsi="Times New Roman" w:cs="Times New Roman"/>
          <w:sz w:val="24"/>
          <w:szCs w:val="24"/>
        </w:rPr>
      </w:pPr>
      <w:r w:rsidRPr="00C511B6">
        <w:rPr>
          <w:rFonts w:ascii="Times New Roman" w:hAnsi="Times New Roman" w:cs="Times New Roman"/>
          <w:sz w:val="24"/>
          <w:szCs w:val="24"/>
        </w:rPr>
        <w:t xml:space="preserve">3. Quality Overall Summary </w:t>
      </w:r>
    </w:p>
    <w:p w14:paraId="6B902881" w14:textId="77777777" w:rsidR="00C511B6" w:rsidRPr="00C511B6" w:rsidRDefault="00C511B6" w:rsidP="00FA6C99">
      <w:pPr>
        <w:pStyle w:val="ListParagraph"/>
        <w:spacing w:line="360" w:lineRule="auto"/>
        <w:ind w:left="390"/>
        <w:jc w:val="both"/>
        <w:rPr>
          <w:rFonts w:ascii="Times New Roman" w:hAnsi="Times New Roman" w:cs="Times New Roman"/>
          <w:sz w:val="24"/>
          <w:szCs w:val="24"/>
        </w:rPr>
      </w:pPr>
      <w:r w:rsidRPr="00C511B6">
        <w:rPr>
          <w:rFonts w:ascii="Times New Roman" w:hAnsi="Times New Roman" w:cs="Times New Roman"/>
          <w:sz w:val="24"/>
          <w:szCs w:val="24"/>
        </w:rPr>
        <w:t xml:space="preserve">4. Non-clinical Overview </w:t>
      </w:r>
    </w:p>
    <w:p w14:paraId="146EBD4D" w14:textId="77777777" w:rsidR="00C511B6" w:rsidRPr="00C511B6" w:rsidRDefault="00C511B6" w:rsidP="00FA6C99">
      <w:pPr>
        <w:pStyle w:val="ListParagraph"/>
        <w:spacing w:line="360" w:lineRule="auto"/>
        <w:ind w:left="390"/>
        <w:jc w:val="both"/>
        <w:rPr>
          <w:rFonts w:ascii="Times New Roman" w:hAnsi="Times New Roman" w:cs="Times New Roman"/>
          <w:sz w:val="24"/>
          <w:szCs w:val="24"/>
        </w:rPr>
      </w:pPr>
      <w:r w:rsidRPr="00C511B6">
        <w:rPr>
          <w:rFonts w:ascii="Times New Roman" w:hAnsi="Times New Roman" w:cs="Times New Roman"/>
          <w:sz w:val="24"/>
          <w:szCs w:val="24"/>
        </w:rPr>
        <w:t xml:space="preserve">5. Clinical Overview </w:t>
      </w:r>
    </w:p>
    <w:p w14:paraId="7760DDC1" w14:textId="77777777" w:rsidR="00C511B6" w:rsidRPr="00C511B6" w:rsidRDefault="00C511B6" w:rsidP="00FA6C99">
      <w:pPr>
        <w:pStyle w:val="ListParagraph"/>
        <w:spacing w:line="360" w:lineRule="auto"/>
        <w:ind w:left="390"/>
        <w:jc w:val="both"/>
        <w:rPr>
          <w:rFonts w:ascii="Times New Roman" w:hAnsi="Times New Roman" w:cs="Times New Roman"/>
          <w:sz w:val="24"/>
          <w:szCs w:val="24"/>
        </w:rPr>
      </w:pPr>
      <w:r w:rsidRPr="00C511B6">
        <w:rPr>
          <w:rFonts w:ascii="Times New Roman" w:hAnsi="Times New Roman" w:cs="Times New Roman"/>
          <w:sz w:val="24"/>
          <w:szCs w:val="24"/>
        </w:rPr>
        <w:t xml:space="preserve">6. Non-clinical Written and Tabulated Summaries </w:t>
      </w:r>
    </w:p>
    <w:p w14:paraId="5A282A73" w14:textId="77777777" w:rsidR="00C511B6" w:rsidRPr="00C511B6" w:rsidRDefault="00C511B6" w:rsidP="00FA6C99">
      <w:pPr>
        <w:pStyle w:val="ListParagraph"/>
        <w:spacing w:line="360" w:lineRule="auto"/>
        <w:ind w:left="390"/>
        <w:jc w:val="both"/>
        <w:rPr>
          <w:rFonts w:ascii="Times New Roman" w:hAnsi="Times New Roman" w:cs="Times New Roman"/>
          <w:sz w:val="24"/>
          <w:szCs w:val="24"/>
        </w:rPr>
      </w:pPr>
      <w:r w:rsidRPr="00C511B6">
        <w:rPr>
          <w:rFonts w:ascii="Times New Roman" w:hAnsi="Times New Roman" w:cs="Times New Roman"/>
          <w:sz w:val="24"/>
          <w:szCs w:val="24"/>
        </w:rPr>
        <w:t xml:space="preserve">7. Clinical Summary. </w:t>
      </w:r>
    </w:p>
    <w:p w14:paraId="51F16900" w14:textId="77777777" w:rsidR="00C511B6" w:rsidRPr="00C511B6" w:rsidRDefault="00C511B6" w:rsidP="00FA6C99">
      <w:pPr>
        <w:pStyle w:val="ListParagraph"/>
        <w:spacing w:line="360" w:lineRule="auto"/>
        <w:ind w:left="390"/>
        <w:jc w:val="both"/>
        <w:rPr>
          <w:rFonts w:ascii="Times New Roman" w:hAnsi="Times New Roman" w:cs="Times New Roman"/>
          <w:sz w:val="24"/>
          <w:szCs w:val="24"/>
        </w:rPr>
      </w:pPr>
      <w:r w:rsidRPr="00C511B6">
        <w:rPr>
          <w:rFonts w:ascii="Times New Roman" w:hAnsi="Times New Roman" w:cs="Times New Roman"/>
          <w:sz w:val="24"/>
          <w:szCs w:val="24"/>
        </w:rPr>
        <w:t>As Module 2 contains information from the Quality, Efficacy and Safety sections of the CTD, the organization of the individual Module 2 summaries is discussed in three separate documents:</w:t>
      </w:r>
    </w:p>
    <w:p w14:paraId="3555FC11" w14:textId="77777777" w:rsidR="00C511B6" w:rsidRPr="00C511B6" w:rsidRDefault="00AB53D5" w:rsidP="00FA6C99">
      <w:pPr>
        <w:pStyle w:val="ListParagraph"/>
        <w:spacing w:line="360" w:lineRule="auto"/>
        <w:ind w:left="390"/>
        <w:jc w:val="both"/>
        <w:rPr>
          <w:rFonts w:ascii="Times New Roman" w:hAnsi="Times New Roman" w:cs="Times New Roman"/>
          <w:sz w:val="24"/>
          <w:szCs w:val="24"/>
        </w:rPr>
      </w:pPr>
      <w:r>
        <w:rPr>
          <w:rFonts w:ascii="Times New Roman" w:hAnsi="Times New Roman" w:cs="Times New Roman"/>
          <w:sz w:val="24"/>
          <w:szCs w:val="24"/>
        </w:rPr>
        <w:t xml:space="preserve"> • M4Q: The CTD - </w:t>
      </w:r>
      <w:r w:rsidR="00C511B6" w:rsidRPr="00C511B6">
        <w:rPr>
          <w:rFonts w:ascii="Times New Roman" w:hAnsi="Times New Roman" w:cs="Times New Roman"/>
          <w:sz w:val="24"/>
          <w:szCs w:val="24"/>
        </w:rPr>
        <w:t xml:space="preserve">Quality </w:t>
      </w:r>
    </w:p>
    <w:p w14:paraId="3EB3F490" w14:textId="77777777" w:rsidR="00C511B6" w:rsidRPr="00C511B6" w:rsidRDefault="00AB53D5" w:rsidP="00FA6C99">
      <w:pPr>
        <w:pStyle w:val="ListParagraph"/>
        <w:spacing w:line="360" w:lineRule="auto"/>
        <w:ind w:left="390"/>
        <w:jc w:val="both"/>
        <w:rPr>
          <w:rFonts w:ascii="Times New Roman" w:hAnsi="Times New Roman" w:cs="Times New Roman"/>
          <w:sz w:val="24"/>
          <w:szCs w:val="24"/>
        </w:rPr>
      </w:pPr>
      <w:r>
        <w:rPr>
          <w:rFonts w:ascii="Times New Roman" w:hAnsi="Times New Roman" w:cs="Times New Roman"/>
          <w:sz w:val="24"/>
          <w:szCs w:val="24"/>
        </w:rPr>
        <w:t xml:space="preserve">• M4S: The CTD - </w:t>
      </w:r>
      <w:r w:rsidR="00C511B6" w:rsidRPr="00C511B6">
        <w:rPr>
          <w:rFonts w:ascii="Times New Roman" w:hAnsi="Times New Roman" w:cs="Times New Roman"/>
          <w:sz w:val="24"/>
          <w:szCs w:val="24"/>
        </w:rPr>
        <w:t xml:space="preserve">Safety </w:t>
      </w:r>
    </w:p>
    <w:p w14:paraId="18BA10BB" w14:textId="77777777" w:rsidR="00C511B6" w:rsidRDefault="00AB53D5" w:rsidP="00FA6C99">
      <w:pPr>
        <w:pStyle w:val="ListParagraph"/>
        <w:spacing w:line="360" w:lineRule="auto"/>
        <w:ind w:left="390"/>
        <w:jc w:val="both"/>
        <w:rPr>
          <w:rFonts w:ascii="Times New Roman" w:hAnsi="Times New Roman" w:cs="Times New Roman"/>
          <w:sz w:val="24"/>
          <w:szCs w:val="24"/>
        </w:rPr>
      </w:pPr>
      <w:r>
        <w:rPr>
          <w:rFonts w:ascii="Times New Roman" w:hAnsi="Times New Roman" w:cs="Times New Roman"/>
          <w:sz w:val="24"/>
          <w:szCs w:val="24"/>
        </w:rPr>
        <w:t xml:space="preserve">• M4E: The CTD - </w:t>
      </w:r>
      <w:r w:rsidR="00C511B6" w:rsidRPr="00C511B6">
        <w:rPr>
          <w:rFonts w:ascii="Times New Roman" w:hAnsi="Times New Roman" w:cs="Times New Roman"/>
          <w:sz w:val="24"/>
          <w:szCs w:val="24"/>
        </w:rPr>
        <w:t>Efficacy.</w:t>
      </w:r>
    </w:p>
    <w:p w14:paraId="3520964C" w14:textId="77777777" w:rsidR="00C511B6" w:rsidRPr="00CE1CB5" w:rsidRDefault="00C511B6" w:rsidP="00FA6C99">
      <w:pPr>
        <w:pStyle w:val="ListParagraph"/>
        <w:spacing w:line="360" w:lineRule="auto"/>
        <w:ind w:left="390"/>
        <w:jc w:val="both"/>
        <w:rPr>
          <w:rFonts w:ascii="Times New Roman" w:hAnsi="Times New Roman" w:cs="Times New Roman"/>
          <w:b/>
          <w:sz w:val="24"/>
          <w:szCs w:val="24"/>
        </w:rPr>
      </w:pPr>
      <w:r w:rsidRPr="00CE1CB5">
        <w:rPr>
          <w:rFonts w:ascii="Times New Roman" w:hAnsi="Times New Roman" w:cs="Times New Roman"/>
          <w:b/>
          <w:sz w:val="24"/>
          <w:szCs w:val="24"/>
        </w:rPr>
        <w:t xml:space="preserve">Module 3 </w:t>
      </w:r>
      <w:r w:rsidR="00CE1CB5" w:rsidRPr="00CE1CB5">
        <w:rPr>
          <w:rFonts w:ascii="Times New Roman" w:hAnsi="Times New Roman" w:cs="Times New Roman"/>
          <w:b/>
          <w:sz w:val="24"/>
          <w:szCs w:val="24"/>
        </w:rPr>
        <w:t>Quality</w:t>
      </w:r>
    </w:p>
    <w:p w14:paraId="3E32BC93" w14:textId="77777777" w:rsidR="00CE1CB5" w:rsidRPr="00CE1CB5" w:rsidRDefault="00C511B6" w:rsidP="00FA6C99">
      <w:pPr>
        <w:pStyle w:val="ListParagraph"/>
        <w:spacing w:line="360" w:lineRule="auto"/>
        <w:ind w:left="390"/>
        <w:jc w:val="both"/>
        <w:rPr>
          <w:rFonts w:ascii="Times New Roman" w:hAnsi="Times New Roman" w:cs="Times New Roman"/>
          <w:sz w:val="24"/>
          <w:szCs w:val="24"/>
        </w:rPr>
      </w:pPr>
      <w:r w:rsidRPr="00CE1CB5">
        <w:rPr>
          <w:rFonts w:ascii="Times New Roman" w:hAnsi="Times New Roman" w:cs="Times New Roman"/>
          <w:sz w:val="24"/>
          <w:szCs w:val="24"/>
        </w:rPr>
        <w:t xml:space="preserve">Information on Quality is presented in the structured format as described in the guidance, M4Q. </w:t>
      </w:r>
    </w:p>
    <w:p w14:paraId="3B791A83" w14:textId="77777777" w:rsidR="00CE1CB5" w:rsidRPr="00CE1CB5" w:rsidRDefault="00C511B6" w:rsidP="00FA6C99">
      <w:pPr>
        <w:pStyle w:val="ListParagraph"/>
        <w:spacing w:line="360" w:lineRule="auto"/>
        <w:ind w:left="390"/>
        <w:jc w:val="both"/>
        <w:rPr>
          <w:rFonts w:ascii="Times New Roman" w:hAnsi="Times New Roman" w:cs="Times New Roman"/>
          <w:sz w:val="24"/>
          <w:szCs w:val="24"/>
        </w:rPr>
      </w:pPr>
      <w:r w:rsidRPr="00CE1CB5">
        <w:rPr>
          <w:rFonts w:ascii="Times New Roman" w:hAnsi="Times New Roman" w:cs="Times New Roman"/>
          <w:b/>
          <w:sz w:val="24"/>
          <w:szCs w:val="24"/>
        </w:rPr>
        <w:t>Module 4 Non-clinical Study Reports</w:t>
      </w:r>
      <w:r w:rsidRPr="00CE1CB5">
        <w:rPr>
          <w:rFonts w:ascii="Times New Roman" w:hAnsi="Times New Roman" w:cs="Times New Roman"/>
          <w:sz w:val="24"/>
          <w:szCs w:val="24"/>
        </w:rPr>
        <w:t xml:space="preserve"> </w:t>
      </w:r>
    </w:p>
    <w:p w14:paraId="2FFAD587" w14:textId="77777777" w:rsidR="00CE1CB5" w:rsidRPr="00CE1CB5" w:rsidRDefault="00C511B6" w:rsidP="00FA6C99">
      <w:pPr>
        <w:pStyle w:val="ListParagraph"/>
        <w:spacing w:line="360" w:lineRule="auto"/>
        <w:ind w:left="390"/>
        <w:jc w:val="both"/>
        <w:rPr>
          <w:rFonts w:ascii="Times New Roman" w:hAnsi="Times New Roman" w:cs="Times New Roman"/>
          <w:sz w:val="24"/>
          <w:szCs w:val="24"/>
        </w:rPr>
      </w:pPr>
      <w:r w:rsidRPr="00CE1CB5">
        <w:rPr>
          <w:rFonts w:ascii="Times New Roman" w:hAnsi="Times New Roman" w:cs="Times New Roman"/>
          <w:sz w:val="24"/>
          <w:szCs w:val="24"/>
        </w:rPr>
        <w:t xml:space="preserve">The Nonclinical Study Reports is presented in the order as described in the guidance, M4S. </w:t>
      </w:r>
    </w:p>
    <w:p w14:paraId="44DE6FE3" w14:textId="77777777" w:rsidR="00CE1CB5" w:rsidRPr="00CE1CB5" w:rsidRDefault="00C511B6" w:rsidP="00FA6C99">
      <w:pPr>
        <w:pStyle w:val="ListParagraph"/>
        <w:spacing w:line="360" w:lineRule="auto"/>
        <w:ind w:left="390"/>
        <w:jc w:val="both"/>
        <w:rPr>
          <w:rFonts w:ascii="Times New Roman" w:hAnsi="Times New Roman" w:cs="Times New Roman"/>
          <w:sz w:val="24"/>
          <w:szCs w:val="24"/>
        </w:rPr>
      </w:pPr>
      <w:r w:rsidRPr="00CE1CB5">
        <w:rPr>
          <w:rFonts w:ascii="Times New Roman" w:hAnsi="Times New Roman" w:cs="Times New Roman"/>
          <w:b/>
          <w:sz w:val="24"/>
          <w:szCs w:val="24"/>
        </w:rPr>
        <w:t>Module 5 Clinical Study Reports</w:t>
      </w:r>
      <w:r w:rsidRPr="00CE1CB5">
        <w:rPr>
          <w:rFonts w:ascii="Times New Roman" w:hAnsi="Times New Roman" w:cs="Times New Roman"/>
          <w:sz w:val="24"/>
          <w:szCs w:val="24"/>
        </w:rPr>
        <w:t xml:space="preserve"> </w:t>
      </w:r>
    </w:p>
    <w:p w14:paraId="24773B1F" w14:textId="77777777" w:rsidR="00C511B6" w:rsidRPr="00CE1CB5" w:rsidRDefault="00C511B6" w:rsidP="00FA6C99">
      <w:pPr>
        <w:pStyle w:val="ListParagraph"/>
        <w:spacing w:line="360" w:lineRule="auto"/>
        <w:ind w:left="390"/>
        <w:jc w:val="both"/>
        <w:rPr>
          <w:rFonts w:ascii="Times New Roman" w:hAnsi="Times New Roman" w:cs="Times New Roman"/>
          <w:sz w:val="24"/>
          <w:szCs w:val="24"/>
        </w:rPr>
      </w:pPr>
      <w:r w:rsidRPr="00CE1CB5">
        <w:rPr>
          <w:rFonts w:ascii="Times New Roman" w:hAnsi="Times New Roman" w:cs="Times New Roman"/>
          <w:sz w:val="24"/>
          <w:szCs w:val="24"/>
        </w:rPr>
        <w:t>The human study reports and related information are presented in the order as described in the guidance M4E.</w:t>
      </w:r>
    </w:p>
    <w:p w14:paraId="0D23DE12" w14:textId="77777777" w:rsidR="00CE1CB5" w:rsidRPr="00CE1CB5" w:rsidRDefault="00CE1CB5" w:rsidP="00FA6C99">
      <w:pPr>
        <w:pStyle w:val="ListParagraph"/>
        <w:spacing w:line="360" w:lineRule="auto"/>
        <w:ind w:left="390"/>
        <w:jc w:val="both"/>
        <w:rPr>
          <w:rFonts w:ascii="Times New Roman" w:hAnsi="Times New Roman" w:cs="Times New Roman"/>
          <w:sz w:val="24"/>
          <w:szCs w:val="24"/>
        </w:rPr>
      </w:pPr>
      <w:r w:rsidRPr="00CE1CB5">
        <w:rPr>
          <w:rFonts w:ascii="Times New Roman" w:hAnsi="Times New Roman" w:cs="Times New Roman"/>
          <w:b/>
          <w:sz w:val="24"/>
          <w:szCs w:val="24"/>
        </w:rPr>
        <w:t>DRUG APPROVAL PROCEDURES IN EU</w:t>
      </w:r>
      <w:r w:rsidRPr="00CE1CB5">
        <w:rPr>
          <w:rFonts w:ascii="Times New Roman" w:hAnsi="Times New Roman" w:cs="Times New Roman"/>
          <w:sz w:val="24"/>
          <w:szCs w:val="24"/>
        </w:rPr>
        <w:t xml:space="preserve"> </w:t>
      </w:r>
    </w:p>
    <w:p w14:paraId="340B08CB" w14:textId="77777777" w:rsidR="00CE1CB5" w:rsidRPr="00CE1CB5" w:rsidRDefault="00CE1CB5" w:rsidP="00FA6C99">
      <w:pPr>
        <w:pStyle w:val="ListParagraph"/>
        <w:spacing w:line="360" w:lineRule="auto"/>
        <w:ind w:left="390"/>
        <w:jc w:val="both"/>
        <w:rPr>
          <w:rFonts w:ascii="Times New Roman" w:hAnsi="Times New Roman" w:cs="Times New Roman"/>
          <w:sz w:val="24"/>
          <w:szCs w:val="24"/>
        </w:rPr>
      </w:pPr>
      <w:r w:rsidRPr="00CE1CB5">
        <w:rPr>
          <w:rFonts w:ascii="Times New Roman" w:hAnsi="Times New Roman" w:cs="Times New Roman"/>
          <w:sz w:val="24"/>
          <w:szCs w:val="24"/>
        </w:rPr>
        <w:lastRenderedPageBreak/>
        <w:t xml:space="preserve">Medicinal products are highly regulated in the European Union (EU) and are subject to a separate, complicated system of approval procedures. The marketing authorization procedure is applicable to European economic area (EEA) which includes 27 EU member states and the three EEA EFTA states (Iceland, Liechtenstein, and Norway). Hence, EEA constitutes a total of 30 countries. The primary purpose of the rules governing medicinal products is to safeguard public health. The objective of the pharmaceutical legislation of the European Community is to protect public health and to monitor the free movement of medicinal products. The regulation of medicinal products is governed in the EU/EEA by directive 2001/81/EC relating to medicinal products (the Directive). The EMA is a decentralized body of the European Union with headquarters in London. The main scientific work of the agency is conducted by the six scientific committees (CHMP, CVMP, COMP, HMPC, PDCO, CAT) and members of all EU and EEA-EFTA states to place a medicinal on the market in the European Economic Area (EEA) a Marketing Authorization have been issued by the competent authority of a Member State (or EEA country) for its own territory (national authorization) or when an authorization has been granted in accordance with Regulation (EC) No 726/2004 for the entire Community (a community authorization). </w:t>
      </w:r>
    </w:p>
    <w:p w14:paraId="265D2CB0" w14:textId="77777777" w:rsidR="00CE1CB5" w:rsidRPr="00CE1CB5" w:rsidRDefault="00CE1CB5" w:rsidP="00FA6C99">
      <w:pPr>
        <w:pStyle w:val="ListParagraph"/>
        <w:spacing w:line="360" w:lineRule="auto"/>
        <w:ind w:left="390"/>
        <w:jc w:val="both"/>
        <w:rPr>
          <w:rFonts w:ascii="Times New Roman" w:hAnsi="Times New Roman" w:cs="Times New Roman"/>
          <w:sz w:val="24"/>
          <w:szCs w:val="24"/>
        </w:rPr>
      </w:pPr>
      <w:r w:rsidRPr="00CE1CB5">
        <w:rPr>
          <w:rFonts w:ascii="Times New Roman" w:hAnsi="Times New Roman" w:cs="Times New Roman"/>
          <w:b/>
          <w:sz w:val="24"/>
          <w:szCs w:val="24"/>
        </w:rPr>
        <w:t>Marketing authorization procedures in EU</w:t>
      </w:r>
      <w:r w:rsidRPr="00CE1CB5">
        <w:rPr>
          <w:rFonts w:ascii="Times New Roman" w:hAnsi="Times New Roman" w:cs="Times New Roman"/>
          <w:sz w:val="24"/>
          <w:szCs w:val="24"/>
        </w:rPr>
        <w:t xml:space="preserve"> </w:t>
      </w:r>
    </w:p>
    <w:p w14:paraId="5F8826B7" w14:textId="77777777" w:rsidR="00CE1CB5" w:rsidRPr="00CE1CB5" w:rsidRDefault="00CE1CB5" w:rsidP="00CE1CB5">
      <w:pPr>
        <w:pStyle w:val="ListParagraph"/>
        <w:numPr>
          <w:ilvl w:val="0"/>
          <w:numId w:val="2"/>
        </w:numPr>
        <w:spacing w:line="360" w:lineRule="auto"/>
        <w:jc w:val="both"/>
        <w:rPr>
          <w:rFonts w:ascii="Times New Roman" w:hAnsi="Times New Roman" w:cs="Times New Roman"/>
          <w:sz w:val="24"/>
          <w:szCs w:val="24"/>
        </w:rPr>
      </w:pPr>
      <w:r w:rsidRPr="00CE1CB5">
        <w:rPr>
          <w:rFonts w:ascii="Times New Roman" w:hAnsi="Times New Roman" w:cs="Times New Roman"/>
          <w:sz w:val="24"/>
          <w:szCs w:val="24"/>
        </w:rPr>
        <w:t xml:space="preserve">Centralized Procedure (CP) </w:t>
      </w:r>
    </w:p>
    <w:p w14:paraId="05421EF7" w14:textId="77777777" w:rsidR="00CE1CB5" w:rsidRPr="00CE1CB5" w:rsidRDefault="00CE1CB5" w:rsidP="00CE1CB5">
      <w:pPr>
        <w:pStyle w:val="ListParagraph"/>
        <w:numPr>
          <w:ilvl w:val="0"/>
          <w:numId w:val="2"/>
        </w:numPr>
        <w:spacing w:line="360" w:lineRule="auto"/>
        <w:jc w:val="both"/>
        <w:rPr>
          <w:rFonts w:ascii="Times New Roman" w:hAnsi="Times New Roman" w:cs="Times New Roman"/>
          <w:sz w:val="24"/>
          <w:szCs w:val="24"/>
        </w:rPr>
      </w:pPr>
      <w:r w:rsidRPr="00CE1CB5">
        <w:rPr>
          <w:rFonts w:ascii="Times New Roman" w:hAnsi="Times New Roman" w:cs="Times New Roman"/>
          <w:sz w:val="24"/>
          <w:szCs w:val="24"/>
        </w:rPr>
        <w:t xml:space="preserve">National Procedure (NP) </w:t>
      </w:r>
    </w:p>
    <w:p w14:paraId="54AA8D18" w14:textId="77777777" w:rsidR="00CE1CB5" w:rsidRPr="00CE1CB5" w:rsidRDefault="00CE1CB5" w:rsidP="00CE1CB5">
      <w:pPr>
        <w:pStyle w:val="ListParagraph"/>
        <w:numPr>
          <w:ilvl w:val="0"/>
          <w:numId w:val="2"/>
        </w:numPr>
        <w:spacing w:line="360" w:lineRule="auto"/>
        <w:jc w:val="both"/>
        <w:rPr>
          <w:rFonts w:ascii="Times New Roman" w:hAnsi="Times New Roman" w:cs="Times New Roman"/>
          <w:sz w:val="24"/>
          <w:szCs w:val="24"/>
        </w:rPr>
      </w:pPr>
      <w:r w:rsidRPr="00CE1CB5">
        <w:rPr>
          <w:rFonts w:ascii="Times New Roman" w:hAnsi="Times New Roman" w:cs="Times New Roman"/>
          <w:sz w:val="24"/>
          <w:szCs w:val="24"/>
        </w:rPr>
        <w:t xml:space="preserve">Mutual Recognition Procedure (MRP) </w:t>
      </w:r>
    </w:p>
    <w:p w14:paraId="2DF3C7BB" w14:textId="77777777" w:rsidR="00CE1CB5" w:rsidRDefault="00CE1CB5" w:rsidP="00CE1CB5">
      <w:pPr>
        <w:pStyle w:val="ListParagraph"/>
        <w:numPr>
          <w:ilvl w:val="0"/>
          <w:numId w:val="2"/>
        </w:numPr>
        <w:spacing w:line="360" w:lineRule="auto"/>
        <w:jc w:val="both"/>
        <w:rPr>
          <w:rFonts w:ascii="Times New Roman" w:hAnsi="Times New Roman" w:cs="Times New Roman"/>
          <w:sz w:val="24"/>
          <w:szCs w:val="24"/>
        </w:rPr>
      </w:pPr>
      <w:r w:rsidRPr="00CE1CB5">
        <w:rPr>
          <w:rFonts w:ascii="Times New Roman" w:hAnsi="Times New Roman" w:cs="Times New Roman"/>
          <w:sz w:val="24"/>
          <w:szCs w:val="24"/>
        </w:rPr>
        <w:t>Decentralized Procedure (DCP)</w:t>
      </w:r>
    </w:p>
    <w:p w14:paraId="7C422DFE" w14:textId="77777777" w:rsidR="00CE1CB5" w:rsidRPr="00D11DBE" w:rsidRDefault="00CE1CB5" w:rsidP="00CE1CB5">
      <w:pPr>
        <w:spacing w:line="360" w:lineRule="auto"/>
        <w:ind w:left="390"/>
        <w:jc w:val="both"/>
        <w:rPr>
          <w:rFonts w:ascii="Times New Roman" w:hAnsi="Times New Roman" w:cs="Times New Roman"/>
          <w:sz w:val="24"/>
          <w:szCs w:val="24"/>
        </w:rPr>
      </w:pPr>
      <w:r w:rsidRPr="00D11DBE">
        <w:rPr>
          <w:rFonts w:ascii="Times New Roman" w:hAnsi="Times New Roman" w:cs="Times New Roman"/>
          <w:b/>
          <w:sz w:val="24"/>
          <w:szCs w:val="24"/>
        </w:rPr>
        <w:t>DRUG APPROVAL PROCEDURE IN US (ANDA)</w:t>
      </w:r>
      <w:r w:rsidRPr="00D11DBE">
        <w:rPr>
          <w:rFonts w:ascii="Times New Roman" w:hAnsi="Times New Roman" w:cs="Times New Roman"/>
          <w:sz w:val="24"/>
          <w:szCs w:val="24"/>
        </w:rPr>
        <w:t xml:space="preserve"> </w:t>
      </w:r>
    </w:p>
    <w:p w14:paraId="11EB5A0B" w14:textId="77777777" w:rsidR="00CE1CB5" w:rsidRPr="00D11DBE" w:rsidRDefault="00CE1CB5" w:rsidP="00CE1CB5">
      <w:pPr>
        <w:spacing w:line="360" w:lineRule="auto"/>
        <w:ind w:left="390"/>
        <w:jc w:val="both"/>
        <w:rPr>
          <w:rFonts w:ascii="Times New Roman" w:hAnsi="Times New Roman" w:cs="Times New Roman"/>
          <w:b/>
          <w:sz w:val="24"/>
          <w:szCs w:val="24"/>
        </w:rPr>
      </w:pPr>
      <w:r w:rsidRPr="00D11DBE">
        <w:rPr>
          <w:rFonts w:ascii="Times New Roman" w:hAnsi="Times New Roman" w:cs="Times New Roman"/>
          <w:b/>
          <w:sz w:val="24"/>
          <w:szCs w:val="24"/>
        </w:rPr>
        <w:t>Hatch</w:t>
      </w:r>
      <w:r w:rsidR="00AB53D5">
        <w:rPr>
          <w:rFonts w:ascii="Times New Roman" w:hAnsi="Times New Roman" w:cs="Times New Roman"/>
          <w:b/>
          <w:sz w:val="24"/>
          <w:szCs w:val="24"/>
        </w:rPr>
        <w:t xml:space="preserve"> </w:t>
      </w:r>
      <w:r w:rsidRPr="00D11DBE">
        <w:rPr>
          <w:rFonts w:ascii="Times New Roman" w:hAnsi="Times New Roman" w:cs="Times New Roman"/>
          <w:b/>
          <w:sz w:val="24"/>
          <w:szCs w:val="24"/>
        </w:rPr>
        <w:t>-- Waxman Act</w:t>
      </w:r>
    </w:p>
    <w:p w14:paraId="0CEA19B6" w14:textId="77777777" w:rsidR="00CE1CB5" w:rsidRPr="00D11DBE" w:rsidRDefault="00CE1CB5" w:rsidP="00CE1CB5">
      <w:pPr>
        <w:spacing w:line="360" w:lineRule="auto"/>
        <w:ind w:left="390"/>
        <w:jc w:val="both"/>
        <w:rPr>
          <w:rFonts w:ascii="Times New Roman" w:hAnsi="Times New Roman" w:cs="Times New Roman"/>
          <w:sz w:val="24"/>
          <w:szCs w:val="24"/>
        </w:rPr>
      </w:pPr>
      <w:r w:rsidRPr="00D11DBE">
        <w:rPr>
          <w:rFonts w:ascii="Times New Roman" w:hAnsi="Times New Roman" w:cs="Times New Roman"/>
          <w:sz w:val="24"/>
          <w:szCs w:val="24"/>
        </w:rPr>
        <w:t xml:space="preserve"> In 1984, Hatch- Waxman Amendments to Federal Food, Drug and Cosmetic Act (FD&amp;C Act) came and it was considered one of the most successful pieces of legislation ever passed and created the generic drug industry (Drug Price Competition and Patent Term Restoration Act of 1984). The act required FDA to publish received patent information and began printing the patent listings in a volume entitled Approved Drug Products with Therapeutic Equivalence – Orange Book. Under this act four types of certifications are possible.</w:t>
      </w:r>
    </w:p>
    <w:p w14:paraId="0BE91A0F" w14:textId="77777777" w:rsidR="00CE1CB5" w:rsidRPr="00D11DBE" w:rsidRDefault="00CE1CB5" w:rsidP="00CE1CB5">
      <w:pPr>
        <w:spacing w:line="360" w:lineRule="auto"/>
        <w:ind w:left="390"/>
        <w:jc w:val="both"/>
        <w:rPr>
          <w:rFonts w:ascii="Times New Roman" w:hAnsi="Times New Roman" w:cs="Times New Roman"/>
          <w:sz w:val="24"/>
          <w:szCs w:val="24"/>
        </w:rPr>
      </w:pPr>
      <w:r w:rsidRPr="00D11DBE">
        <w:rPr>
          <w:rFonts w:ascii="Times New Roman" w:hAnsi="Times New Roman" w:cs="Times New Roman"/>
          <w:sz w:val="24"/>
          <w:szCs w:val="24"/>
        </w:rPr>
        <w:t xml:space="preserve"> They are</w:t>
      </w:r>
    </w:p>
    <w:p w14:paraId="08997B1C" w14:textId="77777777" w:rsidR="00CE1CB5" w:rsidRPr="00D11DBE" w:rsidRDefault="00CE1CB5" w:rsidP="00CE1CB5">
      <w:pPr>
        <w:spacing w:line="360" w:lineRule="auto"/>
        <w:ind w:left="390"/>
        <w:jc w:val="both"/>
        <w:rPr>
          <w:rFonts w:ascii="Times New Roman" w:hAnsi="Times New Roman" w:cs="Times New Roman"/>
          <w:sz w:val="24"/>
          <w:szCs w:val="24"/>
        </w:rPr>
      </w:pPr>
      <w:r w:rsidRPr="00D11DBE">
        <w:rPr>
          <w:rFonts w:ascii="Times New Roman" w:hAnsi="Times New Roman" w:cs="Times New Roman"/>
          <w:sz w:val="24"/>
          <w:szCs w:val="24"/>
        </w:rPr>
        <w:lastRenderedPageBreak/>
        <w:t xml:space="preserve"> • Paragraph I certification states that the application does not cite patented Information previously listed in the Orange Book </w:t>
      </w:r>
    </w:p>
    <w:p w14:paraId="0314837E" w14:textId="77777777" w:rsidR="00CE1CB5" w:rsidRPr="00D11DBE" w:rsidRDefault="00CE1CB5" w:rsidP="00CE1CB5">
      <w:pPr>
        <w:spacing w:line="360" w:lineRule="auto"/>
        <w:ind w:left="390"/>
        <w:jc w:val="both"/>
        <w:rPr>
          <w:rFonts w:ascii="Times New Roman" w:hAnsi="Times New Roman" w:cs="Times New Roman"/>
          <w:sz w:val="24"/>
          <w:szCs w:val="24"/>
        </w:rPr>
      </w:pPr>
      <w:r w:rsidRPr="00D11DBE">
        <w:rPr>
          <w:rFonts w:ascii="Times New Roman" w:hAnsi="Times New Roman" w:cs="Times New Roman"/>
          <w:sz w:val="24"/>
          <w:szCs w:val="24"/>
        </w:rPr>
        <w:t xml:space="preserve">• Paragraph II certification states that the patented information cited in the Application, and listed in the Orange Book, has expired. </w:t>
      </w:r>
    </w:p>
    <w:p w14:paraId="45053398" w14:textId="77777777" w:rsidR="00CE1CB5" w:rsidRPr="00D11DBE" w:rsidRDefault="00CE1CB5" w:rsidP="00CE1CB5">
      <w:pPr>
        <w:spacing w:line="360" w:lineRule="auto"/>
        <w:ind w:left="390"/>
        <w:jc w:val="both"/>
        <w:rPr>
          <w:rFonts w:ascii="Times New Roman" w:hAnsi="Times New Roman" w:cs="Times New Roman"/>
          <w:sz w:val="24"/>
          <w:szCs w:val="24"/>
        </w:rPr>
      </w:pPr>
      <w:r w:rsidRPr="00D11DBE">
        <w:rPr>
          <w:rFonts w:ascii="Times New Roman" w:hAnsi="Times New Roman" w:cs="Times New Roman"/>
          <w:sz w:val="24"/>
          <w:szCs w:val="24"/>
        </w:rPr>
        <w:t>• Paragraph III certification states the date on which the listed Orange Book. Patents for the information cited in the ANDA application will expire</w:t>
      </w:r>
    </w:p>
    <w:p w14:paraId="7399183F" w14:textId="77777777" w:rsidR="00CE1CB5" w:rsidRPr="00D11DBE" w:rsidRDefault="00CE1CB5" w:rsidP="00CE1CB5">
      <w:pPr>
        <w:spacing w:line="360" w:lineRule="auto"/>
        <w:ind w:left="390"/>
        <w:jc w:val="both"/>
        <w:rPr>
          <w:rFonts w:ascii="Times New Roman" w:hAnsi="Times New Roman" w:cs="Times New Roman"/>
          <w:sz w:val="24"/>
          <w:szCs w:val="24"/>
        </w:rPr>
      </w:pPr>
      <w:r w:rsidRPr="00D11DBE">
        <w:rPr>
          <w:rFonts w:ascii="Times New Roman" w:hAnsi="Times New Roman" w:cs="Times New Roman"/>
          <w:sz w:val="24"/>
          <w:szCs w:val="24"/>
        </w:rPr>
        <w:t xml:space="preserve"> • Paragraph IV certification attests to the manufacturer‘s opinion that the listed Orange Book patent is invalid, or will not be infringed by the use, manufacture, or sale of the new drug for which the ANDA is submitted.</w:t>
      </w:r>
    </w:p>
    <w:p w14:paraId="53442B69" w14:textId="77777777" w:rsidR="00CE1CB5" w:rsidRPr="00D11DBE" w:rsidRDefault="00CE1CB5" w:rsidP="00CE1CB5">
      <w:pPr>
        <w:spacing w:line="360" w:lineRule="auto"/>
        <w:ind w:left="390"/>
        <w:jc w:val="both"/>
        <w:rPr>
          <w:rFonts w:ascii="Times New Roman" w:hAnsi="Times New Roman" w:cs="Times New Roman"/>
          <w:sz w:val="24"/>
          <w:szCs w:val="24"/>
        </w:rPr>
      </w:pPr>
      <w:r w:rsidRPr="00D11DBE">
        <w:rPr>
          <w:rFonts w:ascii="Times New Roman" w:hAnsi="Times New Roman" w:cs="Times New Roman"/>
          <w:sz w:val="24"/>
          <w:szCs w:val="24"/>
        </w:rPr>
        <w:t xml:space="preserve">Generic manufacturers filing Paragraph IV certifications were required to provide notice to the relevant pioneer drug companies and patent holders explaining why the listed patents cited in the ANDA were either invalid or not infringed by the ANDA Submission. At the same time an NDA or patent holder could file a valid infringement suit within 45 days of receipt of a Paragraph IV notice. In addition, the Act created an automatic thirty-month window in which the patent infringement dispute could be litigated without risk of generic entry into the market. The effective date of FDA approval was delayed until a judicial ruling on the infringement of validity of the patent, or until thirty months have elapsed, whichever occurred sooner. </w:t>
      </w:r>
    </w:p>
    <w:p w14:paraId="7942452A" w14:textId="77777777" w:rsidR="00CE1CB5" w:rsidRPr="00D11DBE" w:rsidRDefault="00CE1CB5" w:rsidP="00CE1CB5">
      <w:pPr>
        <w:spacing w:line="360" w:lineRule="auto"/>
        <w:ind w:left="390"/>
        <w:jc w:val="both"/>
        <w:rPr>
          <w:rFonts w:ascii="Times New Roman" w:hAnsi="Times New Roman" w:cs="Times New Roman"/>
          <w:sz w:val="24"/>
          <w:szCs w:val="24"/>
        </w:rPr>
      </w:pPr>
      <w:r w:rsidRPr="00D11DBE">
        <w:rPr>
          <w:rFonts w:ascii="Times New Roman" w:hAnsi="Times New Roman" w:cs="Times New Roman"/>
          <w:sz w:val="24"/>
          <w:szCs w:val="24"/>
        </w:rPr>
        <w:t>The Act provided additional incentives to the generic companies in the form of a marketing exclusivity provision. The first company that filed an ANDA with a Paragraph IV certification as to a particular patent or patents was granted a 180-day monopoly by the FDA. During this time, the FDA would not give any other ANDA approval for subsequent generics for 180 days. Thus, this act made following three important provisions: I) it provided for the extension of the term of one existing patent for innovator drugs; II) it made provisions for the marketing of generics of patented drugs on the day after patent expiry; and III) it provided opportunities to challenge the validity of patents issued to innovator drug companies</w:t>
      </w:r>
    </w:p>
    <w:p w14:paraId="7E645D48" w14:textId="77777777" w:rsidR="00CE1CB5" w:rsidRPr="00D11DBE" w:rsidRDefault="00CE1CB5" w:rsidP="00CE1CB5">
      <w:pPr>
        <w:spacing w:line="360" w:lineRule="auto"/>
        <w:ind w:left="390"/>
        <w:jc w:val="both"/>
        <w:rPr>
          <w:rFonts w:ascii="Times New Roman" w:hAnsi="Times New Roman" w:cs="Times New Roman"/>
          <w:b/>
          <w:sz w:val="24"/>
          <w:szCs w:val="24"/>
        </w:rPr>
      </w:pPr>
      <w:r w:rsidRPr="00D11DBE">
        <w:rPr>
          <w:rFonts w:ascii="Times New Roman" w:hAnsi="Times New Roman" w:cs="Times New Roman"/>
          <w:b/>
          <w:sz w:val="24"/>
          <w:szCs w:val="24"/>
        </w:rPr>
        <w:t>Filling Review of ANDA</w:t>
      </w:r>
    </w:p>
    <w:p w14:paraId="6B5B8B44" w14:textId="77777777" w:rsidR="00CE1CB5" w:rsidRPr="00D11DBE" w:rsidRDefault="00CE1CB5" w:rsidP="00CE1CB5">
      <w:pPr>
        <w:spacing w:line="360" w:lineRule="auto"/>
        <w:ind w:left="390"/>
        <w:jc w:val="both"/>
        <w:rPr>
          <w:rFonts w:ascii="Times New Roman" w:hAnsi="Times New Roman" w:cs="Times New Roman"/>
          <w:sz w:val="24"/>
          <w:szCs w:val="24"/>
        </w:rPr>
      </w:pPr>
      <w:r w:rsidRPr="00D11DBE">
        <w:rPr>
          <w:rFonts w:ascii="Times New Roman" w:hAnsi="Times New Roman" w:cs="Times New Roman"/>
          <w:sz w:val="24"/>
          <w:szCs w:val="24"/>
        </w:rPr>
        <w:t xml:space="preserve">The ANDA process begins when an applicant submits an ANDA to the OGD. The document room staff processes the ANDA, assigns it an ANDA number, and stamps a received date on the cover letter of the ANDA. The ANDA is then sent to a consumer </w:t>
      </w:r>
      <w:r w:rsidRPr="00D11DBE">
        <w:rPr>
          <w:rFonts w:ascii="Times New Roman" w:hAnsi="Times New Roman" w:cs="Times New Roman"/>
          <w:sz w:val="24"/>
          <w:szCs w:val="24"/>
        </w:rPr>
        <w:lastRenderedPageBreak/>
        <w:t>safety technician, who reviews the preliminary sections of the ANDA Checklist. Within the first 60 days following the submission of an ANDA, a filling review is completed. The Regulatory Support Branch (RSB) is responsible for the filling review. The RSB ensures that the ANDAs contain the information necessary to merit a technical review. To determine whether an application is acceptable for filling, an RSB project manager (RPM) compares the contents of each section of Application against a list of regulatory requirements.</w:t>
      </w:r>
    </w:p>
    <w:p w14:paraId="31FA9023" w14:textId="77777777" w:rsidR="00D11DBE" w:rsidRPr="00D11DBE" w:rsidRDefault="00CE1CB5" w:rsidP="00CE1CB5">
      <w:pPr>
        <w:spacing w:line="360" w:lineRule="auto"/>
        <w:ind w:left="390"/>
        <w:jc w:val="both"/>
        <w:rPr>
          <w:rFonts w:ascii="Times New Roman" w:hAnsi="Times New Roman" w:cs="Times New Roman"/>
          <w:sz w:val="24"/>
          <w:szCs w:val="24"/>
        </w:rPr>
      </w:pPr>
      <w:r w:rsidRPr="00D11DBE">
        <w:rPr>
          <w:rFonts w:ascii="Times New Roman" w:hAnsi="Times New Roman" w:cs="Times New Roman"/>
          <w:b/>
          <w:sz w:val="24"/>
          <w:szCs w:val="24"/>
        </w:rPr>
        <w:t>Bioequivalence Review Process</w:t>
      </w:r>
      <w:r w:rsidRPr="00D11DBE">
        <w:rPr>
          <w:rFonts w:ascii="Times New Roman" w:hAnsi="Times New Roman" w:cs="Times New Roman"/>
          <w:sz w:val="24"/>
          <w:szCs w:val="24"/>
        </w:rPr>
        <w:t xml:space="preserve"> </w:t>
      </w:r>
    </w:p>
    <w:p w14:paraId="74785FDC" w14:textId="77777777" w:rsidR="00D11DBE" w:rsidRPr="00D11DBE" w:rsidRDefault="00CE1CB5" w:rsidP="00CE1CB5">
      <w:pPr>
        <w:spacing w:line="360" w:lineRule="auto"/>
        <w:ind w:left="390"/>
        <w:jc w:val="both"/>
        <w:rPr>
          <w:rFonts w:ascii="Times New Roman" w:hAnsi="Times New Roman" w:cs="Times New Roman"/>
          <w:sz w:val="24"/>
          <w:szCs w:val="24"/>
        </w:rPr>
      </w:pPr>
      <w:r w:rsidRPr="00D11DBE">
        <w:rPr>
          <w:rFonts w:ascii="Times New Roman" w:hAnsi="Times New Roman" w:cs="Times New Roman"/>
          <w:sz w:val="24"/>
          <w:szCs w:val="24"/>
        </w:rPr>
        <w:t xml:space="preserve">After an ANDA is accepted for filing by the RSB, the bioequivalence section is assigned to the Division of Bioequivalence (DBE) to review. The bioequivalence review process establishes bioequivalence between a proposed generic drug and the RLD. Bioequivalence is established when the ratio of the means of the test product compared to the reference product (T = R) of the pharmacokinetic parameters for rate (Cmax) and extent of absorption (AUC) of log transformed data meet the 90% confidence intervals of 80--125%. The BPMs request and track inspections of the clinical and analytical sites through the Division of Scientific Investigations (DSI). </w:t>
      </w:r>
    </w:p>
    <w:p w14:paraId="49027042" w14:textId="77777777" w:rsidR="00CE1CB5" w:rsidRPr="00D11DBE" w:rsidRDefault="00CE1CB5" w:rsidP="00CE1CB5">
      <w:pPr>
        <w:spacing w:line="360" w:lineRule="auto"/>
        <w:ind w:left="390"/>
        <w:jc w:val="both"/>
        <w:rPr>
          <w:rFonts w:ascii="Times New Roman" w:hAnsi="Times New Roman" w:cs="Times New Roman"/>
          <w:sz w:val="24"/>
          <w:szCs w:val="24"/>
        </w:rPr>
      </w:pPr>
      <w:r w:rsidRPr="00D11DBE">
        <w:rPr>
          <w:rFonts w:ascii="Times New Roman" w:hAnsi="Times New Roman" w:cs="Times New Roman"/>
          <w:sz w:val="24"/>
          <w:szCs w:val="24"/>
        </w:rPr>
        <w:t>The clinical and analytical sites are inspected for two reasons: (1) to verify the quality and integrity of the scientific data submitted in bioequivalence studies and (2) to ensure that the rights and welfare of human subjects participating in the studies are protected in accordance with the regulations (21 CFR 312, 320, 50, and 56). If any issue arises during the review process the BPM initiates a teleconference with the applicant. The applicant‘s response to the teleconference is labeled as a Bioequivalence Telephone Amendment ‘‘When a review contains numerous deficiencies and requires more than 10 days to resolve, a deficiency letter is issued to applicant. Once the bioequivalence review is completed and all bioequivalence requirements are addressed, and all deficiencies are fulfilled, the DBE forwards an acceptable letter that states that there are no further questions at this time. The bioequivalence review is then forwarded to the APM.</w:t>
      </w:r>
    </w:p>
    <w:p w14:paraId="7D997F32" w14:textId="77777777" w:rsidR="00D11DBE" w:rsidRPr="00D11DBE" w:rsidRDefault="00D11DBE" w:rsidP="00CE1CB5">
      <w:pPr>
        <w:spacing w:line="360" w:lineRule="auto"/>
        <w:ind w:left="390"/>
        <w:jc w:val="both"/>
        <w:rPr>
          <w:rFonts w:ascii="Times New Roman" w:hAnsi="Times New Roman" w:cs="Times New Roman"/>
          <w:sz w:val="24"/>
          <w:szCs w:val="24"/>
        </w:rPr>
      </w:pPr>
      <w:r w:rsidRPr="00D11DBE">
        <w:rPr>
          <w:rFonts w:ascii="Times New Roman" w:hAnsi="Times New Roman" w:cs="Times New Roman"/>
          <w:b/>
          <w:sz w:val="24"/>
          <w:szCs w:val="24"/>
        </w:rPr>
        <w:t>Chemistry Review Process</w:t>
      </w:r>
      <w:r w:rsidRPr="00D11DBE">
        <w:rPr>
          <w:rFonts w:ascii="Times New Roman" w:hAnsi="Times New Roman" w:cs="Times New Roman"/>
          <w:sz w:val="24"/>
          <w:szCs w:val="24"/>
        </w:rPr>
        <w:t xml:space="preserve"> </w:t>
      </w:r>
    </w:p>
    <w:p w14:paraId="04B19E99" w14:textId="77777777" w:rsidR="00D11DBE" w:rsidRPr="00D11DBE" w:rsidRDefault="00D11DBE" w:rsidP="00CE1CB5">
      <w:pPr>
        <w:spacing w:line="360" w:lineRule="auto"/>
        <w:ind w:left="390"/>
        <w:jc w:val="both"/>
        <w:rPr>
          <w:rFonts w:ascii="Times New Roman" w:hAnsi="Times New Roman" w:cs="Times New Roman"/>
          <w:sz w:val="24"/>
          <w:szCs w:val="24"/>
        </w:rPr>
      </w:pPr>
      <w:r w:rsidRPr="00D11DBE">
        <w:rPr>
          <w:rFonts w:ascii="Times New Roman" w:hAnsi="Times New Roman" w:cs="Times New Roman"/>
          <w:sz w:val="24"/>
          <w:szCs w:val="24"/>
        </w:rPr>
        <w:t xml:space="preserve">After an ANDA has been accepted for filing by the RSB, the Chemistry, Manufacturing and Controls (CMC) section of the application is assigned to the appropriate Chemistry Division and Team, based on the therapeutic category of the drug product. The Chemistry Divisions review the CMC section of ANDAs, Drug Master Files, Supplemental ANDAs, </w:t>
      </w:r>
      <w:r w:rsidRPr="00D11DBE">
        <w:rPr>
          <w:rFonts w:ascii="Times New Roman" w:hAnsi="Times New Roman" w:cs="Times New Roman"/>
          <w:sz w:val="24"/>
          <w:szCs w:val="24"/>
        </w:rPr>
        <w:lastRenderedPageBreak/>
        <w:t>Annual Reports, and Controlled Correspondence. The goal of the chemistry review process is to assure that the generic drug will be manufactured in a reproducible manner under controlled conditions. The chemistry reviewer drafts a primary review that is forwarded to the team leader for secondary review. Once the team resolves the issues internally, the review is finalized and signed by the team leader, primary reviewer and APM.</w:t>
      </w:r>
    </w:p>
    <w:p w14:paraId="2D1E09C2" w14:textId="77777777" w:rsidR="00D11DBE" w:rsidRPr="00D11DBE" w:rsidRDefault="00D11DBE" w:rsidP="00CE1CB5">
      <w:pPr>
        <w:spacing w:line="360" w:lineRule="auto"/>
        <w:ind w:left="390"/>
        <w:jc w:val="both"/>
        <w:rPr>
          <w:rFonts w:ascii="Times New Roman" w:hAnsi="Times New Roman" w:cs="Times New Roman"/>
          <w:sz w:val="24"/>
          <w:szCs w:val="24"/>
        </w:rPr>
      </w:pPr>
      <w:r w:rsidRPr="00D11DBE">
        <w:rPr>
          <w:rFonts w:ascii="Times New Roman" w:hAnsi="Times New Roman" w:cs="Times New Roman"/>
          <w:sz w:val="24"/>
          <w:szCs w:val="24"/>
        </w:rPr>
        <w:t xml:space="preserve">Module 1 Administrative Information and Prescribing Information EU31 </w:t>
      </w:r>
    </w:p>
    <w:p w14:paraId="74691776" w14:textId="77777777" w:rsidR="00D11DBE" w:rsidRPr="00D11DBE" w:rsidRDefault="00D11DBE" w:rsidP="00CE1CB5">
      <w:pPr>
        <w:spacing w:line="360" w:lineRule="auto"/>
        <w:ind w:left="390"/>
        <w:jc w:val="both"/>
        <w:rPr>
          <w:rFonts w:ascii="Times New Roman" w:hAnsi="Times New Roman" w:cs="Times New Roman"/>
          <w:sz w:val="24"/>
          <w:szCs w:val="24"/>
        </w:rPr>
      </w:pPr>
      <w:r w:rsidRPr="00D11DBE">
        <w:rPr>
          <w:rFonts w:ascii="Times New Roman" w:hAnsi="Times New Roman" w:cs="Times New Roman"/>
          <w:sz w:val="24"/>
          <w:szCs w:val="24"/>
        </w:rPr>
        <w:t xml:space="preserve">The content of Module 1 is defined by the European Commission in consultation with the competent authorities of the Member States, the European Agency for the Evaluation of Medicinal Products and interested parties. It includes: </w:t>
      </w:r>
    </w:p>
    <w:p w14:paraId="7EB60EB6" w14:textId="77777777" w:rsidR="00D11DBE" w:rsidRPr="00D11DBE" w:rsidRDefault="00D11DBE" w:rsidP="00CE1CB5">
      <w:pPr>
        <w:spacing w:line="360" w:lineRule="auto"/>
        <w:ind w:left="390"/>
        <w:jc w:val="both"/>
        <w:rPr>
          <w:rFonts w:ascii="Times New Roman" w:hAnsi="Times New Roman" w:cs="Times New Roman"/>
          <w:sz w:val="24"/>
          <w:szCs w:val="24"/>
        </w:rPr>
      </w:pPr>
      <w:r w:rsidRPr="00D11DBE">
        <w:rPr>
          <w:rFonts w:ascii="Times New Roman" w:hAnsi="Times New Roman" w:cs="Times New Roman"/>
          <w:sz w:val="24"/>
          <w:szCs w:val="24"/>
        </w:rPr>
        <w:t xml:space="preserve">1.0 Cover Letter </w:t>
      </w:r>
    </w:p>
    <w:p w14:paraId="295F5E45" w14:textId="77777777" w:rsidR="00D11DBE" w:rsidRPr="00D11DBE" w:rsidRDefault="00D11DBE" w:rsidP="00CE1CB5">
      <w:pPr>
        <w:spacing w:line="360" w:lineRule="auto"/>
        <w:ind w:left="390"/>
        <w:jc w:val="both"/>
        <w:rPr>
          <w:rFonts w:ascii="Times New Roman" w:hAnsi="Times New Roman" w:cs="Times New Roman"/>
          <w:sz w:val="24"/>
          <w:szCs w:val="24"/>
        </w:rPr>
      </w:pPr>
      <w:r w:rsidRPr="00D11DBE">
        <w:rPr>
          <w:rFonts w:ascii="Times New Roman" w:hAnsi="Times New Roman" w:cs="Times New Roman"/>
          <w:sz w:val="24"/>
          <w:szCs w:val="24"/>
        </w:rPr>
        <w:t xml:space="preserve">1.1 Comprehensive Table of Contents </w:t>
      </w:r>
    </w:p>
    <w:p w14:paraId="4AB0442C" w14:textId="77777777" w:rsidR="00D11DBE" w:rsidRPr="00D11DBE" w:rsidRDefault="00D11DBE" w:rsidP="00CE1CB5">
      <w:pPr>
        <w:spacing w:line="360" w:lineRule="auto"/>
        <w:ind w:left="390"/>
        <w:jc w:val="both"/>
        <w:rPr>
          <w:rFonts w:ascii="Times New Roman" w:hAnsi="Times New Roman" w:cs="Times New Roman"/>
          <w:sz w:val="24"/>
          <w:szCs w:val="24"/>
        </w:rPr>
      </w:pPr>
      <w:r w:rsidRPr="00D11DBE">
        <w:rPr>
          <w:rFonts w:ascii="Times New Roman" w:hAnsi="Times New Roman" w:cs="Times New Roman"/>
          <w:sz w:val="24"/>
          <w:szCs w:val="24"/>
        </w:rPr>
        <w:t xml:space="preserve">1.2 Application Form </w:t>
      </w:r>
    </w:p>
    <w:p w14:paraId="67343448" w14:textId="77777777" w:rsidR="00D11DBE" w:rsidRPr="00D11DBE" w:rsidRDefault="00D11DBE" w:rsidP="00CE1CB5">
      <w:pPr>
        <w:spacing w:line="360" w:lineRule="auto"/>
        <w:ind w:left="390"/>
        <w:jc w:val="both"/>
        <w:rPr>
          <w:rFonts w:ascii="Times New Roman" w:hAnsi="Times New Roman" w:cs="Times New Roman"/>
          <w:b/>
          <w:sz w:val="24"/>
          <w:szCs w:val="24"/>
        </w:rPr>
      </w:pPr>
      <w:r w:rsidRPr="00D11DBE">
        <w:rPr>
          <w:rFonts w:ascii="Times New Roman" w:hAnsi="Times New Roman" w:cs="Times New Roman"/>
          <w:b/>
          <w:sz w:val="24"/>
          <w:szCs w:val="24"/>
        </w:rPr>
        <w:t xml:space="preserve">1.3 Product Information </w:t>
      </w:r>
    </w:p>
    <w:p w14:paraId="58C6A85D" w14:textId="77777777" w:rsidR="00D11DBE" w:rsidRPr="00D11DBE" w:rsidRDefault="00D11DBE" w:rsidP="00CE1CB5">
      <w:pPr>
        <w:spacing w:line="360" w:lineRule="auto"/>
        <w:ind w:left="390"/>
        <w:jc w:val="both"/>
        <w:rPr>
          <w:rFonts w:ascii="Times New Roman" w:hAnsi="Times New Roman" w:cs="Times New Roman"/>
          <w:sz w:val="24"/>
          <w:szCs w:val="24"/>
        </w:rPr>
      </w:pPr>
      <w:r w:rsidRPr="00D11DBE">
        <w:rPr>
          <w:rFonts w:ascii="Times New Roman" w:hAnsi="Times New Roman" w:cs="Times New Roman"/>
          <w:sz w:val="24"/>
          <w:szCs w:val="24"/>
        </w:rPr>
        <w:t xml:space="preserve">1.3.1 Smpc, Labeling and Package Leaflets </w:t>
      </w:r>
    </w:p>
    <w:p w14:paraId="5835DB70" w14:textId="77777777" w:rsidR="00D11DBE" w:rsidRPr="00D11DBE" w:rsidRDefault="00D11DBE" w:rsidP="00CE1CB5">
      <w:pPr>
        <w:spacing w:line="360" w:lineRule="auto"/>
        <w:ind w:left="390"/>
        <w:jc w:val="both"/>
        <w:rPr>
          <w:rFonts w:ascii="Times New Roman" w:hAnsi="Times New Roman" w:cs="Times New Roman"/>
          <w:sz w:val="24"/>
          <w:szCs w:val="24"/>
        </w:rPr>
      </w:pPr>
      <w:r w:rsidRPr="00D11DBE">
        <w:rPr>
          <w:rFonts w:ascii="Times New Roman" w:hAnsi="Times New Roman" w:cs="Times New Roman"/>
          <w:sz w:val="24"/>
          <w:szCs w:val="24"/>
        </w:rPr>
        <w:t xml:space="preserve">1.3.2 Mock-up 1.3.3 Specimen </w:t>
      </w:r>
    </w:p>
    <w:p w14:paraId="253047DB" w14:textId="77777777" w:rsidR="00D11DBE" w:rsidRPr="00D11DBE" w:rsidRDefault="00D11DBE" w:rsidP="00CE1CB5">
      <w:pPr>
        <w:spacing w:line="360" w:lineRule="auto"/>
        <w:ind w:left="390"/>
        <w:jc w:val="both"/>
        <w:rPr>
          <w:rFonts w:ascii="Times New Roman" w:hAnsi="Times New Roman" w:cs="Times New Roman"/>
          <w:sz w:val="24"/>
          <w:szCs w:val="24"/>
        </w:rPr>
      </w:pPr>
      <w:r w:rsidRPr="00D11DBE">
        <w:rPr>
          <w:rFonts w:ascii="Times New Roman" w:hAnsi="Times New Roman" w:cs="Times New Roman"/>
          <w:sz w:val="24"/>
          <w:szCs w:val="24"/>
        </w:rPr>
        <w:t xml:space="preserve">1.3.4 Consultation with Target Patient Groups </w:t>
      </w:r>
    </w:p>
    <w:p w14:paraId="4841732D" w14:textId="77777777" w:rsidR="00D11DBE" w:rsidRPr="00D11DBE" w:rsidRDefault="00D11DBE" w:rsidP="00CE1CB5">
      <w:pPr>
        <w:spacing w:line="360" w:lineRule="auto"/>
        <w:ind w:left="390"/>
        <w:jc w:val="both"/>
        <w:rPr>
          <w:rFonts w:ascii="Times New Roman" w:hAnsi="Times New Roman" w:cs="Times New Roman"/>
          <w:sz w:val="24"/>
          <w:szCs w:val="24"/>
        </w:rPr>
      </w:pPr>
      <w:r w:rsidRPr="00D11DBE">
        <w:rPr>
          <w:rFonts w:ascii="Times New Roman" w:hAnsi="Times New Roman" w:cs="Times New Roman"/>
          <w:sz w:val="24"/>
          <w:szCs w:val="24"/>
        </w:rPr>
        <w:t xml:space="preserve">1.3.5 Product Information already approved in the Member States </w:t>
      </w:r>
    </w:p>
    <w:p w14:paraId="11EC5E4A" w14:textId="77777777" w:rsidR="00D11DBE" w:rsidRPr="00D11DBE" w:rsidRDefault="00D11DBE" w:rsidP="00CE1CB5">
      <w:pPr>
        <w:spacing w:line="360" w:lineRule="auto"/>
        <w:ind w:left="390"/>
        <w:jc w:val="both"/>
        <w:rPr>
          <w:rFonts w:ascii="Times New Roman" w:hAnsi="Times New Roman" w:cs="Times New Roman"/>
          <w:sz w:val="24"/>
          <w:szCs w:val="24"/>
        </w:rPr>
      </w:pPr>
      <w:r w:rsidRPr="00D11DBE">
        <w:rPr>
          <w:rFonts w:ascii="Times New Roman" w:hAnsi="Times New Roman" w:cs="Times New Roman"/>
          <w:sz w:val="24"/>
          <w:szCs w:val="24"/>
        </w:rPr>
        <w:t xml:space="preserve">1.3.6 Braille </w:t>
      </w:r>
    </w:p>
    <w:p w14:paraId="33EA07AA" w14:textId="77777777" w:rsidR="00D11DBE" w:rsidRPr="00D11DBE" w:rsidRDefault="00D11DBE" w:rsidP="00CE1CB5">
      <w:pPr>
        <w:spacing w:line="360" w:lineRule="auto"/>
        <w:ind w:left="390"/>
        <w:jc w:val="both"/>
        <w:rPr>
          <w:rFonts w:ascii="Times New Roman" w:hAnsi="Times New Roman" w:cs="Times New Roman"/>
          <w:b/>
          <w:sz w:val="24"/>
          <w:szCs w:val="24"/>
        </w:rPr>
      </w:pPr>
      <w:r w:rsidRPr="00D11DBE">
        <w:rPr>
          <w:rFonts w:ascii="Times New Roman" w:hAnsi="Times New Roman" w:cs="Times New Roman"/>
          <w:b/>
          <w:sz w:val="24"/>
          <w:szCs w:val="24"/>
        </w:rPr>
        <w:t xml:space="preserve">1.4 Information about the Experts </w:t>
      </w:r>
    </w:p>
    <w:p w14:paraId="3434C2E0" w14:textId="77777777" w:rsidR="00D11DBE" w:rsidRPr="00D11DBE" w:rsidRDefault="00D11DBE" w:rsidP="00CE1CB5">
      <w:pPr>
        <w:spacing w:line="360" w:lineRule="auto"/>
        <w:ind w:left="390"/>
        <w:jc w:val="both"/>
        <w:rPr>
          <w:rFonts w:ascii="Times New Roman" w:hAnsi="Times New Roman" w:cs="Times New Roman"/>
          <w:sz w:val="24"/>
          <w:szCs w:val="24"/>
        </w:rPr>
      </w:pPr>
      <w:r w:rsidRPr="00D11DBE">
        <w:rPr>
          <w:rFonts w:ascii="Times New Roman" w:hAnsi="Times New Roman" w:cs="Times New Roman"/>
          <w:sz w:val="24"/>
          <w:szCs w:val="24"/>
        </w:rPr>
        <w:t xml:space="preserve">1.4.1 Quality </w:t>
      </w:r>
    </w:p>
    <w:p w14:paraId="6724D51A" w14:textId="77777777" w:rsidR="00D11DBE" w:rsidRPr="00D11DBE" w:rsidRDefault="00D11DBE" w:rsidP="00CE1CB5">
      <w:pPr>
        <w:spacing w:line="360" w:lineRule="auto"/>
        <w:ind w:left="390"/>
        <w:jc w:val="both"/>
        <w:rPr>
          <w:rFonts w:ascii="Times New Roman" w:hAnsi="Times New Roman" w:cs="Times New Roman"/>
          <w:sz w:val="24"/>
          <w:szCs w:val="24"/>
        </w:rPr>
      </w:pPr>
      <w:r w:rsidRPr="00D11DBE">
        <w:rPr>
          <w:rFonts w:ascii="Times New Roman" w:hAnsi="Times New Roman" w:cs="Times New Roman"/>
          <w:sz w:val="24"/>
          <w:szCs w:val="24"/>
        </w:rPr>
        <w:t xml:space="preserve">1.4.2 Non-Clinical </w:t>
      </w:r>
    </w:p>
    <w:p w14:paraId="0B103C76" w14:textId="77777777" w:rsidR="00D11DBE" w:rsidRPr="00D11DBE" w:rsidRDefault="00D11DBE" w:rsidP="00CE1CB5">
      <w:pPr>
        <w:spacing w:line="360" w:lineRule="auto"/>
        <w:ind w:left="390"/>
        <w:jc w:val="both"/>
        <w:rPr>
          <w:rFonts w:ascii="Times New Roman" w:hAnsi="Times New Roman" w:cs="Times New Roman"/>
          <w:sz w:val="24"/>
          <w:szCs w:val="24"/>
        </w:rPr>
      </w:pPr>
      <w:r w:rsidRPr="00D11DBE">
        <w:rPr>
          <w:rFonts w:ascii="Times New Roman" w:hAnsi="Times New Roman" w:cs="Times New Roman"/>
          <w:sz w:val="24"/>
          <w:szCs w:val="24"/>
        </w:rPr>
        <w:t xml:space="preserve">1.4.3 Clinical </w:t>
      </w:r>
    </w:p>
    <w:p w14:paraId="08EC3192" w14:textId="77777777" w:rsidR="00D11DBE" w:rsidRPr="00D11DBE" w:rsidRDefault="00D11DBE" w:rsidP="00CE1CB5">
      <w:pPr>
        <w:spacing w:line="360" w:lineRule="auto"/>
        <w:ind w:left="390"/>
        <w:jc w:val="both"/>
        <w:rPr>
          <w:rFonts w:ascii="Times New Roman" w:hAnsi="Times New Roman" w:cs="Times New Roman"/>
          <w:b/>
          <w:sz w:val="24"/>
          <w:szCs w:val="24"/>
        </w:rPr>
      </w:pPr>
      <w:r w:rsidRPr="00D11DBE">
        <w:rPr>
          <w:rFonts w:ascii="Times New Roman" w:hAnsi="Times New Roman" w:cs="Times New Roman"/>
          <w:b/>
          <w:sz w:val="24"/>
          <w:szCs w:val="24"/>
        </w:rPr>
        <w:t xml:space="preserve">1.5 Specific Requirements for Different Types of Applications </w:t>
      </w:r>
    </w:p>
    <w:p w14:paraId="68365214" w14:textId="77777777" w:rsidR="00D11DBE" w:rsidRPr="00D11DBE" w:rsidRDefault="00D11DBE" w:rsidP="00CE1CB5">
      <w:pPr>
        <w:spacing w:line="360" w:lineRule="auto"/>
        <w:ind w:left="390"/>
        <w:jc w:val="both"/>
        <w:rPr>
          <w:rFonts w:ascii="Times New Roman" w:hAnsi="Times New Roman" w:cs="Times New Roman"/>
          <w:sz w:val="24"/>
          <w:szCs w:val="24"/>
        </w:rPr>
      </w:pPr>
      <w:r w:rsidRPr="00D11DBE">
        <w:rPr>
          <w:rFonts w:ascii="Times New Roman" w:hAnsi="Times New Roman" w:cs="Times New Roman"/>
          <w:sz w:val="24"/>
          <w:szCs w:val="24"/>
        </w:rPr>
        <w:t xml:space="preserve">1.5.1 Information for Bibliographical Applications </w:t>
      </w:r>
    </w:p>
    <w:p w14:paraId="06F7B145" w14:textId="77777777" w:rsidR="00D11DBE" w:rsidRPr="00D11DBE" w:rsidRDefault="00AB53D5" w:rsidP="00CE1CB5">
      <w:pPr>
        <w:spacing w:line="360" w:lineRule="auto"/>
        <w:ind w:left="390"/>
        <w:jc w:val="both"/>
        <w:rPr>
          <w:rFonts w:ascii="Times New Roman" w:hAnsi="Times New Roman" w:cs="Times New Roman"/>
          <w:sz w:val="24"/>
          <w:szCs w:val="24"/>
        </w:rPr>
      </w:pPr>
      <w:r>
        <w:rPr>
          <w:rFonts w:ascii="Times New Roman" w:hAnsi="Times New Roman" w:cs="Times New Roman"/>
          <w:sz w:val="24"/>
          <w:szCs w:val="24"/>
        </w:rPr>
        <w:t>1.5.2 Information for Generic, Hybrid</w:t>
      </w:r>
      <w:r w:rsidR="00D11DBE" w:rsidRPr="00D11DBE">
        <w:rPr>
          <w:rFonts w:ascii="Times New Roman" w:hAnsi="Times New Roman" w:cs="Times New Roman"/>
          <w:sz w:val="24"/>
          <w:szCs w:val="24"/>
        </w:rPr>
        <w:t xml:space="preserve"> or Bio-similar Applications </w:t>
      </w:r>
    </w:p>
    <w:p w14:paraId="67585C09" w14:textId="77777777" w:rsidR="00D11DBE" w:rsidRPr="00D11DBE" w:rsidRDefault="00D11DBE" w:rsidP="00CE1CB5">
      <w:pPr>
        <w:spacing w:line="360" w:lineRule="auto"/>
        <w:ind w:left="390"/>
        <w:jc w:val="both"/>
        <w:rPr>
          <w:rFonts w:ascii="Times New Roman" w:hAnsi="Times New Roman" w:cs="Times New Roman"/>
          <w:sz w:val="24"/>
          <w:szCs w:val="24"/>
        </w:rPr>
      </w:pPr>
      <w:r w:rsidRPr="00D11DBE">
        <w:rPr>
          <w:rFonts w:ascii="Times New Roman" w:hAnsi="Times New Roman" w:cs="Times New Roman"/>
          <w:sz w:val="24"/>
          <w:szCs w:val="24"/>
        </w:rPr>
        <w:t xml:space="preserve">1.5.3 (Extended) Data/Market Exclusivity </w:t>
      </w:r>
    </w:p>
    <w:p w14:paraId="43CFB969" w14:textId="77777777" w:rsidR="00D11DBE" w:rsidRPr="00D11DBE" w:rsidRDefault="00D11DBE" w:rsidP="00CE1CB5">
      <w:pPr>
        <w:spacing w:line="360" w:lineRule="auto"/>
        <w:ind w:left="390"/>
        <w:jc w:val="both"/>
        <w:rPr>
          <w:rFonts w:ascii="Times New Roman" w:hAnsi="Times New Roman" w:cs="Times New Roman"/>
          <w:sz w:val="24"/>
          <w:szCs w:val="24"/>
        </w:rPr>
      </w:pPr>
      <w:r w:rsidRPr="00D11DBE">
        <w:rPr>
          <w:rFonts w:ascii="Times New Roman" w:hAnsi="Times New Roman" w:cs="Times New Roman"/>
          <w:sz w:val="24"/>
          <w:szCs w:val="24"/>
        </w:rPr>
        <w:lastRenderedPageBreak/>
        <w:t xml:space="preserve">1.5.4 Exceptional Circumstances </w:t>
      </w:r>
    </w:p>
    <w:p w14:paraId="1308B974" w14:textId="77777777" w:rsidR="00D11DBE" w:rsidRPr="00D11DBE" w:rsidRDefault="00D11DBE" w:rsidP="00CE1CB5">
      <w:pPr>
        <w:spacing w:line="360" w:lineRule="auto"/>
        <w:ind w:left="390"/>
        <w:jc w:val="both"/>
        <w:rPr>
          <w:rFonts w:ascii="Times New Roman" w:hAnsi="Times New Roman" w:cs="Times New Roman"/>
          <w:sz w:val="24"/>
          <w:szCs w:val="24"/>
        </w:rPr>
      </w:pPr>
      <w:r w:rsidRPr="00D11DBE">
        <w:rPr>
          <w:rFonts w:ascii="Times New Roman" w:hAnsi="Times New Roman" w:cs="Times New Roman"/>
          <w:sz w:val="24"/>
          <w:szCs w:val="24"/>
        </w:rPr>
        <w:t xml:space="preserve">1.5.5 Conditional Marketing Authorization </w:t>
      </w:r>
    </w:p>
    <w:p w14:paraId="50BF557B" w14:textId="77777777" w:rsidR="00D11DBE" w:rsidRPr="00D11DBE" w:rsidRDefault="00D11DBE" w:rsidP="00CE1CB5">
      <w:pPr>
        <w:spacing w:line="360" w:lineRule="auto"/>
        <w:ind w:left="390"/>
        <w:jc w:val="both"/>
        <w:rPr>
          <w:rFonts w:ascii="Times New Roman" w:hAnsi="Times New Roman" w:cs="Times New Roman"/>
          <w:b/>
          <w:sz w:val="24"/>
          <w:szCs w:val="24"/>
        </w:rPr>
      </w:pPr>
      <w:r w:rsidRPr="00D11DBE">
        <w:rPr>
          <w:rFonts w:ascii="Times New Roman" w:hAnsi="Times New Roman" w:cs="Times New Roman"/>
          <w:b/>
          <w:sz w:val="24"/>
          <w:szCs w:val="24"/>
        </w:rPr>
        <w:t xml:space="preserve">1.6 Environmental Risk Assessment </w:t>
      </w:r>
    </w:p>
    <w:p w14:paraId="573F2E51" w14:textId="77777777" w:rsidR="00D11DBE" w:rsidRPr="00D11DBE" w:rsidRDefault="00D11DBE" w:rsidP="00CE1CB5">
      <w:pPr>
        <w:spacing w:line="360" w:lineRule="auto"/>
        <w:ind w:left="390"/>
        <w:jc w:val="both"/>
        <w:rPr>
          <w:rFonts w:ascii="Times New Roman" w:hAnsi="Times New Roman" w:cs="Times New Roman"/>
          <w:sz w:val="24"/>
          <w:szCs w:val="24"/>
        </w:rPr>
      </w:pPr>
      <w:r w:rsidRPr="00D11DBE">
        <w:rPr>
          <w:rFonts w:ascii="Times New Roman" w:hAnsi="Times New Roman" w:cs="Times New Roman"/>
          <w:sz w:val="24"/>
          <w:szCs w:val="24"/>
        </w:rPr>
        <w:t xml:space="preserve">1.6.1 Non-GMO </w:t>
      </w:r>
    </w:p>
    <w:p w14:paraId="2DE0C313" w14:textId="77777777" w:rsidR="00D11DBE" w:rsidRPr="00D11DBE" w:rsidRDefault="00D11DBE" w:rsidP="00CE1CB5">
      <w:pPr>
        <w:spacing w:line="360" w:lineRule="auto"/>
        <w:ind w:left="390"/>
        <w:jc w:val="both"/>
        <w:rPr>
          <w:rFonts w:ascii="Times New Roman" w:hAnsi="Times New Roman" w:cs="Times New Roman"/>
          <w:sz w:val="24"/>
          <w:szCs w:val="24"/>
        </w:rPr>
      </w:pPr>
      <w:r w:rsidRPr="00D11DBE">
        <w:rPr>
          <w:rFonts w:ascii="Times New Roman" w:hAnsi="Times New Roman" w:cs="Times New Roman"/>
          <w:sz w:val="24"/>
          <w:szCs w:val="24"/>
        </w:rPr>
        <w:t xml:space="preserve">1.6.2 GMO </w:t>
      </w:r>
    </w:p>
    <w:p w14:paraId="22A88E17" w14:textId="77777777" w:rsidR="00D11DBE" w:rsidRPr="00D11DBE" w:rsidRDefault="00D11DBE" w:rsidP="00CE1CB5">
      <w:pPr>
        <w:spacing w:line="360" w:lineRule="auto"/>
        <w:ind w:left="390"/>
        <w:jc w:val="both"/>
        <w:rPr>
          <w:rFonts w:ascii="Times New Roman" w:hAnsi="Times New Roman" w:cs="Times New Roman"/>
          <w:b/>
          <w:sz w:val="24"/>
          <w:szCs w:val="24"/>
        </w:rPr>
      </w:pPr>
      <w:r w:rsidRPr="00D11DBE">
        <w:rPr>
          <w:rFonts w:ascii="Times New Roman" w:hAnsi="Times New Roman" w:cs="Times New Roman"/>
          <w:b/>
          <w:sz w:val="24"/>
          <w:szCs w:val="24"/>
        </w:rPr>
        <w:t xml:space="preserve">1.7 Information relating to Orphan Market Exclusivity </w:t>
      </w:r>
    </w:p>
    <w:p w14:paraId="375FC832" w14:textId="77777777" w:rsidR="00D11DBE" w:rsidRPr="00D11DBE" w:rsidRDefault="00D11DBE" w:rsidP="00CE1CB5">
      <w:pPr>
        <w:spacing w:line="360" w:lineRule="auto"/>
        <w:ind w:left="390"/>
        <w:jc w:val="both"/>
        <w:rPr>
          <w:rFonts w:ascii="Times New Roman" w:hAnsi="Times New Roman" w:cs="Times New Roman"/>
          <w:sz w:val="24"/>
          <w:szCs w:val="24"/>
        </w:rPr>
      </w:pPr>
      <w:r w:rsidRPr="00D11DBE">
        <w:rPr>
          <w:rFonts w:ascii="Times New Roman" w:hAnsi="Times New Roman" w:cs="Times New Roman"/>
          <w:sz w:val="24"/>
          <w:szCs w:val="24"/>
        </w:rPr>
        <w:t xml:space="preserve">1.7.1 Similarity </w:t>
      </w:r>
    </w:p>
    <w:p w14:paraId="708FF6B6" w14:textId="77777777" w:rsidR="00D11DBE" w:rsidRPr="00D11DBE" w:rsidRDefault="00D11DBE" w:rsidP="00CE1CB5">
      <w:pPr>
        <w:spacing w:line="360" w:lineRule="auto"/>
        <w:ind w:left="390"/>
        <w:jc w:val="both"/>
        <w:rPr>
          <w:rFonts w:ascii="Times New Roman" w:hAnsi="Times New Roman" w:cs="Times New Roman"/>
          <w:b/>
          <w:sz w:val="24"/>
          <w:szCs w:val="24"/>
        </w:rPr>
      </w:pPr>
      <w:r w:rsidRPr="00D11DBE">
        <w:rPr>
          <w:rFonts w:ascii="Times New Roman" w:hAnsi="Times New Roman" w:cs="Times New Roman"/>
          <w:sz w:val="24"/>
          <w:szCs w:val="24"/>
        </w:rPr>
        <w:t xml:space="preserve">1.7.2 Market Exclusivity </w:t>
      </w:r>
    </w:p>
    <w:p w14:paraId="5DF88812" w14:textId="77777777" w:rsidR="00D11DBE" w:rsidRPr="00D11DBE" w:rsidRDefault="00D11DBE" w:rsidP="00CE1CB5">
      <w:pPr>
        <w:spacing w:line="360" w:lineRule="auto"/>
        <w:ind w:left="390"/>
        <w:jc w:val="both"/>
        <w:rPr>
          <w:rFonts w:ascii="Times New Roman" w:hAnsi="Times New Roman" w:cs="Times New Roman"/>
          <w:b/>
          <w:sz w:val="24"/>
          <w:szCs w:val="24"/>
        </w:rPr>
      </w:pPr>
      <w:r w:rsidRPr="00D11DBE">
        <w:rPr>
          <w:rFonts w:ascii="Times New Roman" w:hAnsi="Times New Roman" w:cs="Times New Roman"/>
          <w:b/>
          <w:sz w:val="24"/>
          <w:szCs w:val="24"/>
        </w:rPr>
        <w:t xml:space="preserve">1.8 Information relating to Pharmacovigilance </w:t>
      </w:r>
    </w:p>
    <w:p w14:paraId="2289005E" w14:textId="77777777" w:rsidR="00D11DBE" w:rsidRPr="00D11DBE" w:rsidRDefault="00D11DBE" w:rsidP="00CE1CB5">
      <w:pPr>
        <w:spacing w:line="360" w:lineRule="auto"/>
        <w:ind w:left="390"/>
        <w:jc w:val="both"/>
        <w:rPr>
          <w:rFonts w:ascii="Times New Roman" w:hAnsi="Times New Roman" w:cs="Times New Roman"/>
          <w:sz w:val="24"/>
          <w:szCs w:val="24"/>
        </w:rPr>
      </w:pPr>
      <w:r w:rsidRPr="00D11DBE">
        <w:rPr>
          <w:rFonts w:ascii="Times New Roman" w:hAnsi="Times New Roman" w:cs="Times New Roman"/>
          <w:sz w:val="24"/>
          <w:szCs w:val="24"/>
        </w:rPr>
        <w:t xml:space="preserve">1.8.1 Pharmacovigilance System </w:t>
      </w:r>
    </w:p>
    <w:p w14:paraId="7CDFEA37" w14:textId="77777777" w:rsidR="00D11DBE" w:rsidRPr="00D11DBE" w:rsidRDefault="00D11DBE" w:rsidP="00CE1CB5">
      <w:pPr>
        <w:spacing w:line="360" w:lineRule="auto"/>
        <w:ind w:left="390"/>
        <w:jc w:val="both"/>
        <w:rPr>
          <w:rFonts w:ascii="Times New Roman" w:hAnsi="Times New Roman" w:cs="Times New Roman"/>
          <w:sz w:val="24"/>
          <w:szCs w:val="24"/>
        </w:rPr>
      </w:pPr>
      <w:r w:rsidRPr="00D11DBE">
        <w:rPr>
          <w:rFonts w:ascii="Times New Roman" w:hAnsi="Times New Roman" w:cs="Times New Roman"/>
          <w:sz w:val="24"/>
          <w:szCs w:val="24"/>
        </w:rPr>
        <w:t>1.8.2 Risk-management System</w:t>
      </w:r>
    </w:p>
    <w:p w14:paraId="3529388B" w14:textId="77777777" w:rsidR="00D11DBE" w:rsidRPr="00D11DBE" w:rsidRDefault="00D11DBE" w:rsidP="00CE1CB5">
      <w:pPr>
        <w:spacing w:line="360" w:lineRule="auto"/>
        <w:ind w:left="390"/>
        <w:jc w:val="both"/>
        <w:rPr>
          <w:rFonts w:ascii="Times New Roman" w:hAnsi="Times New Roman" w:cs="Times New Roman"/>
          <w:sz w:val="24"/>
          <w:szCs w:val="24"/>
        </w:rPr>
      </w:pPr>
      <w:r w:rsidRPr="00D11DBE">
        <w:rPr>
          <w:rFonts w:ascii="Times New Roman" w:hAnsi="Times New Roman" w:cs="Times New Roman"/>
          <w:sz w:val="24"/>
          <w:szCs w:val="24"/>
        </w:rPr>
        <w:t xml:space="preserve">1.9 Information relating to Clinical Trials </w:t>
      </w:r>
    </w:p>
    <w:p w14:paraId="096AEA04" w14:textId="77777777" w:rsidR="00D11DBE" w:rsidRPr="00D11DBE" w:rsidRDefault="00D11DBE" w:rsidP="00CE1CB5">
      <w:pPr>
        <w:spacing w:line="360" w:lineRule="auto"/>
        <w:ind w:left="390"/>
        <w:jc w:val="both"/>
        <w:rPr>
          <w:rFonts w:ascii="Times New Roman" w:hAnsi="Times New Roman" w:cs="Times New Roman"/>
          <w:sz w:val="24"/>
          <w:szCs w:val="24"/>
        </w:rPr>
      </w:pPr>
      <w:r w:rsidRPr="00D11DBE">
        <w:rPr>
          <w:rFonts w:ascii="Times New Roman" w:hAnsi="Times New Roman" w:cs="Times New Roman"/>
          <w:sz w:val="24"/>
          <w:szCs w:val="24"/>
        </w:rPr>
        <w:t xml:space="preserve">1.10 Information relating to Pediatric </w:t>
      </w:r>
    </w:p>
    <w:p w14:paraId="65A053CC" w14:textId="77777777" w:rsidR="00D11DBE" w:rsidRPr="00D11DBE" w:rsidRDefault="00D11DBE" w:rsidP="00CE1CB5">
      <w:pPr>
        <w:spacing w:line="360" w:lineRule="auto"/>
        <w:ind w:left="390"/>
        <w:jc w:val="both"/>
        <w:rPr>
          <w:rFonts w:ascii="Times New Roman" w:hAnsi="Times New Roman" w:cs="Times New Roman"/>
          <w:sz w:val="24"/>
          <w:szCs w:val="24"/>
        </w:rPr>
      </w:pPr>
      <w:r w:rsidRPr="00D11DBE">
        <w:rPr>
          <w:rFonts w:ascii="Times New Roman" w:hAnsi="Times New Roman" w:cs="Times New Roman"/>
          <w:sz w:val="24"/>
          <w:szCs w:val="24"/>
        </w:rPr>
        <w:t xml:space="preserve">Responses to Questions </w:t>
      </w:r>
    </w:p>
    <w:p w14:paraId="52BBA9BA" w14:textId="77777777" w:rsidR="00D11DBE" w:rsidRPr="00D11DBE" w:rsidRDefault="00D11DBE" w:rsidP="00CE1CB5">
      <w:pPr>
        <w:spacing w:line="360" w:lineRule="auto"/>
        <w:ind w:left="390"/>
        <w:jc w:val="both"/>
        <w:rPr>
          <w:rFonts w:ascii="Times New Roman" w:hAnsi="Times New Roman" w:cs="Times New Roman"/>
          <w:sz w:val="24"/>
          <w:szCs w:val="24"/>
        </w:rPr>
      </w:pPr>
      <w:r w:rsidRPr="00D11DBE">
        <w:rPr>
          <w:rFonts w:ascii="Times New Roman" w:hAnsi="Times New Roman" w:cs="Times New Roman"/>
          <w:sz w:val="24"/>
          <w:szCs w:val="24"/>
        </w:rPr>
        <w:t xml:space="preserve">Additional Data </w:t>
      </w:r>
    </w:p>
    <w:p w14:paraId="046B1EA3" w14:textId="77777777" w:rsidR="00D11DBE" w:rsidRDefault="00D11DBE" w:rsidP="004C0FE8">
      <w:pPr>
        <w:pStyle w:val="ListParagraph"/>
        <w:numPr>
          <w:ilvl w:val="0"/>
          <w:numId w:val="3"/>
        </w:numPr>
        <w:spacing w:line="360" w:lineRule="auto"/>
        <w:jc w:val="both"/>
        <w:rPr>
          <w:rFonts w:ascii="Times New Roman" w:hAnsi="Times New Roman" w:cs="Times New Roman"/>
          <w:sz w:val="24"/>
          <w:szCs w:val="24"/>
        </w:rPr>
      </w:pPr>
      <w:r w:rsidRPr="00D11DBE">
        <w:rPr>
          <w:rFonts w:ascii="Times New Roman" w:hAnsi="Times New Roman" w:cs="Times New Roman"/>
          <w:sz w:val="24"/>
          <w:szCs w:val="24"/>
        </w:rPr>
        <w:t>Cover Letter</w:t>
      </w:r>
    </w:p>
    <w:p w14:paraId="1C83136E" w14:textId="77777777" w:rsidR="007A0B4D" w:rsidRDefault="007A0B4D" w:rsidP="00D11DBE">
      <w:pPr>
        <w:jc w:val="both"/>
        <w:rPr>
          <w:rFonts w:ascii="Times New Roman" w:hAnsi="Times New Roman" w:cs="Times New Roman"/>
          <w:sz w:val="24"/>
          <w:szCs w:val="24"/>
        </w:rPr>
      </w:pPr>
    </w:p>
    <w:p w14:paraId="6B8D2FFC" w14:textId="77777777" w:rsidR="00D11DBE" w:rsidRPr="00D11DBE" w:rsidRDefault="00D11DBE" w:rsidP="00D11DBE">
      <w:pPr>
        <w:jc w:val="both"/>
        <w:rPr>
          <w:rFonts w:ascii="Times New Roman" w:hAnsi="Times New Roman" w:cs="Times New Roman"/>
          <w:b/>
          <w:sz w:val="24"/>
          <w:szCs w:val="24"/>
        </w:rPr>
      </w:pPr>
      <w:r w:rsidRPr="00D11DBE">
        <w:rPr>
          <w:rFonts w:ascii="Times New Roman" w:hAnsi="Times New Roman" w:cs="Times New Roman"/>
          <w:b/>
          <w:sz w:val="24"/>
          <w:szCs w:val="24"/>
        </w:rPr>
        <w:t xml:space="preserve">Comparative BA and Bioequivalence (BE) Study Reports </w:t>
      </w:r>
    </w:p>
    <w:p w14:paraId="2276CC43" w14:textId="77777777" w:rsidR="00D11DBE" w:rsidRDefault="00D11DBE" w:rsidP="00D11DBE">
      <w:pPr>
        <w:jc w:val="both"/>
        <w:rPr>
          <w:rFonts w:ascii="Times New Roman" w:hAnsi="Times New Roman" w:cs="Times New Roman"/>
          <w:sz w:val="24"/>
          <w:szCs w:val="24"/>
        </w:rPr>
      </w:pPr>
      <w:r w:rsidRPr="00D11DBE">
        <w:rPr>
          <w:rFonts w:ascii="Times New Roman" w:hAnsi="Times New Roman" w:cs="Times New Roman"/>
          <w:sz w:val="24"/>
          <w:szCs w:val="24"/>
        </w:rPr>
        <w:t>Studies in this section compare the rate and extent of release of the drug substance from similar drug products (e.g., tablet to tablet, tablet to capsule). Comparative BA or BE studies can include comparisons between: The drug product used in clinical studies supporting effectiveness and the to- be-marketed drug product. The drug product used in clinical studies supporting effectiveness and the drug product used in stability batches Similar drug produc</w:t>
      </w:r>
      <w:r w:rsidR="007B23B3">
        <w:rPr>
          <w:rFonts w:ascii="Times New Roman" w:hAnsi="Times New Roman" w:cs="Times New Roman"/>
          <w:sz w:val="24"/>
          <w:szCs w:val="24"/>
        </w:rPr>
        <w:t>ts from different manufacturers.</w:t>
      </w:r>
    </w:p>
    <w:p w14:paraId="4286E79A" w14:textId="77777777" w:rsidR="007B23B3" w:rsidRPr="00E352DF" w:rsidRDefault="007B23B3" w:rsidP="00D11DBE">
      <w:pPr>
        <w:jc w:val="both"/>
        <w:rPr>
          <w:rFonts w:ascii="Times New Roman" w:hAnsi="Times New Roman" w:cs="Times New Roman"/>
          <w:b/>
          <w:sz w:val="24"/>
          <w:szCs w:val="24"/>
        </w:rPr>
      </w:pPr>
      <w:r w:rsidRPr="00E352DF">
        <w:rPr>
          <w:rFonts w:ascii="Times New Roman" w:hAnsi="Times New Roman" w:cs="Times New Roman"/>
          <w:b/>
          <w:sz w:val="24"/>
          <w:szCs w:val="24"/>
        </w:rPr>
        <w:t>Conclusion</w:t>
      </w:r>
    </w:p>
    <w:p w14:paraId="4C6FE0CD" w14:textId="77777777" w:rsidR="00090235" w:rsidRPr="00E352DF" w:rsidRDefault="00E352DF" w:rsidP="00D11DBE">
      <w:pPr>
        <w:jc w:val="both"/>
        <w:rPr>
          <w:rFonts w:ascii="Times New Roman" w:hAnsi="Times New Roman" w:cs="Times New Roman"/>
          <w:b/>
          <w:sz w:val="24"/>
          <w:szCs w:val="24"/>
        </w:rPr>
      </w:pPr>
      <w:r>
        <w:rPr>
          <w:rFonts w:ascii="Times New Roman" w:hAnsi="Times New Roman" w:cs="Times New Roman"/>
          <w:sz w:val="24"/>
          <w:szCs w:val="24"/>
        </w:rPr>
        <w:t>Table 2</w:t>
      </w:r>
      <w:r w:rsidR="00090235" w:rsidRPr="00E352DF">
        <w:rPr>
          <w:rFonts w:ascii="Times New Roman" w:hAnsi="Times New Roman" w:cs="Times New Roman"/>
          <w:sz w:val="24"/>
          <w:szCs w:val="24"/>
        </w:rPr>
        <w:t>: Comparison of Regulatory Requirement of EU and US</w:t>
      </w:r>
    </w:p>
    <w:tbl>
      <w:tblPr>
        <w:tblStyle w:val="TableGrid"/>
        <w:tblW w:w="0" w:type="auto"/>
        <w:tblLook w:val="04A0" w:firstRow="1" w:lastRow="0" w:firstColumn="1" w:lastColumn="0" w:noHBand="0" w:noVBand="1"/>
      </w:tblPr>
      <w:tblGrid>
        <w:gridCol w:w="3005"/>
        <w:gridCol w:w="3005"/>
        <w:gridCol w:w="3006"/>
      </w:tblGrid>
      <w:tr w:rsidR="00090235" w:rsidRPr="00E352DF" w14:paraId="22B72E48" w14:textId="77777777" w:rsidTr="00090235">
        <w:tc>
          <w:tcPr>
            <w:tcW w:w="3005" w:type="dxa"/>
          </w:tcPr>
          <w:p w14:paraId="7B0FFADA" w14:textId="77777777" w:rsidR="00090235" w:rsidRPr="00E352DF" w:rsidRDefault="00090235" w:rsidP="00090235">
            <w:pPr>
              <w:jc w:val="both"/>
              <w:rPr>
                <w:rFonts w:ascii="Times New Roman" w:hAnsi="Times New Roman" w:cs="Times New Roman"/>
                <w:b/>
                <w:sz w:val="24"/>
                <w:szCs w:val="24"/>
              </w:rPr>
            </w:pPr>
            <w:r w:rsidRPr="00E352DF">
              <w:rPr>
                <w:rFonts w:ascii="Times New Roman" w:hAnsi="Times New Roman" w:cs="Times New Roman"/>
                <w:b/>
                <w:sz w:val="24"/>
                <w:szCs w:val="24"/>
              </w:rPr>
              <w:t xml:space="preserve">Regulatory Requirement </w:t>
            </w:r>
          </w:p>
        </w:tc>
        <w:tc>
          <w:tcPr>
            <w:tcW w:w="3005" w:type="dxa"/>
          </w:tcPr>
          <w:p w14:paraId="2F1769FE" w14:textId="77777777" w:rsidR="00090235" w:rsidRPr="00E352DF" w:rsidRDefault="00090235" w:rsidP="00D11DBE">
            <w:pPr>
              <w:jc w:val="both"/>
              <w:rPr>
                <w:rFonts w:ascii="Times New Roman" w:hAnsi="Times New Roman" w:cs="Times New Roman"/>
                <w:b/>
                <w:sz w:val="24"/>
                <w:szCs w:val="24"/>
              </w:rPr>
            </w:pPr>
            <w:r w:rsidRPr="00E352DF">
              <w:rPr>
                <w:rFonts w:ascii="Times New Roman" w:hAnsi="Times New Roman" w:cs="Times New Roman"/>
                <w:b/>
                <w:sz w:val="24"/>
                <w:szCs w:val="24"/>
              </w:rPr>
              <w:t>European Union</w:t>
            </w:r>
          </w:p>
        </w:tc>
        <w:tc>
          <w:tcPr>
            <w:tcW w:w="3006" w:type="dxa"/>
          </w:tcPr>
          <w:p w14:paraId="304A0539" w14:textId="77777777" w:rsidR="00090235" w:rsidRPr="00E352DF" w:rsidRDefault="00090235" w:rsidP="00D11DBE">
            <w:pPr>
              <w:jc w:val="both"/>
              <w:rPr>
                <w:rFonts w:ascii="Times New Roman" w:hAnsi="Times New Roman" w:cs="Times New Roman"/>
                <w:b/>
                <w:sz w:val="24"/>
                <w:szCs w:val="24"/>
              </w:rPr>
            </w:pPr>
            <w:r w:rsidRPr="00E352DF">
              <w:rPr>
                <w:rFonts w:ascii="Times New Roman" w:hAnsi="Times New Roman" w:cs="Times New Roman"/>
                <w:b/>
                <w:sz w:val="24"/>
                <w:szCs w:val="24"/>
              </w:rPr>
              <w:t>United States</w:t>
            </w:r>
          </w:p>
        </w:tc>
      </w:tr>
      <w:tr w:rsidR="00E352DF" w:rsidRPr="00E352DF" w14:paraId="40FBD467" w14:textId="77777777" w:rsidTr="00CB5846">
        <w:tc>
          <w:tcPr>
            <w:tcW w:w="9016" w:type="dxa"/>
            <w:gridSpan w:val="3"/>
          </w:tcPr>
          <w:p w14:paraId="68773A13" w14:textId="77777777" w:rsidR="00E352DF" w:rsidRPr="00E352DF" w:rsidRDefault="00E352DF" w:rsidP="00D11DBE">
            <w:pPr>
              <w:jc w:val="both"/>
              <w:rPr>
                <w:rFonts w:ascii="Times New Roman" w:hAnsi="Times New Roman" w:cs="Times New Roman"/>
                <w:b/>
                <w:sz w:val="24"/>
                <w:szCs w:val="24"/>
              </w:rPr>
            </w:pPr>
            <w:r w:rsidRPr="00E352DF">
              <w:rPr>
                <w:rFonts w:ascii="Times New Roman" w:hAnsi="Times New Roman" w:cs="Times New Roman"/>
                <w:b/>
                <w:sz w:val="24"/>
                <w:szCs w:val="24"/>
              </w:rPr>
              <w:t>Administrative information</w:t>
            </w:r>
          </w:p>
        </w:tc>
      </w:tr>
      <w:tr w:rsidR="00090235" w:rsidRPr="00E352DF" w14:paraId="2A1833F0" w14:textId="77777777" w:rsidTr="00090235">
        <w:tc>
          <w:tcPr>
            <w:tcW w:w="3005" w:type="dxa"/>
          </w:tcPr>
          <w:p w14:paraId="181043AB" w14:textId="77777777" w:rsidR="00090235" w:rsidRPr="00E352DF" w:rsidRDefault="00090235" w:rsidP="00D11DBE">
            <w:pPr>
              <w:jc w:val="both"/>
              <w:rPr>
                <w:rFonts w:ascii="Times New Roman" w:hAnsi="Times New Roman" w:cs="Times New Roman"/>
                <w:b/>
                <w:sz w:val="24"/>
                <w:szCs w:val="24"/>
              </w:rPr>
            </w:pPr>
            <w:r w:rsidRPr="00E352DF">
              <w:rPr>
                <w:rFonts w:ascii="Times New Roman" w:hAnsi="Times New Roman" w:cs="Times New Roman"/>
                <w:sz w:val="24"/>
                <w:szCs w:val="24"/>
              </w:rPr>
              <w:lastRenderedPageBreak/>
              <w:t>Application</w:t>
            </w:r>
          </w:p>
        </w:tc>
        <w:tc>
          <w:tcPr>
            <w:tcW w:w="3005" w:type="dxa"/>
          </w:tcPr>
          <w:p w14:paraId="4300BF34" w14:textId="77777777" w:rsidR="00090235" w:rsidRPr="00E352DF" w:rsidRDefault="00090235" w:rsidP="00D11DBE">
            <w:pPr>
              <w:jc w:val="both"/>
              <w:rPr>
                <w:rFonts w:ascii="Times New Roman" w:hAnsi="Times New Roman" w:cs="Times New Roman"/>
                <w:b/>
                <w:sz w:val="24"/>
                <w:szCs w:val="24"/>
              </w:rPr>
            </w:pPr>
            <w:r w:rsidRPr="00E352DF">
              <w:rPr>
                <w:rFonts w:ascii="Times New Roman" w:hAnsi="Times New Roman" w:cs="Times New Roman"/>
                <w:sz w:val="24"/>
                <w:szCs w:val="24"/>
              </w:rPr>
              <w:t>Marketing Authorization Application (MAA)</w:t>
            </w:r>
          </w:p>
        </w:tc>
        <w:tc>
          <w:tcPr>
            <w:tcW w:w="3006" w:type="dxa"/>
          </w:tcPr>
          <w:p w14:paraId="0EB3FDB1" w14:textId="77777777" w:rsidR="00090235" w:rsidRPr="00E352DF" w:rsidRDefault="00090235" w:rsidP="00D11DBE">
            <w:pPr>
              <w:jc w:val="both"/>
              <w:rPr>
                <w:rFonts w:ascii="Times New Roman" w:hAnsi="Times New Roman" w:cs="Times New Roman"/>
                <w:b/>
                <w:sz w:val="24"/>
                <w:szCs w:val="24"/>
              </w:rPr>
            </w:pPr>
            <w:r w:rsidRPr="00E352DF">
              <w:rPr>
                <w:rFonts w:ascii="Times New Roman" w:hAnsi="Times New Roman" w:cs="Times New Roman"/>
                <w:sz w:val="24"/>
                <w:szCs w:val="24"/>
              </w:rPr>
              <w:t>Abbreviated New Drug Application (ANDA)(505j)</w:t>
            </w:r>
          </w:p>
        </w:tc>
      </w:tr>
      <w:tr w:rsidR="00090235" w:rsidRPr="00E352DF" w14:paraId="064D2B68" w14:textId="77777777" w:rsidTr="00090235">
        <w:tc>
          <w:tcPr>
            <w:tcW w:w="3005" w:type="dxa"/>
          </w:tcPr>
          <w:p w14:paraId="7D8D4059" w14:textId="77777777" w:rsidR="00090235" w:rsidRPr="00E352DF" w:rsidRDefault="00090235" w:rsidP="00D11DBE">
            <w:pPr>
              <w:jc w:val="both"/>
              <w:rPr>
                <w:rFonts w:ascii="Times New Roman" w:hAnsi="Times New Roman" w:cs="Times New Roman"/>
                <w:b/>
                <w:sz w:val="24"/>
                <w:szCs w:val="24"/>
              </w:rPr>
            </w:pPr>
            <w:r w:rsidRPr="00E352DF">
              <w:rPr>
                <w:rFonts w:ascii="Times New Roman" w:hAnsi="Times New Roman" w:cs="Times New Roman"/>
                <w:sz w:val="24"/>
                <w:szCs w:val="24"/>
              </w:rPr>
              <w:t>Type of drug filling</w:t>
            </w:r>
          </w:p>
        </w:tc>
        <w:tc>
          <w:tcPr>
            <w:tcW w:w="3005" w:type="dxa"/>
          </w:tcPr>
          <w:p w14:paraId="2EEA7F15" w14:textId="77777777" w:rsidR="00090235" w:rsidRPr="00E352DF" w:rsidRDefault="00090235" w:rsidP="00D11DBE">
            <w:pPr>
              <w:jc w:val="both"/>
              <w:rPr>
                <w:rFonts w:ascii="Times New Roman" w:hAnsi="Times New Roman" w:cs="Times New Roman"/>
                <w:b/>
                <w:sz w:val="24"/>
                <w:szCs w:val="24"/>
              </w:rPr>
            </w:pPr>
            <w:r w:rsidRPr="00E352DF">
              <w:rPr>
                <w:rFonts w:ascii="Times New Roman" w:hAnsi="Times New Roman" w:cs="Times New Roman"/>
                <w:sz w:val="24"/>
                <w:szCs w:val="24"/>
              </w:rPr>
              <w:t>Centralized procedure, National procedure, MRP, Decentralized procedure.</w:t>
            </w:r>
          </w:p>
        </w:tc>
        <w:tc>
          <w:tcPr>
            <w:tcW w:w="3006" w:type="dxa"/>
          </w:tcPr>
          <w:p w14:paraId="751A2011" w14:textId="77777777" w:rsidR="00090235" w:rsidRPr="00E352DF" w:rsidRDefault="00090235" w:rsidP="00D11DBE">
            <w:pPr>
              <w:jc w:val="both"/>
              <w:rPr>
                <w:rFonts w:ascii="Times New Roman" w:hAnsi="Times New Roman" w:cs="Times New Roman"/>
                <w:b/>
                <w:sz w:val="24"/>
                <w:szCs w:val="24"/>
              </w:rPr>
            </w:pPr>
            <w:r w:rsidRPr="00E352DF">
              <w:rPr>
                <w:rFonts w:ascii="Times New Roman" w:hAnsi="Times New Roman" w:cs="Times New Roman"/>
                <w:sz w:val="24"/>
                <w:szCs w:val="24"/>
              </w:rPr>
              <w:t>No such requirement.</w:t>
            </w:r>
          </w:p>
        </w:tc>
      </w:tr>
      <w:tr w:rsidR="00090235" w:rsidRPr="00E352DF" w14:paraId="573E417F" w14:textId="77777777" w:rsidTr="00090235">
        <w:tc>
          <w:tcPr>
            <w:tcW w:w="3005" w:type="dxa"/>
          </w:tcPr>
          <w:p w14:paraId="5986F8BD" w14:textId="77777777" w:rsidR="00090235" w:rsidRPr="00E352DF" w:rsidRDefault="00090235" w:rsidP="00D11DBE">
            <w:pPr>
              <w:jc w:val="both"/>
              <w:rPr>
                <w:rFonts w:ascii="Times New Roman" w:hAnsi="Times New Roman" w:cs="Times New Roman"/>
                <w:b/>
                <w:sz w:val="24"/>
                <w:szCs w:val="24"/>
              </w:rPr>
            </w:pPr>
            <w:r w:rsidRPr="00E352DF">
              <w:rPr>
                <w:rFonts w:ascii="Times New Roman" w:hAnsi="Times New Roman" w:cs="Times New Roman"/>
                <w:sz w:val="24"/>
                <w:szCs w:val="24"/>
              </w:rPr>
              <w:t>Approval timeline</w:t>
            </w:r>
          </w:p>
        </w:tc>
        <w:tc>
          <w:tcPr>
            <w:tcW w:w="3005" w:type="dxa"/>
          </w:tcPr>
          <w:p w14:paraId="2A016133" w14:textId="77777777" w:rsidR="00090235" w:rsidRPr="00E352DF" w:rsidRDefault="00090235" w:rsidP="00D11DBE">
            <w:pPr>
              <w:jc w:val="both"/>
              <w:rPr>
                <w:rFonts w:ascii="Times New Roman" w:hAnsi="Times New Roman" w:cs="Times New Roman"/>
                <w:b/>
                <w:sz w:val="24"/>
                <w:szCs w:val="24"/>
              </w:rPr>
            </w:pPr>
            <w:r w:rsidRPr="00E352DF">
              <w:rPr>
                <w:rFonts w:ascii="Times New Roman" w:hAnsi="Times New Roman" w:cs="Times New Roman"/>
                <w:sz w:val="24"/>
                <w:szCs w:val="24"/>
              </w:rPr>
              <w:t>12 months</w:t>
            </w:r>
          </w:p>
        </w:tc>
        <w:tc>
          <w:tcPr>
            <w:tcW w:w="3006" w:type="dxa"/>
          </w:tcPr>
          <w:p w14:paraId="11FAA2A5" w14:textId="77777777" w:rsidR="00090235" w:rsidRPr="00E352DF" w:rsidRDefault="00090235" w:rsidP="00D11DBE">
            <w:pPr>
              <w:jc w:val="both"/>
              <w:rPr>
                <w:rFonts w:ascii="Times New Roman" w:hAnsi="Times New Roman" w:cs="Times New Roman"/>
                <w:b/>
                <w:sz w:val="24"/>
                <w:szCs w:val="24"/>
              </w:rPr>
            </w:pPr>
            <w:r w:rsidRPr="00E352DF">
              <w:rPr>
                <w:rFonts w:ascii="Times New Roman" w:hAnsi="Times New Roman" w:cs="Times New Roman"/>
                <w:sz w:val="24"/>
                <w:szCs w:val="24"/>
              </w:rPr>
              <w:t>18 months</w:t>
            </w:r>
          </w:p>
        </w:tc>
      </w:tr>
      <w:tr w:rsidR="00090235" w:rsidRPr="00E352DF" w14:paraId="082633E8" w14:textId="77777777" w:rsidTr="00090235">
        <w:tc>
          <w:tcPr>
            <w:tcW w:w="3005" w:type="dxa"/>
          </w:tcPr>
          <w:p w14:paraId="0A638FC3" w14:textId="77777777" w:rsidR="00090235" w:rsidRPr="00E352DF" w:rsidRDefault="00090235" w:rsidP="00D11DBE">
            <w:pPr>
              <w:jc w:val="both"/>
              <w:rPr>
                <w:rFonts w:ascii="Times New Roman" w:hAnsi="Times New Roman" w:cs="Times New Roman"/>
                <w:b/>
                <w:sz w:val="24"/>
                <w:szCs w:val="24"/>
              </w:rPr>
            </w:pPr>
            <w:r w:rsidRPr="00E352DF">
              <w:rPr>
                <w:rFonts w:ascii="Times New Roman" w:hAnsi="Times New Roman" w:cs="Times New Roman"/>
                <w:sz w:val="24"/>
                <w:szCs w:val="24"/>
              </w:rPr>
              <w:t>Requirement for application</w:t>
            </w:r>
          </w:p>
        </w:tc>
        <w:tc>
          <w:tcPr>
            <w:tcW w:w="3005" w:type="dxa"/>
          </w:tcPr>
          <w:p w14:paraId="288EF186" w14:textId="77777777" w:rsidR="00090235" w:rsidRPr="00E352DF" w:rsidRDefault="00090235" w:rsidP="00D11DBE">
            <w:pPr>
              <w:jc w:val="both"/>
              <w:rPr>
                <w:rFonts w:ascii="Times New Roman" w:hAnsi="Times New Roman" w:cs="Times New Roman"/>
                <w:b/>
                <w:sz w:val="24"/>
                <w:szCs w:val="24"/>
              </w:rPr>
            </w:pPr>
            <w:r w:rsidRPr="00E352DF">
              <w:rPr>
                <w:rFonts w:ascii="Times New Roman" w:hAnsi="Times New Roman" w:cs="Times New Roman"/>
                <w:sz w:val="24"/>
                <w:szCs w:val="24"/>
              </w:rPr>
              <w:t>Based on Data\Market exclusivity</w:t>
            </w:r>
          </w:p>
        </w:tc>
        <w:tc>
          <w:tcPr>
            <w:tcW w:w="3006" w:type="dxa"/>
          </w:tcPr>
          <w:p w14:paraId="0ED478AD" w14:textId="77777777" w:rsidR="00090235" w:rsidRPr="00E352DF" w:rsidRDefault="00090235" w:rsidP="00D11DBE">
            <w:pPr>
              <w:jc w:val="both"/>
              <w:rPr>
                <w:rFonts w:ascii="Times New Roman" w:hAnsi="Times New Roman" w:cs="Times New Roman"/>
                <w:b/>
                <w:sz w:val="24"/>
                <w:szCs w:val="24"/>
              </w:rPr>
            </w:pPr>
            <w:r w:rsidRPr="00E352DF">
              <w:rPr>
                <w:rFonts w:ascii="Times New Roman" w:hAnsi="Times New Roman" w:cs="Times New Roman"/>
                <w:sz w:val="24"/>
                <w:szCs w:val="24"/>
              </w:rPr>
              <w:t>Based on Patent certification (Paragraph I, II, III, IV)</w:t>
            </w:r>
          </w:p>
        </w:tc>
      </w:tr>
      <w:tr w:rsidR="00090235" w:rsidRPr="00E352DF" w14:paraId="1D000CB1" w14:textId="77777777" w:rsidTr="00090235">
        <w:tc>
          <w:tcPr>
            <w:tcW w:w="3005" w:type="dxa"/>
          </w:tcPr>
          <w:p w14:paraId="3CA20174" w14:textId="77777777" w:rsidR="00090235" w:rsidRPr="00E352DF" w:rsidRDefault="00090235" w:rsidP="00D11DBE">
            <w:pPr>
              <w:jc w:val="both"/>
              <w:rPr>
                <w:rFonts w:ascii="Times New Roman" w:hAnsi="Times New Roman" w:cs="Times New Roman"/>
                <w:b/>
                <w:sz w:val="24"/>
                <w:szCs w:val="24"/>
              </w:rPr>
            </w:pPr>
            <w:r w:rsidRPr="00E352DF">
              <w:rPr>
                <w:rFonts w:ascii="Times New Roman" w:hAnsi="Times New Roman" w:cs="Times New Roman"/>
                <w:sz w:val="24"/>
                <w:szCs w:val="24"/>
              </w:rPr>
              <w:t>Agent authorization</w:t>
            </w:r>
          </w:p>
        </w:tc>
        <w:tc>
          <w:tcPr>
            <w:tcW w:w="3005" w:type="dxa"/>
          </w:tcPr>
          <w:p w14:paraId="2E1EA57E" w14:textId="77777777" w:rsidR="00090235" w:rsidRPr="00E352DF" w:rsidRDefault="00090235" w:rsidP="00D11DBE">
            <w:pPr>
              <w:jc w:val="both"/>
              <w:rPr>
                <w:rFonts w:ascii="Times New Roman" w:hAnsi="Times New Roman" w:cs="Times New Roman"/>
                <w:b/>
                <w:sz w:val="24"/>
                <w:szCs w:val="24"/>
              </w:rPr>
            </w:pPr>
            <w:r w:rsidRPr="00E352DF">
              <w:rPr>
                <w:rFonts w:ascii="Times New Roman" w:hAnsi="Times New Roman" w:cs="Times New Roman"/>
                <w:sz w:val="24"/>
                <w:szCs w:val="24"/>
              </w:rPr>
              <w:t>Not required</w:t>
            </w:r>
          </w:p>
        </w:tc>
        <w:tc>
          <w:tcPr>
            <w:tcW w:w="3006" w:type="dxa"/>
          </w:tcPr>
          <w:p w14:paraId="68BFB141" w14:textId="77777777" w:rsidR="00090235" w:rsidRPr="00E352DF" w:rsidRDefault="00090235" w:rsidP="00D11DBE">
            <w:pPr>
              <w:jc w:val="both"/>
              <w:rPr>
                <w:rFonts w:ascii="Times New Roman" w:hAnsi="Times New Roman" w:cs="Times New Roman"/>
                <w:b/>
                <w:sz w:val="24"/>
                <w:szCs w:val="24"/>
              </w:rPr>
            </w:pPr>
            <w:r w:rsidRPr="00E352DF">
              <w:rPr>
                <w:rFonts w:ascii="Times New Roman" w:hAnsi="Times New Roman" w:cs="Times New Roman"/>
                <w:sz w:val="24"/>
                <w:szCs w:val="24"/>
              </w:rPr>
              <w:t>Required</w:t>
            </w:r>
          </w:p>
        </w:tc>
      </w:tr>
      <w:tr w:rsidR="00090235" w:rsidRPr="00E352DF" w14:paraId="520C428D" w14:textId="77777777" w:rsidTr="00090235">
        <w:tc>
          <w:tcPr>
            <w:tcW w:w="3005" w:type="dxa"/>
          </w:tcPr>
          <w:p w14:paraId="25F3A25E" w14:textId="77777777" w:rsidR="00090235" w:rsidRPr="00E352DF" w:rsidRDefault="00090235" w:rsidP="00D11DBE">
            <w:pPr>
              <w:jc w:val="both"/>
              <w:rPr>
                <w:rFonts w:ascii="Times New Roman" w:hAnsi="Times New Roman" w:cs="Times New Roman"/>
                <w:b/>
                <w:sz w:val="24"/>
                <w:szCs w:val="24"/>
              </w:rPr>
            </w:pPr>
            <w:r w:rsidRPr="00E352DF">
              <w:rPr>
                <w:rFonts w:ascii="Times New Roman" w:hAnsi="Times New Roman" w:cs="Times New Roman"/>
                <w:sz w:val="24"/>
                <w:szCs w:val="24"/>
              </w:rPr>
              <w:t>Debarment certification</w:t>
            </w:r>
          </w:p>
        </w:tc>
        <w:tc>
          <w:tcPr>
            <w:tcW w:w="3005" w:type="dxa"/>
          </w:tcPr>
          <w:p w14:paraId="0EA8AF3E" w14:textId="77777777" w:rsidR="00090235" w:rsidRPr="00E352DF" w:rsidRDefault="00090235" w:rsidP="00D11DBE">
            <w:pPr>
              <w:jc w:val="both"/>
              <w:rPr>
                <w:rFonts w:ascii="Times New Roman" w:hAnsi="Times New Roman" w:cs="Times New Roman"/>
                <w:b/>
                <w:sz w:val="24"/>
                <w:szCs w:val="24"/>
              </w:rPr>
            </w:pPr>
            <w:r w:rsidRPr="00E352DF">
              <w:rPr>
                <w:rFonts w:ascii="Times New Roman" w:hAnsi="Times New Roman" w:cs="Times New Roman"/>
                <w:sz w:val="24"/>
                <w:szCs w:val="24"/>
              </w:rPr>
              <w:t>Not required</w:t>
            </w:r>
          </w:p>
        </w:tc>
        <w:tc>
          <w:tcPr>
            <w:tcW w:w="3006" w:type="dxa"/>
          </w:tcPr>
          <w:p w14:paraId="78578EC0" w14:textId="77777777" w:rsidR="00090235" w:rsidRPr="00E352DF" w:rsidRDefault="00090235" w:rsidP="00D11DBE">
            <w:pPr>
              <w:jc w:val="both"/>
              <w:rPr>
                <w:rFonts w:ascii="Times New Roman" w:hAnsi="Times New Roman" w:cs="Times New Roman"/>
                <w:b/>
                <w:sz w:val="24"/>
                <w:szCs w:val="24"/>
              </w:rPr>
            </w:pPr>
            <w:r w:rsidRPr="00E352DF">
              <w:rPr>
                <w:rFonts w:ascii="Times New Roman" w:hAnsi="Times New Roman" w:cs="Times New Roman"/>
                <w:sz w:val="24"/>
                <w:szCs w:val="24"/>
              </w:rPr>
              <w:t>Required</w:t>
            </w:r>
          </w:p>
        </w:tc>
      </w:tr>
      <w:tr w:rsidR="00090235" w:rsidRPr="00E352DF" w14:paraId="26ED5AD0" w14:textId="77777777" w:rsidTr="00090235">
        <w:tc>
          <w:tcPr>
            <w:tcW w:w="3005" w:type="dxa"/>
          </w:tcPr>
          <w:p w14:paraId="3B61FD28" w14:textId="77777777" w:rsidR="00090235" w:rsidRPr="00E352DF" w:rsidRDefault="00090235" w:rsidP="00D11DBE">
            <w:pPr>
              <w:jc w:val="both"/>
              <w:rPr>
                <w:rFonts w:ascii="Times New Roman" w:hAnsi="Times New Roman" w:cs="Times New Roman"/>
                <w:sz w:val="24"/>
                <w:szCs w:val="24"/>
              </w:rPr>
            </w:pPr>
            <w:r w:rsidRPr="00E352DF">
              <w:rPr>
                <w:rFonts w:ascii="Times New Roman" w:hAnsi="Times New Roman" w:cs="Times New Roman"/>
                <w:sz w:val="24"/>
                <w:szCs w:val="24"/>
              </w:rPr>
              <w:t>Pharmacovigilance</w:t>
            </w:r>
          </w:p>
        </w:tc>
        <w:tc>
          <w:tcPr>
            <w:tcW w:w="3005" w:type="dxa"/>
          </w:tcPr>
          <w:p w14:paraId="3939AA85" w14:textId="77777777" w:rsidR="00090235" w:rsidRPr="00E352DF" w:rsidRDefault="00090235" w:rsidP="00D11DBE">
            <w:pPr>
              <w:jc w:val="both"/>
              <w:rPr>
                <w:rFonts w:ascii="Times New Roman" w:hAnsi="Times New Roman" w:cs="Times New Roman"/>
                <w:sz w:val="24"/>
                <w:szCs w:val="24"/>
              </w:rPr>
            </w:pPr>
            <w:r w:rsidRPr="00E352DF">
              <w:rPr>
                <w:rFonts w:ascii="Times New Roman" w:hAnsi="Times New Roman" w:cs="Times New Roman"/>
                <w:sz w:val="24"/>
                <w:szCs w:val="24"/>
              </w:rPr>
              <w:t>Required</w:t>
            </w:r>
          </w:p>
        </w:tc>
        <w:tc>
          <w:tcPr>
            <w:tcW w:w="3006" w:type="dxa"/>
          </w:tcPr>
          <w:p w14:paraId="744F72A0" w14:textId="77777777" w:rsidR="00090235" w:rsidRPr="00E352DF" w:rsidRDefault="00090235" w:rsidP="00D11DBE">
            <w:pPr>
              <w:jc w:val="both"/>
              <w:rPr>
                <w:rFonts w:ascii="Times New Roman" w:hAnsi="Times New Roman" w:cs="Times New Roman"/>
                <w:sz w:val="24"/>
                <w:szCs w:val="24"/>
              </w:rPr>
            </w:pPr>
            <w:r w:rsidRPr="00E352DF">
              <w:rPr>
                <w:rFonts w:ascii="Times New Roman" w:hAnsi="Times New Roman" w:cs="Times New Roman"/>
                <w:sz w:val="24"/>
                <w:szCs w:val="24"/>
              </w:rPr>
              <w:t>Not required</w:t>
            </w:r>
          </w:p>
        </w:tc>
      </w:tr>
      <w:tr w:rsidR="00E352DF" w:rsidRPr="00E352DF" w14:paraId="7307CEB6" w14:textId="77777777" w:rsidTr="001F0B58">
        <w:tc>
          <w:tcPr>
            <w:tcW w:w="9016" w:type="dxa"/>
            <w:gridSpan w:val="3"/>
          </w:tcPr>
          <w:p w14:paraId="7AC1AC9C" w14:textId="77777777" w:rsidR="00E352DF" w:rsidRPr="00E352DF" w:rsidRDefault="00E352DF" w:rsidP="00D11DBE">
            <w:pPr>
              <w:jc w:val="both"/>
              <w:rPr>
                <w:rFonts w:ascii="Times New Roman" w:hAnsi="Times New Roman" w:cs="Times New Roman"/>
                <w:sz w:val="24"/>
                <w:szCs w:val="24"/>
              </w:rPr>
            </w:pPr>
            <w:r w:rsidRPr="00E352DF">
              <w:rPr>
                <w:rFonts w:ascii="Times New Roman" w:hAnsi="Times New Roman" w:cs="Times New Roman"/>
                <w:b/>
                <w:sz w:val="24"/>
                <w:szCs w:val="24"/>
              </w:rPr>
              <w:t>Control of Drug Product</w:t>
            </w:r>
          </w:p>
        </w:tc>
      </w:tr>
      <w:tr w:rsidR="00090235" w:rsidRPr="00E352DF" w14:paraId="4FBDCB21" w14:textId="77777777" w:rsidTr="00090235">
        <w:tc>
          <w:tcPr>
            <w:tcW w:w="3005" w:type="dxa"/>
          </w:tcPr>
          <w:p w14:paraId="0D9207A5" w14:textId="77777777" w:rsidR="00090235" w:rsidRPr="00E352DF" w:rsidRDefault="00090235" w:rsidP="00D11DBE">
            <w:pPr>
              <w:jc w:val="both"/>
              <w:rPr>
                <w:rFonts w:ascii="Times New Roman" w:hAnsi="Times New Roman" w:cs="Times New Roman"/>
                <w:sz w:val="24"/>
                <w:szCs w:val="24"/>
              </w:rPr>
            </w:pPr>
            <w:r w:rsidRPr="00E352DF">
              <w:rPr>
                <w:rFonts w:ascii="Times New Roman" w:hAnsi="Times New Roman" w:cs="Times New Roman"/>
                <w:sz w:val="24"/>
                <w:szCs w:val="24"/>
              </w:rPr>
              <w:t>Manufacturer FEI number</w:t>
            </w:r>
          </w:p>
        </w:tc>
        <w:tc>
          <w:tcPr>
            <w:tcW w:w="3005" w:type="dxa"/>
          </w:tcPr>
          <w:p w14:paraId="363BEB3B" w14:textId="77777777" w:rsidR="00090235" w:rsidRPr="00E352DF" w:rsidRDefault="00090235" w:rsidP="00D11DBE">
            <w:pPr>
              <w:jc w:val="both"/>
              <w:rPr>
                <w:rFonts w:ascii="Times New Roman" w:hAnsi="Times New Roman" w:cs="Times New Roman"/>
                <w:sz w:val="24"/>
                <w:szCs w:val="24"/>
              </w:rPr>
            </w:pPr>
            <w:r w:rsidRPr="00E352DF">
              <w:rPr>
                <w:rFonts w:ascii="Times New Roman" w:hAnsi="Times New Roman" w:cs="Times New Roman"/>
                <w:sz w:val="24"/>
                <w:szCs w:val="24"/>
              </w:rPr>
              <w:t>Not required</w:t>
            </w:r>
          </w:p>
        </w:tc>
        <w:tc>
          <w:tcPr>
            <w:tcW w:w="3006" w:type="dxa"/>
          </w:tcPr>
          <w:p w14:paraId="33BC094E" w14:textId="77777777" w:rsidR="00090235" w:rsidRPr="00E352DF" w:rsidRDefault="00090235" w:rsidP="00D11DBE">
            <w:pPr>
              <w:jc w:val="both"/>
              <w:rPr>
                <w:rFonts w:ascii="Times New Roman" w:hAnsi="Times New Roman" w:cs="Times New Roman"/>
                <w:sz w:val="24"/>
                <w:szCs w:val="24"/>
              </w:rPr>
            </w:pPr>
            <w:r w:rsidRPr="00E352DF">
              <w:rPr>
                <w:rFonts w:ascii="Times New Roman" w:hAnsi="Times New Roman" w:cs="Times New Roman"/>
                <w:sz w:val="24"/>
                <w:szCs w:val="24"/>
              </w:rPr>
              <w:t>Required</w:t>
            </w:r>
          </w:p>
        </w:tc>
      </w:tr>
      <w:tr w:rsidR="00090235" w:rsidRPr="00E352DF" w14:paraId="66D81F82" w14:textId="77777777" w:rsidTr="00090235">
        <w:tc>
          <w:tcPr>
            <w:tcW w:w="3005" w:type="dxa"/>
          </w:tcPr>
          <w:p w14:paraId="3F268A01" w14:textId="77777777" w:rsidR="00090235" w:rsidRPr="00E352DF" w:rsidRDefault="00090235" w:rsidP="00D11DBE">
            <w:pPr>
              <w:jc w:val="both"/>
              <w:rPr>
                <w:rFonts w:ascii="Times New Roman" w:hAnsi="Times New Roman" w:cs="Times New Roman"/>
                <w:sz w:val="24"/>
                <w:szCs w:val="24"/>
              </w:rPr>
            </w:pPr>
            <w:r w:rsidRPr="00E352DF">
              <w:rPr>
                <w:rFonts w:ascii="Times New Roman" w:hAnsi="Times New Roman" w:cs="Times New Roman"/>
                <w:sz w:val="24"/>
                <w:szCs w:val="24"/>
              </w:rPr>
              <w:t>Identification of color</w:t>
            </w:r>
          </w:p>
        </w:tc>
        <w:tc>
          <w:tcPr>
            <w:tcW w:w="3005" w:type="dxa"/>
          </w:tcPr>
          <w:p w14:paraId="44891A1C" w14:textId="77777777" w:rsidR="00090235" w:rsidRPr="00E352DF" w:rsidRDefault="00090235" w:rsidP="00D11DBE">
            <w:pPr>
              <w:jc w:val="both"/>
              <w:rPr>
                <w:rFonts w:ascii="Times New Roman" w:hAnsi="Times New Roman" w:cs="Times New Roman"/>
                <w:sz w:val="24"/>
                <w:szCs w:val="24"/>
              </w:rPr>
            </w:pPr>
            <w:r w:rsidRPr="00E352DF">
              <w:rPr>
                <w:rFonts w:ascii="Times New Roman" w:hAnsi="Times New Roman" w:cs="Times New Roman"/>
                <w:sz w:val="24"/>
                <w:szCs w:val="24"/>
              </w:rPr>
              <w:t>Required</w:t>
            </w:r>
          </w:p>
        </w:tc>
        <w:tc>
          <w:tcPr>
            <w:tcW w:w="3006" w:type="dxa"/>
          </w:tcPr>
          <w:p w14:paraId="5ABB8487" w14:textId="77777777" w:rsidR="00090235" w:rsidRPr="00E352DF" w:rsidRDefault="00090235" w:rsidP="00D11DBE">
            <w:pPr>
              <w:jc w:val="both"/>
              <w:rPr>
                <w:rFonts w:ascii="Times New Roman" w:hAnsi="Times New Roman" w:cs="Times New Roman"/>
                <w:sz w:val="24"/>
                <w:szCs w:val="24"/>
              </w:rPr>
            </w:pPr>
            <w:r w:rsidRPr="00E352DF">
              <w:rPr>
                <w:rFonts w:ascii="Times New Roman" w:hAnsi="Times New Roman" w:cs="Times New Roman"/>
                <w:sz w:val="24"/>
                <w:szCs w:val="24"/>
              </w:rPr>
              <w:t>Not required</w:t>
            </w:r>
          </w:p>
        </w:tc>
      </w:tr>
      <w:tr w:rsidR="00090235" w:rsidRPr="00E352DF" w14:paraId="11448EA5" w14:textId="77777777" w:rsidTr="00090235">
        <w:tc>
          <w:tcPr>
            <w:tcW w:w="3005" w:type="dxa"/>
          </w:tcPr>
          <w:p w14:paraId="0C3DB0B8" w14:textId="77777777" w:rsidR="00090235" w:rsidRPr="00E352DF" w:rsidRDefault="00090235" w:rsidP="00D11DBE">
            <w:pPr>
              <w:jc w:val="both"/>
              <w:rPr>
                <w:rFonts w:ascii="Times New Roman" w:hAnsi="Times New Roman" w:cs="Times New Roman"/>
                <w:sz w:val="24"/>
                <w:szCs w:val="24"/>
              </w:rPr>
            </w:pPr>
            <w:r w:rsidRPr="00E352DF">
              <w:rPr>
                <w:rFonts w:ascii="Times New Roman" w:hAnsi="Times New Roman" w:cs="Times New Roman"/>
                <w:sz w:val="24"/>
                <w:szCs w:val="24"/>
              </w:rPr>
              <w:t>Number of batches required during submission</w:t>
            </w:r>
          </w:p>
        </w:tc>
        <w:tc>
          <w:tcPr>
            <w:tcW w:w="3005" w:type="dxa"/>
          </w:tcPr>
          <w:p w14:paraId="35B14B4D" w14:textId="77777777" w:rsidR="00090235" w:rsidRPr="00E352DF" w:rsidRDefault="00090235" w:rsidP="00D11DBE">
            <w:pPr>
              <w:jc w:val="both"/>
              <w:rPr>
                <w:rFonts w:ascii="Times New Roman" w:hAnsi="Times New Roman" w:cs="Times New Roman"/>
                <w:sz w:val="24"/>
                <w:szCs w:val="24"/>
              </w:rPr>
            </w:pPr>
            <w:r w:rsidRPr="00E352DF">
              <w:rPr>
                <w:rFonts w:ascii="Times New Roman" w:hAnsi="Times New Roman" w:cs="Times New Roman"/>
                <w:sz w:val="24"/>
                <w:szCs w:val="24"/>
              </w:rPr>
              <w:t>Two batches</w:t>
            </w:r>
          </w:p>
        </w:tc>
        <w:tc>
          <w:tcPr>
            <w:tcW w:w="3006" w:type="dxa"/>
          </w:tcPr>
          <w:p w14:paraId="6DA2953F" w14:textId="77777777" w:rsidR="00090235" w:rsidRPr="00E352DF" w:rsidRDefault="00090235" w:rsidP="00D11DBE">
            <w:pPr>
              <w:jc w:val="both"/>
              <w:rPr>
                <w:rFonts w:ascii="Times New Roman" w:hAnsi="Times New Roman" w:cs="Times New Roman"/>
                <w:sz w:val="24"/>
                <w:szCs w:val="24"/>
              </w:rPr>
            </w:pPr>
            <w:r w:rsidRPr="00E352DF">
              <w:rPr>
                <w:rFonts w:ascii="Times New Roman" w:hAnsi="Times New Roman" w:cs="Times New Roman"/>
                <w:sz w:val="24"/>
                <w:szCs w:val="24"/>
              </w:rPr>
              <w:t>Single batch</w:t>
            </w:r>
          </w:p>
        </w:tc>
      </w:tr>
      <w:tr w:rsidR="00E352DF" w:rsidRPr="00E352DF" w14:paraId="260B14D6" w14:textId="77777777" w:rsidTr="00E65075">
        <w:tc>
          <w:tcPr>
            <w:tcW w:w="9016" w:type="dxa"/>
            <w:gridSpan w:val="3"/>
          </w:tcPr>
          <w:p w14:paraId="0E21140E" w14:textId="77777777" w:rsidR="00E352DF" w:rsidRPr="00E352DF" w:rsidRDefault="00E352DF" w:rsidP="00D11DBE">
            <w:pPr>
              <w:jc w:val="both"/>
              <w:rPr>
                <w:rFonts w:ascii="Times New Roman" w:hAnsi="Times New Roman" w:cs="Times New Roman"/>
                <w:sz w:val="24"/>
                <w:szCs w:val="24"/>
              </w:rPr>
            </w:pPr>
            <w:r w:rsidRPr="00E352DF">
              <w:rPr>
                <w:rFonts w:ascii="Times New Roman" w:hAnsi="Times New Roman" w:cs="Times New Roman"/>
                <w:b/>
                <w:sz w:val="24"/>
                <w:szCs w:val="24"/>
              </w:rPr>
              <w:t>Stability</w:t>
            </w:r>
          </w:p>
        </w:tc>
      </w:tr>
      <w:tr w:rsidR="00C02E92" w:rsidRPr="00E352DF" w14:paraId="76D6B84A" w14:textId="77777777" w:rsidTr="00090235">
        <w:tc>
          <w:tcPr>
            <w:tcW w:w="3005" w:type="dxa"/>
          </w:tcPr>
          <w:p w14:paraId="122B0E9E" w14:textId="77777777" w:rsidR="00C02E92" w:rsidRPr="00E352DF" w:rsidRDefault="00C02E92" w:rsidP="00D11DBE">
            <w:pPr>
              <w:jc w:val="both"/>
              <w:rPr>
                <w:rFonts w:ascii="Times New Roman" w:hAnsi="Times New Roman" w:cs="Times New Roman"/>
                <w:b/>
                <w:sz w:val="24"/>
                <w:szCs w:val="24"/>
              </w:rPr>
            </w:pPr>
            <w:r w:rsidRPr="00E352DF">
              <w:rPr>
                <w:rFonts w:ascii="Times New Roman" w:hAnsi="Times New Roman" w:cs="Times New Roman"/>
                <w:sz w:val="24"/>
                <w:szCs w:val="24"/>
              </w:rPr>
              <w:t>Selection of Reference drug</w:t>
            </w:r>
          </w:p>
        </w:tc>
        <w:tc>
          <w:tcPr>
            <w:tcW w:w="3005" w:type="dxa"/>
          </w:tcPr>
          <w:p w14:paraId="18DC71B5" w14:textId="77777777" w:rsidR="00C02E92" w:rsidRPr="00E352DF" w:rsidRDefault="00C02E92" w:rsidP="00D11DBE">
            <w:pPr>
              <w:jc w:val="both"/>
              <w:rPr>
                <w:rFonts w:ascii="Times New Roman" w:hAnsi="Times New Roman" w:cs="Times New Roman"/>
                <w:sz w:val="24"/>
                <w:szCs w:val="24"/>
              </w:rPr>
            </w:pPr>
            <w:r w:rsidRPr="00E352DF">
              <w:rPr>
                <w:rFonts w:ascii="Times New Roman" w:hAnsi="Times New Roman" w:cs="Times New Roman"/>
                <w:sz w:val="24"/>
                <w:szCs w:val="24"/>
              </w:rPr>
              <w:t>With reference to marketing authorization is or has been granted in the Union</w:t>
            </w:r>
          </w:p>
        </w:tc>
        <w:tc>
          <w:tcPr>
            <w:tcW w:w="3006" w:type="dxa"/>
          </w:tcPr>
          <w:p w14:paraId="5C02E9F8" w14:textId="77777777" w:rsidR="00C02E92" w:rsidRPr="00E352DF" w:rsidRDefault="00C02E92" w:rsidP="00D11DBE">
            <w:pPr>
              <w:jc w:val="both"/>
              <w:rPr>
                <w:rFonts w:ascii="Times New Roman" w:hAnsi="Times New Roman" w:cs="Times New Roman"/>
                <w:sz w:val="24"/>
                <w:szCs w:val="24"/>
              </w:rPr>
            </w:pPr>
            <w:r w:rsidRPr="00E352DF">
              <w:rPr>
                <w:rFonts w:ascii="Times New Roman" w:hAnsi="Times New Roman" w:cs="Times New Roman"/>
                <w:sz w:val="24"/>
                <w:szCs w:val="24"/>
              </w:rPr>
              <w:t>With reference to Orange book listed patent.</w:t>
            </w:r>
          </w:p>
        </w:tc>
      </w:tr>
      <w:tr w:rsidR="00C02E92" w:rsidRPr="00E352DF" w14:paraId="3DFF435B" w14:textId="77777777" w:rsidTr="00090235">
        <w:tc>
          <w:tcPr>
            <w:tcW w:w="3005" w:type="dxa"/>
          </w:tcPr>
          <w:p w14:paraId="2668EFFC" w14:textId="77777777" w:rsidR="00C02E92" w:rsidRPr="00E352DF" w:rsidRDefault="00C02E92" w:rsidP="00D11DBE">
            <w:pPr>
              <w:jc w:val="both"/>
              <w:rPr>
                <w:rFonts w:ascii="Times New Roman" w:hAnsi="Times New Roman" w:cs="Times New Roman"/>
                <w:sz w:val="24"/>
                <w:szCs w:val="24"/>
              </w:rPr>
            </w:pPr>
            <w:r w:rsidRPr="00E352DF">
              <w:rPr>
                <w:rFonts w:ascii="Times New Roman" w:hAnsi="Times New Roman" w:cs="Times New Roman"/>
                <w:sz w:val="24"/>
                <w:szCs w:val="24"/>
              </w:rPr>
              <w:t>CRO</w:t>
            </w:r>
          </w:p>
        </w:tc>
        <w:tc>
          <w:tcPr>
            <w:tcW w:w="3005" w:type="dxa"/>
          </w:tcPr>
          <w:p w14:paraId="22CB6F30" w14:textId="77777777" w:rsidR="00C02E92" w:rsidRPr="00E352DF" w:rsidRDefault="00C02E92" w:rsidP="00D11DBE">
            <w:pPr>
              <w:jc w:val="both"/>
              <w:rPr>
                <w:rFonts w:ascii="Times New Roman" w:hAnsi="Times New Roman" w:cs="Times New Roman"/>
                <w:sz w:val="24"/>
                <w:szCs w:val="24"/>
              </w:rPr>
            </w:pPr>
            <w:r w:rsidRPr="00E352DF">
              <w:rPr>
                <w:rFonts w:ascii="Times New Roman" w:hAnsi="Times New Roman" w:cs="Times New Roman"/>
                <w:sz w:val="24"/>
                <w:szCs w:val="24"/>
              </w:rPr>
              <w:t>Audited by MHRA</w:t>
            </w:r>
          </w:p>
        </w:tc>
        <w:tc>
          <w:tcPr>
            <w:tcW w:w="3006" w:type="dxa"/>
          </w:tcPr>
          <w:p w14:paraId="717559B4" w14:textId="77777777" w:rsidR="00C02E92" w:rsidRPr="00E352DF" w:rsidRDefault="00C02E92" w:rsidP="00D11DBE">
            <w:pPr>
              <w:jc w:val="both"/>
              <w:rPr>
                <w:rFonts w:ascii="Times New Roman" w:hAnsi="Times New Roman" w:cs="Times New Roman"/>
                <w:sz w:val="24"/>
                <w:szCs w:val="24"/>
              </w:rPr>
            </w:pPr>
            <w:r w:rsidRPr="00E352DF">
              <w:rPr>
                <w:rFonts w:ascii="Times New Roman" w:hAnsi="Times New Roman" w:cs="Times New Roman"/>
                <w:sz w:val="24"/>
                <w:szCs w:val="24"/>
              </w:rPr>
              <w:t>Audited by FDA</w:t>
            </w:r>
          </w:p>
        </w:tc>
      </w:tr>
      <w:tr w:rsidR="00C02E92" w:rsidRPr="00E352DF" w14:paraId="7670BFB8" w14:textId="77777777" w:rsidTr="00090235">
        <w:tc>
          <w:tcPr>
            <w:tcW w:w="3005" w:type="dxa"/>
          </w:tcPr>
          <w:p w14:paraId="04C7C25E" w14:textId="77777777" w:rsidR="00C02E92" w:rsidRPr="00E352DF" w:rsidRDefault="00C02E92" w:rsidP="00D11DBE">
            <w:pPr>
              <w:jc w:val="both"/>
              <w:rPr>
                <w:rFonts w:ascii="Times New Roman" w:hAnsi="Times New Roman" w:cs="Times New Roman"/>
                <w:sz w:val="24"/>
                <w:szCs w:val="24"/>
              </w:rPr>
            </w:pPr>
            <w:r w:rsidRPr="00E352DF">
              <w:rPr>
                <w:rFonts w:ascii="Times New Roman" w:hAnsi="Times New Roman" w:cs="Times New Roman"/>
                <w:sz w:val="24"/>
                <w:szCs w:val="24"/>
              </w:rPr>
              <w:t>Dosage strength</w:t>
            </w:r>
          </w:p>
        </w:tc>
        <w:tc>
          <w:tcPr>
            <w:tcW w:w="3005" w:type="dxa"/>
          </w:tcPr>
          <w:p w14:paraId="7E784E7C" w14:textId="77777777" w:rsidR="00C02E92" w:rsidRPr="00E352DF" w:rsidRDefault="00C02E92" w:rsidP="00D11DBE">
            <w:pPr>
              <w:jc w:val="both"/>
              <w:rPr>
                <w:rFonts w:ascii="Times New Roman" w:hAnsi="Times New Roman" w:cs="Times New Roman"/>
                <w:sz w:val="24"/>
                <w:szCs w:val="24"/>
              </w:rPr>
            </w:pPr>
            <w:r w:rsidRPr="00E352DF">
              <w:rPr>
                <w:rFonts w:ascii="Times New Roman" w:hAnsi="Times New Roman" w:cs="Times New Roman"/>
                <w:sz w:val="24"/>
                <w:szCs w:val="24"/>
              </w:rPr>
              <w:t>No such requirement</w:t>
            </w:r>
          </w:p>
        </w:tc>
        <w:tc>
          <w:tcPr>
            <w:tcW w:w="3006" w:type="dxa"/>
          </w:tcPr>
          <w:p w14:paraId="6867F00B" w14:textId="77777777" w:rsidR="00C02E92" w:rsidRPr="00E352DF" w:rsidRDefault="00C02E92" w:rsidP="00D11DBE">
            <w:pPr>
              <w:jc w:val="both"/>
              <w:rPr>
                <w:rFonts w:ascii="Times New Roman" w:hAnsi="Times New Roman" w:cs="Times New Roman"/>
                <w:sz w:val="24"/>
                <w:szCs w:val="24"/>
              </w:rPr>
            </w:pPr>
            <w:r w:rsidRPr="00E352DF">
              <w:rPr>
                <w:rFonts w:ascii="Times New Roman" w:hAnsi="Times New Roman" w:cs="Times New Roman"/>
                <w:sz w:val="24"/>
                <w:szCs w:val="24"/>
              </w:rPr>
              <w:t>BA and BE are conducted on highest strength.</w:t>
            </w:r>
          </w:p>
        </w:tc>
      </w:tr>
      <w:tr w:rsidR="00C02E92" w:rsidRPr="00E352DF" w14:paraId="7892246A" w14:textId="77777777" w:rsidTr="00090235">
        <w:tc>
          <w:tcPr>
            <w:tcW w:w="3005" w:type="dxa"/>
          </w:tcPr>
          <w:p w14:paraId="5E77DAFF" w14:textId="77777777" w:rsidR="00C02E92" w:rsidRPr="00E352DF" w:rsidRDefault="00C02E92" w:rsidP="00D11DBE">
            <w:pPr>
              <w:jc w:val="both"/>
              <w:rPr>
                <w:rFonts w:ascii="Times New Roman" w:hAnsi="Times New Roman" w:cs="Times New Roman"/>
                <w:sz w:val="24"/>
                <w:szCs w:val="24"/>
              </w:rPr>
            </w:pPr>
            <w:r w:rsidRPr="00E352DF">
              <w:rPr>
                <w:rFonts w:ascii="Times New Roman" w:hAnsi="Times New Roman" w:cs="Times New Roman"/>
                <w:sz w:val="24"/>
                <w:szCs w:val="24"/>
              </w:rPr>
              <w:t>Body Mass Index (BMI)</w:t>
            </w:r>
          </w:p>
        </w:tc>
        <w:tc>
          <w:tcPr>
            <w:tcW w:w="3005" w:type="dxa"/>
          </w:tcPr>
          <w:p w14:paraId="37194ADE" w14:textId="77777777" w:rsidR="00C02E92" w:rsidRPr="00E352DF" w:rsidRDefault="00C02E92" w:rsidP="00D11DBE">
            <w:pPr>
              <w:jc w:val="both"/>
              <w:rPr>
                <w:rFonts w:ascii="Times New Roman" w:hAnsi="Times New Roman" w:cs="Times New Roman"/>
                <w:sz w:val="24"/>
                <w:szCs w:val="24"/>
                <w:vertAlign w:val="superscript"/>
              </w:rPr>
            </w:pPr>
            <w:r w:rsidRPr="00E352DF">
              <w:rPr>
                <w:rFonts w:ascii="Times New Roman" w:hAnsi="Times New Roman" w:cs="Times New Roman"/>
                <w:sz w:val="24"/>
                <w:szCs w:val="24"/>
              </w:rPr>
              <w:t>Between 18.5 and 30 kg/m</w:t>
            </w:r>
            <w:r w:rsidRPr="00E352DF">
              <w:rPr>
                <w:rFonts w:ascii="Times New Roman" w:hAnsi="Times New Roman" w:cs="Times New Roman"/>
                <w:sz w:val="24"/>
                <w:szCs w:val="24"/>
                <w:vertAlign w:val="superscript"/>
              </w:rPr>
              <w:t>2</w:t>
            </w:r>
          </w:p>
        </w:tc>
        <w:tc>
          <w:tcPr>
            <w:tcW w:w="3006" w:type="dxa"/>
          </w:tcPr>
          <w:p w14:paraId="605A0582" w14:textId="77777777" w:rsidR="00C02E92" w:rsidRPr="00E352DF" w:rsidRDefault="00C02E92" w:rsidP="00D11DBE">
            <w:pPr>
              <w:jc w:val="both"/>
              <w:rPr>
                <w:rFonts w:ascii="Times New Roman" w:hAnsi="Times New Roman" w:cs="Times New Roman"/>
                <w:sz w:val="24"/>
                <w:szCs w:val="24"/>
              </w:rPr>
            </w:pPr>
            <w:r w:rsidRPr="00E352DF">
              <w:rPr>
                <w:rFonts w:ascii="Times New Roman" w:hAnsi="Times New Roman" w:cs="Times New Roman"/>
                <w:sz w:val="24"/>
                <w:szCs w:val="24"/>
              </w:rPr>
              <w:t>Not addressed</w:t>
            </w:r>
          </w:p>
        </w:tc>
      </w:tr>
      <w:tr w:rsidR="00E352DF" w:rsidRPr="00E352DF" w14:paraId="2850E3A1" w14:textId="77777777" w:rsidTr="001C71D6">
        <w:tc>
          <w:tcPr>
            <w:tcW w:w="9016" w:type="dxa"/>
            <w:gridSpan w:val="3"/>
          </w:tcPr>
          <w:p w14:paraId="198BEEB2" w14:textId="77777777" w:rsidR="00E352DF" w:rsidRPr="00E352DF" w:rsidRDefault="00E352DF" w:rsidP="00D11DBE">
            <w:pPr>
              <w:jc w:val="both"/>
              <w:rPr>
                <w:rFonts w:ascii="Times New Roman" w:hAnsi="Times New Roman" w:cs="Times New Roman"/>
                <w:sz w:val="24"/>
                <w:szCs w:val="24"/>
              </w:rPr>
            </w:pPr>
            <w:r w:rsidRPr="00E352DF">
              <w:rPr>
                <w:rFonts w:ascii="Times New Roman" w:hAnsi="Times New Roman" w:cs="Times New Roman"/>
                <w:b/>
                <w:sz w:val="24"/>
                <w:szCs w:val="24"/>
              </w:rPr>
              <w:t>Type of Study</w:t>
            </w:r>
          </w:p>
        </w:tc>
      </w:tr>
      <w:tr w:rsidR="00C02E92" w:rsidRPr="00E352DF" w14:paraId="70130C81" w14:textId="77777777" w:rsidTr="00090235">
        <w:tc>
          <w:tcPr>
            <w:tcW w:w="3005" w:type="dxa"/>
          </w:tcPr>
          <w:p w14:paraId="42395D79" w14:textId="77777777" w:rsidR="00C02E92" w:rsidRPr="00E352DF" w:rsidRDefault="00C02E92" w:rsidP="00D11DBE">
            <w:pPr>
              <w:jc w:val="both"/>
              <w:rPr>
                <w:rFonts w:ascii="Times New Roman" w:hAnsi="Times New Roman" w:cs="Times New Roman"/>
                <w:b/>
                <w:sz w:val="24"/>
                <w:szCs w:val="24"/>
              </w:rPr>
            </w:pPr>
            <w:r w:rsidRPr="00E352DF">
              <w:rPr>
                <w:rFonts w:ascii="Times New Roman" w:hAnsi="Times New Roman" w:cs="Times New Roman"/>
                <w:sz w:val="24"/>
                <w:szCs w:val="24"/>
              </w:rPr>
              <w:t>Fed study</w:t>
            </w:r>
          </w:p>
        </w:tc>
        <w:tc>
          <w:tcPr>
            <w:tcW w:w="3005" w:type="dxa"/>
          </w:tcPr>
          <w:p w14:paraId="2DC3B776" w14:textId="77777777" w:rsidR="00C02E92" w:rsidRPr="00E352DF" w:rsidRDefault="00C02E92" w:rsidP="00D11DBE">
            <w:pPr>
              <w:jc w:val="both"/>
              <w:rPr>
                <w:rFonts w:ascii="Times New Roman" w:hAnsi="Times New Roman" w:cs="Times New Roman"/>
                <w:sz w:val="24"/>
                <w:szCs w:val="24"/>
              </w:rPr>
            </w:pPr>
            <w:r w:rsidRPr="00E352DF">
              <w:rPr>
                <w:rFonts w:ascii="Times New Roman" w:hAnsi="Times New Roman" w:cs="Times New Roman"/>
                <w:sz w:val="24"/>
                <w:szCs w:val="24"/>
              </w:rPr>
              <w:t>Required if the Summary of Product Characteristics of the reference product contains specific recommendations in relation with food interaction or else only Fasting is sufficient.</w:t>
            </w:r>
          </w:p>
        </w:tc>
        <w:tc>
          <w:tcPr>
            <w:tcW w:w="3006" w:type="dxa"/>
          </w:tcPr>
          <w:p w14:paraId="4861EECD" w14:textId="77777777" w:rsidR="00C02E92" w:rsidRPr="00E352DF" w:rsidRDefault="00C02E92" w:rsidP="00D11DBE">
            <w:pPr>
              <w:jc w:val="both"/>
              <w:rPr>
                <w:rFonts w:ascii="Times New Roman" w:hAnsi="Times New Roman" w:cs="Times New Roman"/>
                <w:sz w:val="24"/>
                <w:szCs w:val="24"/>
              </w:rPr>
            </w:pPr>
            <w:r w:rsidRPr="00E352DF">
              <w:rPr>
                <w:rFonts w:ascii="Times New Roman" w:hAnsi="Times New Roman" w:cs="Times New Roman"/>
                <w:sz w:val="24"/>
                <w:szCs w:val="24"/>
              </w:rPr>
              <w:t>Not required in the following cases: 1) High solubility and high permeability (BCS Class I) drug product; or 2) RLD label stating that the product should be taken only on an empty stomach; or 3) When the RLD label does not make any statements about the effect of food on absorption or administration.</w:t>
            </w:r>
          </w:p>
        </w:tc>
      </w:tr>
      <w:tr w:rsidR="00C02E92" w:rsidRPr="00E352DF" w14:paraId="49F23875" w14:textId="77777777" w:rsidTr="00090235">
        <w:tc>
          <w:tcPr>
            <w:tcW w:w="3005" w:type="dxa"/>
          </w:tcPr>
          <w:p w14:paraId="25D3AF7E" w14:textId="77777777" w:rsidR="00C02E92" w:rsidRPr="00E352DF" w:rsidRDefault="00C02E92" w:rsidP="00D11DBE">
            <w:pPr>
              <w:jc w:val="both"/>
              <w:rPr>
                <w:rFonts w:ascii="Times New Roman" w:hAnsi="Times New Roman" w:cs="Times New Roman"/>
                <w:sz w:val="24"/>
                <w:szCs w:val="24"/>
              </w:rPr>
            </w:pPr>
            <w:r w:rsidRPr="00E352DF">
              <w:rPr>
                <w:rFonts w:ascii="Times New Roman" w:hAnsi="Times New Roman" w:cs="Times New Roman"/>
                <w:sz w:val="24"/>
                <w:szCs w:val="24"/>
              </w:rPr>
              <w:t>Fasting Study</w:t>
            </w:r>
          </w:p>
        </w:tc>
        <w:tc>
          <w:tcPr>
            <w:tcW w:w="3005" w:type="dxa"/>
          </w:tcPr>
          <w:p w14:paraId="45004DB7" w14:textId="77777777" w:rsidR="00C02E92" w:rsidRPr="00E352DF" w:rsidRDefault="00C02E92" w:rsidP="00D11DBE">
            <w:pPr>
              <w:jc w:val="both"/>
              <w:rPr>
                <w:rFonts w:ascii="Times New Roman" w:hAnsi="Times New Roman" w:cs="Times New Roman"/>
                <w:sz w:val="24"/>
                <w:szCs w:val="24"/>
              </w:rPr>
            </w:pPr>
            <w:r w:rsidRPr="00E352DF">
              <w:rPr>
                <w:rFonts w:ascii="Times New Roman" w:hAnsi="Times New Roman" w:cs="Times New Roman"/>
                <w:sz w:val="24"/>
                <w:szCs w:val="24"/>
              </w:rPr>
              <w:t>Fast atleast 8 h prior to administration and administer the drug product with 150 mL of water</w:t>
            </w:r>
          </w:p>
        </w:tc>
        <w:tc>
          <w:tcPr>
            <w:tcW w:w="3006" w:type="dxa"/>
          </w:tcPr>
          <w:p w14:paraId="37B23042" w14:textId="77777777" w:rsidR="00C02E92" w:rsidRPr="00E352DF" w:rsidRDefault="00C02E92" w:rsidP="00D11DBE">
            <w:pPr>
              <w:jc w:val="both"/>
              <w:rPr>
                <w:rFonts w:ascii="Times New Roman" w:hAnsi="Times New Roman" w:cs="Times New Roman"/>
                <w:sz w:val="24"/>
                <w:szCs w:val="24"/>
              </w:rPr>
            </w:pPr>
            <w:r w:rsidRPr="00E352DF">
              <w:rPr>
                <w:rFonts w:ascii="Times New Roman" w:hAnsi="Times New Roman" w:cs="Times New Roman"/>
                <w:sz w:val="24"/>
                <w:szCs w:val="24"/>
              </w:rPr>
              <w:t>Fast atleast 10 h and administer the drug product with 240 mL (8 fluid ounces) of water.</w:t>
            </w:r>
          </w:p>
        </w:tc>
      </w:tr>
      <w:tr w:rsidR="00C02E92" w:rsidRPr="00E352DF" w14:paraId="57552398" w14:textId="77777777" w:rsidTr="00090235">
        <w:tc>
          <w:tcPr>
            <w:tcW w:w="3005" w:type="dxa"/>
          </w:tcPr>
          <w:p w14:paraId="6C6CAA3B" w14:textId="77777777" w:rsidR="00C02E92" w:rsidRPr="00E352DF" w:rsidRDefault="00C02E92" w:rsidP="00D11DBE">
            <w:pPr>
              <w:jc w:val="both"/>
              <w:rPr>
                <w:rFonts w:ascii="Times New Roman" w:hAnsi="Times New Roman" w:cs="Times New Roman"/>
                <w:sz w:val="24"/>
                <w:szCs w:val="24"/>
              </w:rPr>
            </w:pPr>
            <w:r w:rsidRPr="00E352DF">
              <w:rPr>
                <w:rFonts w:ascii="Times New Roman" w:hAnsi="Times New Roman" w:cs="Times New Roman"/>
                <w:sz w:val="24"/>
                <w:szCs w:val="24"/>
              </w:rPr>
              <w:t>Retention of Samples</w:t>
            </w:r>
          </w:p>
        </w:tc>
        <w:tc>
          <w:tcPr>
            <w:tcW w:w="3005" w:type="dxa"/>
          </w:tcPr>
          <w:p w14:paraId="1FCB8F73" w14:textId="77777777" w:rsidR="00C02E92" w:rsidRPr="00E352DF" w:rsidRDefault="00C02E92" w:rsidP="00D11DBE">
            <w:pPr>
              <w:jc w:val="both"/>
              <w:rPr>
                <w:rFonts w:ascii="Times New Roman" w:hAnsi="Times New Roman" w:cs="Times New Roman"/>
                <w:sz w:val="24"/>
                <w:szCs w:val="24"/>
              </w:rPr>
            </w:pPr>
            <w:r w:rsidRPr="00E352DF">
              <w:rPr>
                <w:rFonts w:ascii="Times New Roman" w:hAnsi="Times New Roman" w:cs="Times New Roman"/>
                <w:sz w:val="24"/>
                <w:szCs w:val="24"/>
              </w:rPr>
              <w:t>Retain for 1 year or 2 years after completion of the trial or until approval.</w:t>
            </w:r>
          </w:p>
        </w:tc>
        <w:tc>
          <w:tcPr>
            <w:tcW w:w="3006" w:type="dxa"/>
          </w:tcPr>
          <w:p w14:paraId="5F4AE58C" w14:textId="77777777" w:rsidR="00C02E92" w:rsidRPr="00E352DF" w:rsidRDefault="00C02E92" w:rsidP="00D11DBE">
            <w:pPr>
              <w:jc w:val="both"/>
              <w:rPr>
                <w:rFonts w:ascii="Times New Roman" w:hAnsi="Times New Roman" w:cs="Times New Roman"/>
                <w:sz w:val="24"/>
                <w:szCs w:val="24"/>
              </w:rPr>
            </w:pPr>
            <w:r w:rsidRPr="00E352DF">
              <w:rPr>
                <w:rFonts w:ascii="Times New Roman" w:hAnsi="Times New Roman" w:cs="Times New Roman"/>
                <w:sz w:val="24"/>
                <w:szCs w:val="24"/>
              </w:rPr>
              <w:t>Retain samples for 5 years.</w:t>
            </w:r>
          </w:p>
        </w:tc>
      </w:tr>
      <w:tr w:rsidR="00C02E92" w:rsidRPr="00E352DF" w14:paraId="4E98A710" w14:textId="77777777" w:rsidTr="00090235">
        <w:tc>
          <w:tcPr>
            <w:tcW w:w="3005" w:type="dxa"/>
          </w:tcPr>
          <w:p w14:paraId="78436218" w14:textId="77777777" w:rsidR="00C02E92" w:rsidRPr="00E352DF" w:rsidRDefault="00C02E92" w:rsidP="00D11DBE">
            <w:pPr>
              <w:jc w:val="both"/>
              <w:rPr>
                <w:rFonts w:ascii="Times New Roman" w:hAnsi="Times New Roman" w:cs="Times New Roman"/>
                <w:sz w:val="24"/>
                <w:szCs w:val="24"/>
              </w:rPr>
            </w:pPr>
            <w:r w:rsidRPr="00E352DF">
              <w:rPr>
                <w:rFonts w:ascii="Times New Roman" w:hAnsi="Times New Roman" w:cs="Times New Roman"/>
                <w:sz w:val="24"/>
                <w:szCs w:val="24"/>
              </w:rPr>
              <w:t>Composition of meal under fed condition</w:t>
            </w:r>
          </w:p>
        </w:tc>
        <w:tc>
          <w:tcPr>
            <w:tcW w:w="3005" w:type="dxa"/>
          </w:tcPr>
          <w:p w14:paraId="4C1737CA" w14:textId="77777777" w:rsidR="00C02E92" w:rsidRPr="00E352DF" w:rsidRDefault="00C02E92" w:rsidP="00D11DBE">
            <w:pPr>
              <w:jc w:val="both"/>
              <w:rPr>
                <w:rFonts w:ascii="Times New Roman" w:hAnsi="Times New Roman" w:cs="Times New Roman"/>
                <w:sz w:val="24"/>
                <w:szCs w:val="24"/>
              </w:rPr>
            </w:pPr>
            <w:r w:rsidRPr="00E352DF">
              <w:rPr>
                <w:rFonts w:ascii="Times New Roman" w:hAnsi="Times New Roman" w:cs="Times New Roman"/>
                <w:sz w:val="24"/>
                <w:szCs w:val="24"/>
              </w:rPr>
              <w:t>According to recommendation in the SmPC of reference drug or Standardized high fat high calorie meal</w:t>
            </w:r>
          </w:p>
        </w:tc>
        <w:tc>
          <w:tcPr>
            <w:tcW w:w="3006" w:type="dxa"/>
          </w:tcPr>
          <w:p w14:paraId="31C43100" w14:textId="77777777" w:rsidR="00C02E92" w:rsidRPr="00E352DF" w:rsidRDefault="00C02E92" w:rsidP="00D11DBE">
            <w:pPr>
              <w:jc w:val="both"/>
              <w:rPr>
                <w:rFonts w:ascii="Times New Roman" w:hAnsi="Times New Roman" w:cs="Times New Roman"/>
                <w:sz w:val="24"/>
                <w:szCs w:val="24"/>
              </w:rPr>
            </w:pPr>
            <w:r w:rsidRPr="00E352DF">
              <w:rPr>
                <w:rFonts w:ascii="Times New Roman" w:hAnsi="Times New Roman" w:cs="Times New Roman"/>
                <w:sz w:val="24"/>
                <w:szCs w:val="24"/>
              </w:rPr>
              <w:t>As OGD recommendation</w:t>
            </w:r>
          </w:p>
        </w:tc>
      </w:tr>
      <w:tr w:rsidR="00C02E92" w:rsidRPr="00E352DF" w14:paraId="38578B55" w14:textId="77777777" w:rsidTr="00090235">
        <w:tc>
          <w:tcPr>
            <w:tcW w:w="3005" w:type="dxa"/>
          </w:tcPr>
          <w:p w14:paraId="514DF763" w14:textId="77777777" w:rsidR="00C02E92" w:rsidRPr="00E352DF" w:rsidRDefault="00C02E92" w:rsidP="00D11DBE">
            <w:pPr>
              <w:jc w:val="both"/>
              <w:rPr>
                <w:rFonts w:ascii="Times New Roman" w:hAnsi="Times New Roman" w:cs="Times New Roman"/>
                <w:sz w:val="24"/>
                <w:szCs w:val="24"/>
              </w:rPr>
            </w:pPr>
            <w:r w:rsidRPr="00E352DF">
              <w:rPr>
                <w:rFonts w:ascii="Times New Roman" w:hAnsi="Times New Roman" w:cs="Times New Roman"/>
                <w:sz w:val="24"/>
                <w:szCs w:val="24"/>
              </w:rPr>
              <w:lastRenderedPageBreak/>
              <w:t>Wash out period</w:t>
            </w:r>
          </w:p>
        </w:tc>
        <w:tc>
          <w:tcPr>
            <w:tcW w:w="3005" w:type="dxa"/>
          </w:tcPr>
          <w:p w14:paraId="3718845B" w14:textId="77777777" w:rsidR="00C02E92" w:rsidRPr="00E352DF" w:rsidRDefault="00C02E92" w:rsidP="00D11DBE">
            <w:pPr>
              <w:jc w:val="both"/>
              <w:rPr>
                <w:rFonts w:ascii="Times New Roman" w:hAnsi="Times New Roman" w:cs="Times New Roman"/>
                <w:sz w:val="24"/>
                <w:szCs w:val="24"/>
              </w:rPr>
            </w:pPr>
            <w:r w:rsidRPr="00E352DF">
              <w:rPr>
                <w:rFonts w:ascii="Times New Roman" w:hAnsi="Times New Roman" w:cs="Times New Roman"/>
                <w:sz w:val="24"/>
                <w:szCs w:val="24"/>
              </w:rPr>
              <w:t>Adequate. In steady state atleast 3 times terminal half lives.</w:t>
            </w:r>
          </w:p>
        </w:tc>
        <w:tc>
          <w:tcPr>
            <w:tcW w:w="3006" w:type="dxa"/>
          </w:tcPr>
          <w:p w14:paraId="429A6668" w14:textId="77777777" w:rsidR="00C02E92" w:rsidRPr="00E352DF" w:rsidRDefault="00C02E92" w:rsidP="00D11DBE">
            <w:pPr>
              <w:jc w:val="both"/>
              <w:rPr>
                <w:rFonts w:ascii="Times New Roman" w:hAnsi="Times New Roman" w:cs="Times New Roman"/>
                <w:sz w:val="24"/>
                <w:szCs w:val="24"/>
              </w:rPr>
            </w:pPr>
            <w:r w:rsidRPr="00E352DF">
              <w:rPr>
                <w:rFonts w:ascii="Times New Roman" w:hAnsi="Times New Roman" w:cs="Times New Roman"/>
                <w:sz w:val="24"/>
                <w:szCs w:val="24"/>
              </w:rPr>
              <w:t>More than 5 half-lives.</w:t>
            </w:r>
          </w:p>
        </w:tc>
      </w:tr>
      <w:tr w:rsidR="00C02E92" w:rsidRPr="00E352DF" w14:paraId="7BA6CB08" w14:textId="77777777" w:rsidTr="00090235">
        <w:tc>
          <w:tcPr>
            <w:tcW w:w="3005" w:type="dxa"/>
          </w:tcPr>
          <w:p w14:paraId="118916C5" w14:textId="77777777" w:rsidR="00C02E92" w:rsidRPr="00E352DF" w:rsidRDefault="00C02E92" w:rsidP="00D11DBE">
            <w:pPr>
              <w:jc w:val="both"/>
              <w:rPr>
                <w:rFonts w:ascii="Times New Roman" w:hAnsi="Times New Roman" w:cs="Times New Roman"/>
                <w:sz w:val="24"/>
                <w:szCs w:val="24"/>
              </w:rPr>
            </w:pPr>
            <w:r w:rsidRPr="00E352DF">
              <w:rPr>
                <w:rFonts w:ascii="Times New Roman" w:hAnsi="Times New Roman" w:cs="Times New Roman"/>
                <w:sz w:val="24"/>
                <w:szCs w:val="24"/>
              </w:rPr>
              <w:t>Reserve Sample</w:t>
            </w:r>
          </w:p>
        </w:tc>
        <w:tc>
          <w:tcPr>
            <w:tcW w:w="3005" w:type="dxa"/>
          </w:tcPr>
          <w:p w14:paraId="533B43B4" w14:textId="77777777" w:rsidR="00C02E92" w:rsidRPr="00E352DF" w:rsidRDefault="00C02E92" w:rsidP="00D11DBE">
            <w:pPr>
              <w:jc w:val="both"/>
              <w:rPr>
                <w:rFonts w:ascii="Times New Roman" w:hAnsi="Times New Roman" w:cs="Times New Roman"/>
                <w:sz w:val="24"/>
                <w:szCs w:val="24"/>
              </w:rPr>
            </w:pPr>
            <w:r w:rsidRPr="00E352DF">
              <w:rPr>
                <w:rFonts w:ascii="Times New Roman" w:hAnsi="Times New Roman" w:cs="Times New Roman"/>
                <w:sz w:val="24"/>
                <w:szCs w:val="24"/>
              </w:rPr>
              <w:t>No such requirement</w:t>
            </w:r>
          </w:p>
        </w:tc>
        <w:tc>
          <w:tcPr>
            <w:tcW w:w="3006" w:type="dxa"/>
          </w:tcPr>
          <w:p w14:paraId="23A13CD0" w14:textId="77777777" w:rsidR="00C02E92" w:rsidRPr="00E352DF" w:rsidRDefault="00C02E92" w:rsidP="00D11DBE">
            <w:pPr>
              <w:jc w:val="both"/>
              <w:rPr>
                <w:rFonts w:ascii="Times New Roman" w:hAnsi="Times New Roman" w:cs="Times New Roman"/>
                <w:sz w:val="24"/>
                <w:szCs w:val="24"/>
              </w:rPr>
            </w:pPr>
            <w:r w:rsidRPr="00E352DF">
              <w:rPr>
                <w:rFonts w:ascii="Times New Roman" w:hAnsi="Times New Roman" w:cs="Times New Roman"/>
                <w:sz w:val="24"/>
                <w:szCs w:val="24"/>
              </w:rPr>
              <w:t>5 times the sample required for analysis</w:t>
            </w:r>
          </w:p>
        </w:tc>
      </w:tr>
      <w:tr w:rsidR="00E352DF" w:rsidRPr="00E352DF" w14:paraId="35DFD91D" w14:textId="77777777" w:rsidTr="00E5090A">
        <w:tc>
          <w:tcPr>
            <w:tcW w:w="9016" w:type="dxa"/>
            <w:gridSpan w:val="3"/>
          </w:tcPr>
          <w:p w14:paraId="48C7D915" w14:textId="77777777" w:rsidR="00E352DF" w:rsidRPr="00E352DF" w:rsidRDefault="00E352DF" w:rsidP="00D11DBE">
            <w:pPr>
              <w:jc w:val="both"/>
              <w:rPr>
                <w:rFonts w:ascii="Times New Roman" w:hAnsi="Times New Roman" w:cs="Times New Roman"/>
                <w:sz w:val="24"/>
                <w:szCs w:val="24"/>
              </w:rPr>
            </w:pPr>
            <w:r w:rsidRPr="00E352DF">
              <w:rPr>
                <w:rFonts w:ascii="Times New Roman" w:hAnsi="Times New Roman" w:cs="Times New Roman"/>
                <w:b/>
                <w:sz w:val="24"/>
                <w:szCs w:val="24"/>
              </w:rPr>
              <w:t>Dissolution</w:t>
            </w:r>
          </w:p>
        </w:tc>
      </w:tr>
      <w:tr w:rsidR="00C02E92" w:rsidRPr="00E352DF" w14:paraId="508135B2" w14:textId="77777777" w:rsidTr="00090235">
        <w:tc>
          <w:tcPr>
            <w:tcW w:w="3005" w:type="dxa"/>
          </w:tcPr>
          <w:p w14:paraId="6799093F" w14:textId="77777777" w:rsidR="00C02E92" w:rsidRPr="00E352DF" w:rsidRDefault="00C02E92" w:rsidP="00D11DBE">
            <w:pPr>
              <w:jc w:val="both"/>
              <w:rPr>
                <w:rFonts w:ascii="Times New Roman" w:hAnsi="Times New Roman" w:cs="Times New Roman"/>
                <w:sz w:val="24"/>
                <w:szCs w:val="24"/>
              </w:rPr>
            </w:pPr>
            <w:r w:rsidRPr="00E352DF">
              <w:rPr>
                <w:rFonts w:ascii="Times New Roman" w:hAnsi="Times New Roman" w:cs="Times New Roman"/>
                <w:sz w:val="24"/>
                <w:szCs w:val="24"/>
              </w:rPr>
              <w:t>Use of surfactant</w:t>
            </w:r>
          </w:p>
        </w:tc>
        <w:tc>
          <w:tcPr>
            <w:tcW w:w="3005" w:type="dxa"/>
          </w:tcPr>
          <w:p w14:paraId="75049C50" w14:textId="77777777" w:rsidR="00C02E92" w:rsidRPr="00E352DF" w:rsidRDefault="00C02E92" w:rsidP="00D11DBE">
            <w:pPr>
              <w:jc w:val="both"/>
              <w:rPr>
                <w:rFonts w:ascii="Times New Roman" w:hAnsi="Times New Roman" w:cs="Times New Roman"/>
                <w:sz w:val="24"/>
                <w:szCs w:val="24"/>
              </w:rPr>
            </w:pPr>
            <w:r w:rsidRPr="00E352DF">
              <w:rPr>
                <w:rFonts w:ascii="Times New Roman" w:hAnsi="Times New Roman" w:cs="Times New Roman"/>
                <w:sz w:val="24"/>
                <w:szCs w:val="24"/>
              </w:rPr>
              <w:t>Strictly discouraged.</w:t>
            </w:r>
          </w:p>
        </w:tc>
        <w:tc>
          <w:tcPr>
            <w:tcW w:w="3006" w:type="dxa"/>
          </w:tcPr>
          <w:p w14:paraId="4CED8E84" w14:textId="77777777" w:rsidR="00C02E92" w:rsidRPr="00E352DF" w:rsidRDefault="00C02E92" w:rsidP="00D11DBE">
            <w:pPr>
              <w:jc w:val="both"/>
              <w:rPr>
                <w:rFonts w:ascii="Times New Roman" w:hAnsi="Times New Roman" w:cs="Times New Roman"/>
                <w:sz w:val="24"/>
                <w:szCs w:val="24"/>
              </w:rPr>
            </w:pPr>
            <w:r w:rsidRPr="00E352DF">
              <w:rPr>
                <w:rFonts w:ascii="Times New Roman" w:hAnsi="Times New Roman" w:cs="Times New Roman"/>
                <w:sz w:val="24"/>
                <w:szCs w:val="24"/>
              </w:rPr>
              <w:t>Recommends appropriate concentration.</w:t>
            </w:r>
          </w:p>
        </w:tc>
      </w:tr>
      <w:tr w:rsidR="00C02E92" w:rsidRPr="00E352DF" w14:paraId="048DFA1A" w14:textId="77777777" w:rsidTr="00090235">
        <w:tc>
          <w:tcPr>
            <w:tcW w:w="3005" w:type="dxa"/>
          </w:tcPr>
          <w:p w14:paraId="07F5BC0B" w14:textId="77777777" w:rsidR="00C02E92" w:rsidRPr="00E352DF" w:rsidRDefault="00C02E92" w:rsidP="00D11DBE">
            <w:pPr>
              <w:jc w:val="both"/>
              <w:rPr>
                <w:rFonts w:ascii="Times New Roman" w:hAnsi="Times New Roman" w:cs="Times New Roman"/>
                <w:sz w:val="24"/>
                <w:szCs w:val="24"/>
              </w:rPr>
            </w:pPr>
            <w:r w:rsidRPr="00E352DF">
              <w:rPr>
                <w:rFonts w:ascii="Times New Roman" w:hAnsi="Times New Roman" w:cs="Times New Roman"/>
                <w:sz w:val="24"/>
                <w:szCs w:val="24"/>
              </w:rPr>
              <w:t>Sampling time points</w:t>
            </w:r>
          </w:p>
        </w:tc>
        <w:tc>
          <w:tcPr>
            <w:tcW w:w="3005" w:type="dxa"/>
          </w:tcPr>
          <w:p w14:paraId="793BA552" w14:textId="77777777" w:rsidR="00C02E92" w:rsidRPr="00E352DF" w:rsidRDefault="00C02E92" w:rsidP="00D11DBE">
            <w:pPr>
              <w:jc w:val="both"/>
              <w:rPr>
                <w:rFonts w:ascii="Times New Roman" w:hAnsi="Times New Roman" w:cs="Times New Roman"/>
                <w:sz w:val="24"/>
                <w:szCs w:val="24"/>
              </w:rPr>
            </w:pPr>
            <w:r w:rsidRPr="00E352DF">
              <w:rPr>
                <w:rFonts w:ascii="Times New Roman" w:hAnsi="Times New Roman" w:cs="Times New Roman"/>
                <w:sz w:val="24"/>
                <w:szCs w:val="24"/>
              </w:rPr>
              <w:t>A minimum of three time points (zero excluded).</w:t>
            </w:r>
          </w:p>
        </w:tc>
        <w:tc>
          <w:tcPr>
            <w:tcW w:w="3006" w:type="dxa"/>
          </w:tcPr>
          <w:p w14:paraId="004224E4" w14:textId="77777777" w:rsidR="00C02E92" w:rsidRPr="00E352DF" w:rsidRDefault="00C02E92" w:rsidP="00D11DBE">
            <w:pPr>
              <w:jc w:val="both"/>
              <w:rPr>
                <w:rFonts w:ascii="Times New Roman" w:hAnsi="Times New Roman" w:cs="Times New Roman"/>
                <w:sz w:val="24"/>
                <w:szCs w:val="24"/>
              </w:rPr>
            </w:pPr>
            <w:r w:rsidRPr="00E352DF">
              <w:rPr>
                <w:rFonts w:ascii="Times New Roman" w:hAnsi="Times New Roman" w:cs="Times New Roman"/>
                <w:sz w:val="24"/>
                <w:szCs w:val="24"/>
              </w:rPr>
              <w:t>Collected at sufficient number of intervals.</w:t>
            </w:r>
          </w:p>
        </w:tc>
      </w:tr>
      <w:tr w:rsidR="00C02E92" w:rsidRPr="00E352DF" w14:paraId="06EF79DA" w14:textId="77777777" w:rsidTr="00090235">
        <w:tc>
          <w:tcPr>
            <w:tcW w:w="3005" w:type="dxa"/>
          </w:tcPr>
          <w:p w14:paraId="55C05E8F" w14:textId="77777777" w:rsidR="00C02E92" w:rsidRPr="00E352DF" w:rsidRDefault="00C02E92" w:rsidP="00D11DBE">
            <w:pPr>
              <w:jc w:val="both"/>
              <w:rPr>
                <w:rFonts w:ascii="Times New Roman" w:hAnsi="Times New Roman" w:cs="Times New Roman"/>
                <w:sz w:val="24"/>
                <w:szCs w:val="24"/>
              </w:rPr>
            </w:pPr>
            <w:r w:rsidRPr="00E352DF">
              <w:rPr>
                <w:rFonts w:ascii="Times New Roman" w:hAnsi="Times New Roman" w:cs="Times New Roman"/>
                <w:sz w:val="24"/>
                <w:szCs w:val="24"/>
              </w:rPr>
              <w:t>Sampling criteria</w:t>
            </w:r>
          </w:p>
        </w:tc>
        <w:tc>
          <w:tcPr>
            <w:tcW w:w="3005" w:type="dxa"/>
          </w:tcPr>
          <w:p w14:paraId="4FF8751E" w14:textId="77777777" w:rsidR="00C02E92" w:rsidRPr="00E352DF" w:rsidRDefault="00C02E92" w:rsidP="00D11DBE">
            <w:pPr>
              <w:jc w:val="both"/>
              <w:rPr>
                <w:rFonts w:ascii="Times New Roman" w:hAnsi="Times New Roman" w:cs="Times New Roman"/>
                <w:sz w:val="24"/>
                <w:szCs w:val="24"/>
              </w:rPr>
            </w:pPr>
          </w:p>
        </w:tc>
        <w:tc>
          <w:tcPr>
            <w:tcW w:w="3006" w:type="dxa"/>
          </w:tcPr>
          <w:p w14:paraId="09B1D971" w14:textId="77777777" w:rsidR="00C02E92" w:rsidRPr="00E352DF" w:rsidRDefault="00C02E92" w:rsidP="00D11DBE">
            <w:pPr>
              <w:jc w:val="both"/>
              <w:rPr>
                <w:rFonts w:ascii="Times New Roman" w:hAnsi="Times New Roman" w:cs="Times New Roman"/>
                <w:sz w:val="24"/>
                <w:szCs w:val="24"/>
              </w:rPr>
            </w:pPr>
            <w:r w:rsidRPr="00E352DF">
              <w:rPr>
                <w:rFonts w:ascii="Times New Roman" w:hAnsi="Times New Roman" w:cs="Times New Roman"/>
                <w:sz w:val="24"/>
                <w:szCs w:val="24"/>
              </w:rPr>
              <w:t>12 to 18 samples, including a Predose sample, are collected per subject per dose. Continue the sampling for 3 or more terminal half-lives.</w:t>
            </w:r>
          </w:p>
        </w:tc>
      </w:tr>
      <w:tr w:rsidR="00C02E92" w:rsidRPr="00E352DF" w14:paraId="4CC6495A" w14:textId="77777777" w:rsidTr="00090235">
        <w:tc>
          <w:tcPr>
            <w:tcW w:w="3005" w:type="dxa"/>
          </w:tcPr>
          <w:p w14:paraId="2C2263B5" w14:textId="77777777" w:rsidR="00C02E92" w:rsidRPr="00E352DF" w:rsidRDefault="00C02E92" w:rsidP="00D11DBE">
            <w:pPr>
              <w:jc w:val="both"/>
              <w:rPr>
                <w:rFonts w:ascii="Times New Roman" w:hAnsi="Times New Roman" w:cs="Times New Roman"/>
                <w:sz w:val="24"/>
                <w:szCs w:val="24"/>
              </w:rPr>
            </w:pPr>
            <w:r w:rsidRPr="00E352DF">
              <w:rPr>
                <w:rFonts w:ascii="Times New Roman" w:hAnsi="Times New Roman" w:cs="Times New Roman"/>
                <w:sz w:val="24"/>
                <w:szCs w:val="24"/>
              </w:rPr>
              <w:t>Two stage design to demonstrate BE</w:t>
            </w:r>
          </w:p>
        </w:tc>
        <w:tc>
          <w:tcPr>
            <w:tcW w:w="3005" w:type="dxa"/>
          </w:tcPr>
          <w:p w14:paraId="3E57E37B" w14:textId="77777777" w:rsidR="00C02E92" w:rsidRPr="00E352DF" w:rsidRDefault="00C02E92" w:rsidP="00D11DBE">
            <w:pPr>
              <w:jc w:val="both"/>
              <w:rPr>
                <w:rFonts w:ascii="Times New Roman" w:hAnsi="Times New Roman" w:cs="Times New Roman"/>
                <w:sz w:val="24"/>
                <w:szCs w:val="24"/>
              </w:rPr>
            </w:pPr>
            <w:r w:rsidRPr="00E352DF">
              <w:rPr>
                <w:rFonts w:ascii="Times New Roman" w:hAnsi="Times New Roman" w:cs="Times New Roman"/>
                <w:sz w:val="24"/>
                <w:szCs w:val="24"/>
              </w:rPr>
              <w:t>Recommended</w:t>
            </w:r>
          </w:p>
        </w:tc>
        <w:tc>
          <w:tcPr>
            <w:tcW w:w="3006" w:type="dxa"/>
          </w:tcPr>
          <w:p w14:paraId="4CBEBF86" w14:textId="77777777" w:rsidR="00C02E92" w:rsidRPr="00E352DF" w:rsidRDefault="00C02E92" w:rsidP="00D11DBE">
            <w:pPr>
              <w:jc w:val="both"/>
              <w:rPr>
                <w:rFonts w:ascii="Times New Roman" w:hAnsi="Times New Roman" w:cs="Times New Roman"/>
                <w:sz w:val="24"/>
                <w:szCs w:val="24"/>
              </w:rPr>
            </w:pPr>
            <w:r w:rsidRPr="00E352DF">
              <w:rPr>
                <w:rFonts w:ascii="Times New Roman" w:hAnsi="Times New Roman" w:cs="Times New Roman"/>
                <w:sz w:val="24"/>
                <w:szCs w:val="24"/>
              </w:rPr>
              <w:t>Not addressed</w:t>
            </w:r>
          </w:p>
        </w:tc>
      </w:tr>
      <w:tr w:rsidR="00E352DF" w:rsidRPr="00E352DF" w14:paraId="7EF9A937" w14:textId="77777777" w:rsidTr="007353B3">
        <w:tc>
          <w:tcPr>
            <w:tcW w:w="9016" w:type="dxa"/>
            <w:gridSpan w:val="3"/>
          </w:tcPr>
          <w:p w14:paraId="6DF8DB15" w14:textId="77777777" w:rsidR="00E352DF" w:rsidRPr="00E352DF" w:rsidRDefault="00E352DF" w:rsidP="00D11DBE">
            <w:pPr>
              <w:jc w:val="both"/>
              <w:rPr>
                <w:rFonts w:ascii="Times New Roman" w:hAnsi="Times New Roman" w:cs="Times New Roman"/>
                <w:sz w:val="24"/>
                <w:szCs w:val="24"/>
              </w:rPr>
            </w:pPr>
            <w:r w:rsidRPr="00E352DF">
              <w:rPr>
                <w:rFonts w:ascii="Times New Roman" w:hAnsi="Times New Roman" w:cs="Times New Roman"/>
                <w:b/>
                <w:sz w:val="24"/>
                <w:szCs w:val="24"/>
              </w:rPr>
              <w:t>Regional Information</w:t>
            </w:r>
          </w:p>
        </w:tc>
      </w:tr>
      <w:tr w:rsidR="00C02E92" w:rsidRPr="00E352DF" w14:paraId="29F6A74A" w14:textId="77777777" w:rsidTr="00090235">
        <w:tc>
          <w:tcPr>
            <w:tcW w:w="3005" w:type="dxa"/>
          </w:tcPr>
          <w:p w14:paraId="4ADD9519" w14:textId="77777777" w:rsidR="00C02E92" w:rsidRPr="00E352DF" w:rsidRDefault="00C02E92" w:rsidP="00D11DBE">
            <w:pPr>
              <w:jc w:val="both"/>
              <w:rPr>
                <w:rFonts w:ascii="Times New Roman" w:hAnsi="Times New Roman" w:cs="Times New Roman"/>
                <w:sz w:val="24"/>
                <w:szCs w:val="24"/>
              </w:rPr>
            </w:pPr>
            <w:r w:rsidRPr="00E352DF">
              <w:rPr>
                <w:rFonts w:ascii="Times New Roman" w:hAnsi="Times New Roman" w:cs="Times New Roman"/>
                <w:sz w:val="24"/>
                <w:szCs w:val="24"/>
              </w:rPr>
              <w:t>Regional information</w:t>
            </w:r>
          </w:p>
        </w:tc>
        <w:tc>
          <w:tcPr>
            <w:tcW w:w="3005" w:type="dxa"/>
          </w:tcPr>
          <w:p w14:paraId="31ADAC23" w14:textId="77777777" w:rsidR="00C02E92" w:rsidRPr="00E352DF" w:rsidRDefault="00C02E92" w:rsidP="00D11DBE">
            <w:pPr>
              <w:jc w:val="both"/>
              <w:rPr>
                <w:rFonts w:ascii="Times New Roman" w:hAnsi="Times New Roman" w:cs="Times New Roman"/>
                <w:sz w:val="24"/>
                <w:szCs w:val="24"/>
              </w:rPr>
            </w:pPr>
            <w:r w:rsidRPr="00E352DF">
              <w:rPr>
                <w:rFonts w:ascii="Times New Roman" w:hAnsi="Times New Roman" w:cs="Times New Roman"/>
                <w:sz w:val="24"/>
                <w:szCs w:val="24"/>
              </w:rPr>
              <w:t>Process validation scheme for drug product Certificate of suitability TSE/BSE certificates of suitability are to be attached</w:t>
            </w:r>
          </w:p>
        </w:tc>
        <w:tc>
          <w:tcPr>
            <w:tcW w:w="3006" w:type="dxa"/>
          </w:tcPr>
          <w:p w14:paraId="6EB17C33" w14:textId="77777777" w:rsidR="00C02E92" w:rsidRPr="00E352DF" w:rsidRDefault="00C02E92" w:rsidP="00D11DBE">
            <w:pPr>
              <w:jc w:val="both"/>
              <w:rPr>
                <w:rFonts w:ascii="Times New Roman" w:hAnsi="Times New Roman" w:cs="Times New Roman"/>
                <w:sz w:val="24"/>
                <w:szCs w:val="24"/>
              </w:rPr>
            </w:pPr>
            <w:r w:rsidRPr="00E352DF">
              <w:rPr>
                <w:rFonts w:ascii="Times New Roman" w:hAnsi="Times New Roman" w:cs="Times New Roman"/>
                <w:sz w:val="24"/>
                <w:szCs w:val="24"/>
              </w:rPr>
              <w:t>Executed batch record Method validation package Comparability protocol</w:t>
            </w:r>
          </w:p>
        </w:tc>
      </w:tr>
      <w:tr w:rsidR="00E352DF" w:rsidRPr="00E352DF" w14:paraId="24DF2059" w14:textId="77777777" w:rsidTr="00F569B1">
        <w:tc>
          <w:tcPr>
            <w:tcW w:w="9016" w:type="dxa"/>
            <w:gridSpan w:val="3"/>
          </w:tcPr>
          <w:p w14:paraId="767C97F9" w14:textId="77777777" w:rsidR="00E352DF" w:rsidRPr="00E352DF" w:rsidRDefault="00E352DF" w:rsidP="00D11DBE">
            <w:pPr>
              <w:jc w:val="both"/>
              <w:rPr>
                <w:rFonts w:ascii="Times New Roman" w:hAnsi="Times New Roman" w:cs="Times New Roman"/>
                <w:b/>
                <w:sz w:val="24"/>
                <w:szCs w:val="24"/>
              </w:rPr>
            </w:pPr>
            <w:r w:rsidRPr="00E352DF">
              <w:rPr>
                <w:rFonts w:ascii="Times New Roman" w:hAnsi="Times New Roman" w:cs="Times New Roman"/>
                <w:b/>
                <w:sz w:val="24"/>
                <w:szCs w:val="24"/>
              </w:rPr>
              <w:t>Labeling Requirement</w:t>
            </w:r>
          </w:p>
        </w:tc>
      </w:tr>
      <w:tr w:rsidR="00C02E92" w:rsidRPr="00E352DF" w14:paraId="3DD8E9F4" w14:textId="77777777" w:rsidTr="00090235">
        <w:tc>
          <w:tcPr>
            <w:tcW w:w="3005" w:type="dxa"/>
          </w:tcPr>
          <w:p w14:paraId="1EE8B799" w14:textId="77777777" w:rsidR="00C02E92" w:rsidRPr="00E352DF" w:rsidRDefault="00C02E92" w:rsidP="00D11DBE">
            <w:pPr>
              <w:jc w:val="both"/>
              <w:rPr>
                <w:rFonts w:ascii="Times New Roman" w:hAnsi="Times New Roman" w:cs="Times New Roman"/>
                <w:sz w:val="24"/>
                <w:szCs w:val="24"/>
              </w:rPr>
            </w:pPr>
            <w:r w:rsidRPr="00E352DF">
              <w:rPr>
                <w:rFonts w:ascii="Times New Roman" w:hAnsi="Times New Roman" w:cs="Times New Roman"/>
                <w:sz w:val="24"/>
                <w:szCs w:val="24"/>
              </w:rPr>
              <w:t>National Drug Code (NDC)</w:t>
            </w:r>
          </w:p>
        </w:tc>
        <w:tc>
          <w:tcPr>
            <w:tcW w:w="3005" w:type="dxa"/>
          </w:tcPr>
          <w:p w14:paraId="60D82413" w14:textId="77777777" w:rsidR="00C02E92" w:rsidRPr="00E352DF" w:rsidRDefault="00C02E92" w:rsidP="00D11DBE">
            <w:pPr>
              <w:jc w:val="both"/>
              <w:rPr>
                <w:rFonts w:ascii="Times New Roman" w:hAnsi="Times New Roman" w:cs="Times New Roman"/>
                <w:sz w:val="24"/>
                <w:szCs w:val="24"/>
              </w:rPr>
            </w:pPr>
            <w:r w:rsidRPr="00E352DF">
              <w:rPr>
                <w:rFonts w:ascii="Times New Roman" w:hAnsi="Times New Roman" w:cs="Times New Roman"/>
                <w:sz w:val="24"/>
                <w:szCs w:val="24"/>
              </w:rPr>
              <w:t>Each member state has specific code.</w:t>
            </w:r>
          </w:p>
        </w:tc>
        <w:tc>
          <w:tcPr>
            <w:tcW w:w="3006" w:type="dxa"/>
          </w:tcPr>
          <w:p w14:paraId="5EECCF48" w14:textId="77777777" w:rsidR="00C02E92" w:rsidRPr="00E352DF" w:rsidRDefault="00C02E92" w:rsidP="00D11DBE">
            <w:pPr>
              <w:jc w:val="both"/>
              <w:rPr>
                <w:rFonts w:ascii="Times New Roman" w:hAnsi="Times New Roman" w:cs="Times New Roman"/>
                <w:sz w:val="24"/>
                <w:szCs w:val="24"/>
              </w:rPr>
            </w:pPr>
            <w:r w:rsidRPr="00E352DF">
              <w:rPr>
                <w:rFonts w:ascii="Times New Roman" w:hAnsi="Times New Roman" w:cs="Times New Roman"/>
                <w:sz w:val="24"/>
                <w:szCs w:val="24"/>
              </w:rPr>
              <w:t>Required (10 digit)</w:t>
            </w:r>
          </w:p>
        </w:tc>
      </w:tr>
      <w:tr w:rsidR="00C02E92" w:rsidRPr="00E352DF" w14:paraId="3131463D" w14:textId="77777777" w:rsidTr="00090235">
        <w:tc>
          <w:tcPr>
            <w:tcW w:w="3005" w:type="dxa"/>
          </w:tcPr>
          <w:p w14:paraId="45940597" w14:textId="77777777" w:rsidR="00C02E92" w:rsidRPr="00E352DF" w:rsidRDefault="00C02E92" w:rsidP="00D11DBE">
            <w:pPr>
              <w:jc w:val="both"/>
              <w:rPr>
                <w:rFonts w:ascii="Times New Roman" w:hAnsi="Times New Roman" w:cs="Times New Roman"/>
                <w:sz w:val="24"/>
                <w:szCs w:val="24"/>
              </w:rPr>
            </w:pPr>
            <w:r w:rsidRPr="00E352DF">
              <w:rPr>
                <w:rFonts w:ascii="Times New Roman" w:hAnsi="Times New Roman" w:cs="Times New Roman"/>
                <w:sz w:val="24"/>
                <w:szCs w:val="24"/>
              </w:rPr>
              <w:t>Prescription status</w:t>
            </w:r>
          </w:p>
        </w:tc>
        <w:tc>
          <w:tcPr>
            <w:tcW w:w="3005" w:type="dxa"/>
          </w:tcPr>
          <w:p w14:paraId="5AA7446D" w14:textId="77777777" w:rsidR="00C02E92" w:rsidRPr="00E352DF" w:rsidRDefault="00C02E92" w:rsidP="00D11DBE">
            <w:pPr>
              <w:jc w:val="both"/>
              <w:rPr>
                <w:rFonts w:ascii="Times New Roman" w:hAnsi="Times New Roman" w:cs="Times New Roman"/>
                <w:sz w:val="24"/>
                <w:szCs w:val="24"/>
              </w:rPr>
            </w:pPr>
            <w:r w:rsidRPr="00E352DF">
              <w:rPr>
                <w:rFonts w:ascii="Times New Roman" w:hAnsi="Times New Roman" w:cs="Times New Roman"/>
                <w:sz w:val="24"/>
                <w:szCs w:val="24"/>
              </w:rPr>
              <w:t>Rx</w:t>
            </w:r>
          </w:p>
        </w:tc>
        <w:tc>
          <w:tcPr>
            <w:tcW w:w="3006" w:type="dxa"/>
          </w:tcPr>
          <w:p w14:paraId="5DF8E9E1" w14:textId="77777777" w:rsidR="00C02E92" w:rsidRPr="00E352DF" w:rsidRDefault="00C02E92" w:rsidP="00D11DBE">
            <w:pPr>
              <w:jc w:val="both"/>
              <w:rPr>
                <w:rFonts w:ascii="Times New Roman" w:hAnsi="Times New Roman" w:cs="Times New Roman"/>
                <w:sz w:val="24"/>
                <w:szCs w:val="24"/>
              </w:rPr>
            </w:pPr>
            <w:r w:rsidRPr="00E352DF">
              <w:rPr>
                <w:rFonts w:ascii="Times New Roman" w:hAnsi="Times New Roman" w:cs="Times New Roman"/>
                <w:sz w:val="24"/>
                <w:szCs w:val="24"/>
              </w:rPr>
              <w:t>Prescription Only Medicine (POM)</w:t>
            </w:r>
          </w:p>
        </w:tc>
      </w:tr>
      <w:tr w:rsidR="00C02E92" w:rsidRPr="00E352DF" w14:paraId="7C473DB8" w14:textId="77777777" w:rsidTr="00090235">
        <w:tc>
          <w:tcPr>
            <w:tcW w:w="3005" w:type="dxa"/>
          </w:tcPr>
          <w:p w14:paraId="4A606268" w14:textId="77777777" w:rsidR="00C02E92" w:rsidRPr="00E352DF" w:rsidRDefault="00E352DF" w:rsidP="00D11DBE">
            <w:pPr>
              <w:jc w:val="both"/>
              <w:rPr>
                <w:rFonts w:ascii="Times New Roman" w:hAnsi="Times New Roman" w:cs="Times New Roman"/>
                <w:sz w:val="24"/>
                <w:szCs w:val="24"/>
              </w:rPr>
            </w:pPr>
            <w:r w:rsidRPr="00E352DF">
              <w:rPr>
                <w:rFonts w:ascii="Times New Roman" w:hAnsi="Times New Roman" w:cs="Times New Roman"/>
                <w:sz w:val="24"/>
                <w:szCs w:val="24"/>
              </w:rPr>
              <w:t>Side by side (Annotated) Comparison</w:t>
            </w:r>
          </w:p>
        </w:tc>
        <w:tc>
          <w:tcPr>
            <w:tcW w:w="3005" w:type="dxa"/>
          </w:tcPr>
          <w:p w14:paraId="6EAC1E39" w14:textId="77777777" w:rsidR="00C02E92" w:rsidRPr="00E352DF" w:rsidRDefault="00E352DF" w:rsidP="00D11DBE">
            <w:pPr>
              <w:jc w:val="both"/>
              <w:rPr>
                <w:rFonts w:ascii="Times New Roman" w:hAnsi="Times New Roman" w:cs="Times New Roman"/>
                <w:sz w:val="24"/>
                <w:szCs w:val="24"/>
              </w:rPr>
            </w:pPr>
            <w:r w:rsidRPr="00E352DF">
              <w:rPr>
                <w:rFonts w:ascii="Times New Roman" w:hAnsi="Times New Roman" w:cs="Times New Roman"/>
                <w:sz w:val="24"/>
                <w:szCs w:val="24"/>
              </w:rPr>
              <w:t>Not required</w:t>
            </w:r>
          </w:p>
        </w:tc>
        <w:tc>
          <w:tcPr>
            <w:tcW w:w="3006" w:type="dxa"/>
          </w:tcPr>
          <w:p w14:paraId="5C1066DE" w14:textId="77777777" w:rsidR="00C02E92" w:rsidRPr="00E352DF" w:rsidRDefault="00E352DF" w:rsidP="00D11DBE">
            <w:pPr>
              <w:jc w:val="both"/>
              <w:rPr>
                <w:rFonts w:ascii="Times New Roman" w:hAnsi="Times New Roman" w:cs="Times New Roman"/>
                <w:sz w:val="24"/>
                <w:szCs w:val="24"/>
              </w:rPr>
            </w:pPr>
            <w:r w:rsidRPr="00E352DF">
              <w:rPr>
                <w:rFonts w:ascii="Times New Roman" w:hAnsi="Times New Roman" w:cs="Times New Roman"/>
                <w:sz w:val="24"/>
                <w:szCs w:val="24"/>
              </w:rPr>
              <w:t>required</w:t>
            </w:r>
          </w:p>
        </w:tc>
      </w:tr>
      <w:tr w:rsidR="00E352DF" w:rsidRPr="00E352DF" w14:paraId="33F76A9E" w14:textId="77777777" w:rsidTr="00090235">
        <w:tc>
          <w:tcPr>
            <w:tcW w:w="3005" w:type="dxa"/>
          </w:tcPr>
          <w:p w14:paraId="5417AB56" w14:textId="77777777" w:rsidR="00E352DF" w:rsidRPr="00E352DF" w:rsidRDefault="00E352DF" w:rsidP="00D11DBE">
            <w:pPr>
              <w:jc w:val="both"/>
              <w:rPr>
                <w:rFonts w:ascii="Times New Roman" w:hAnsi="Times New Roman" w:cs="Times New Roman"/>
                <w:sz w:val="24"/>
                <w:szCs w:val="24"/>
              </w:rPr>
            </w:pPr>
            <w:r w:rsidRPr="00E352DF">
              <w:rPr>
                <w:rFonts w:ascii="Times New Roman" w:hAnsi="Times New Roman" w:cs="Times New Roman"/>
                <w:sz w:val="24"/>
                <w:szCs w:val="24"/>
              </w:rPr>
              <w:t>Readability testing</w:t>
            </w:r>
          </w:p>
        </w:tc>
        <w:tc>
          <w:tcPr>
            <w:tcW w:w="3005" w:type="dxa"/>
          </w:tcPr>
          <w:p w14:paraId="2B14E6DF" w14:textId="77777777" w:rsidR="00E352DF" w:rsidRPr="00E352DF" w:rsidRDefault="00E352DF" w:rsidP="00D11DBE">
            <w:pPr>
              <w:jc w:val="both"/>
              <w:rPr>
                <w:rFonts w:ascii="Times New Roman" w:hAnsi="Times New Roman" w:cs="Times New Roman"/>
                <w:sz w:val="24"/>
                <w:szCs w:val="24"/>
              </w:rPr>
            </w:pPr>
            <w:r w:rsidRPr="00E352DF">
              <w:rPr>
                <w:rFonts w:ascii="Times New Roman" w:hAnsi="Times New Roman" w:cs="Times New Roman"/>
                <w:sz w:val="24"/>
                <w:szCs w:val="24"/>
              </w:rPr>
              <w:t>required</w:t>
            </w:r>
          </w:p>
        </w:tc>
        <w:tc>
          <w:tcPr>
            <w:tcW w:w="3006" w:type="dxa"/>
          </w:tcPr>
          <w:p w14:paraId="5BE9D0AD" w14:textId="77777777" w:rsidR="00E352DF" w:rsidRPr="00E352DF" w:rsidRDefault="00E352DF" w:rsidP="00D11DBE">
            <w:pPr>
              <w:jc w:val="both"/>
              <w:rPr>
                <w:rFonts w:ascii="Times New Roman" w:hAnsi="Times New Roman" w:cs="Times New Roman"/>
                <w:sz w:val="24"/>
                <w:szCs w:val="24"/>
              </w:rPr>
            </w:pPr>
            <w:r w:rsidRPr="00E352DF">
              <w:rPr>
                <w:rFonts w:ascii="Times New Roman" w:hAnsi="Times New Roman" w:cs="Times New Roman"/>
                <w:sz w:val="24"/>
                <w:szCs w:val="24"/>
              </w:rPr>
              <w:t>Not required</w:t>
            </w:r>
          </w:p>
        </w:tc>
      </w:tr>
      <w:tr w:rsidR="00E352DF" w:rsidRPr="00E352DF" w14:paraId="2242ACB1" w14:textId="77777777" w:rsidTr="00090235">
        <w:tc>
          <w:tcPr>
            <w:tcW w:w="3005" w:type="dxa"/>
          </w:tcPr>
          <w:p w14:paraId="35C20D36" w14:textId="77777777" w:rsidR="00E352DF" w:rsidRPr="00E352DF" w:rsidRDefault="00E352DF" w:rsidP="00D11DBE">
            <w:pPr>
              <w:jc w:val="both"/>
              <w:rPr>
                <w:rFonts w:ascii="Times New Roman" w:hAnsi="Times New Roman" w:cs="Times New Roman"/>
                <w:sz w:val="24"/>
                <w:szCs w:val="24"/>
              </w:rPr>
            </w:pPr>
            <w:r w:rsidRPr="00E352DF">
              <w:rPr>
                <w:rFonts w:ascii="Times New Roman" w:hAnsi="Times New Roman" w:cs="Times New Roman"/>
                <w:sz w:val="24"/>
                <w:szCs w:val="24"/>
              </w:rPr>
              <w:t>Braille</w:t>
            </w:r>
          </w:p>
        </w:tc>
        <w:tc>
          <w:tcPr>
            <w:tcW w:w="3005" w:type="dxa"/>
          </w:tcPr>
          <w:p w14:paraId="708193FA" w14:textId="77777777" w:rsidR="00E352DF" w:rsidRPr="00E352DF" w:rsidRDefault="00E352DF" w:rsidP="00D11DBE">
            <w:pPr>
              <w:jc w:val="both"/>
              <w:rPr>
                <w:rFonts w:ascii="Times New Roman" w:hAnsi="Times New Roman" w:cs="Times New Roman"/>
                <w:sz w:val="24"/>
                <w:szCs w:val="24"/>
              </w:rPr>
            </w:pPr>
            <w:r w:rsidRPr="00E352DF">
              <w:rPr>
                <w:rFonts w:ascii="Times New Roman" w:hAnsi="Times New Roman" w:cs="Times New Roman"/>
                <w:sz w:val="24"/>
                <w:szCs w:val="24"/>
              </w:rPr>
              <w:t>required</w:t>
            </w:r>
          </w:p>
        </w:tc>
        <w:tc>
          <w:tcPr>
            <w:tcW w:w="3006" w:type="dxa"/>
          </w:tcPr>
          <w:p w14:paraId="3616C2F9" w14:textId="77777777" w:rsidR="00E352DF" w:rsidRPr="00E352DF" w:rsidRDefault="00E352DF" w:rsidP="00D11DBE">
            <w:pPr>
              <w:jc w:val="both"/>
              <w:rPr>
                <w:rFonts w:ascii="Times New Roman" w:hAnsi="Times New Roman" w:cs="Times New Roman"/>
                <w:sz w:val="24"/>
                <w:szCs w:val="24"/>
              </w:rPr>
            </w:pPr>
            <w:r w:rsidRPr="00E352DF">
              <w:rPr>
                <w:rFonts w:ascii="Times New Roman" w:hAnsi="Times New Roman" w:cs="Times New Roman"/>
                <w:sz w:val="24"/>
                <w:szCs w:val="24"/>
              </w:rPr>
              <w:t>Not required</w:t>
            </w:r>
          </w:p>
        </w:tc>
      </w:tr>
      <w:tr w:rsidR="00E352DF" w:rsidRPr="00E352DF" w14:paraId="1EB81DF2" w14:textId="77777777" w:rsidTr="00090235">
        <w:tc>
          <w:tcPr>
            <w:tcW w:w="3005" w:type="dxa"/>
          </w:tcPr>
          <w:p w14:paraId="72E7BACB" w14:textId="77777777" w:rsidR="00E352DF" w:rsidRPr="00E352DF" w:rsidRDefault="00E352DF" w:rsidP="00D11DBE">
            <w:pPr>
              <w:jc w:val="both"/>
              <w:rPr>
                <w:rFonts w:ascii="Times New Roman" w:hAnsi="Times New Roman" w:cs="Times New Roman"/>
                <w:sz w:val="24"/>
                <w:szCs w:val="24"/>
              </w:rPr>
            </w:pPr>
            <w:r w:rsidRPr="00E352DF">
              <w:rPr>
                <w:rFonts w:ascii="Times New Roman" w:hAnsi="Times New Roman" w:cs="Times New Roman"/>
                <w:sz w:val="24"/>
                <w:szCs w:val="24"/>
              </w:rPr>
              <w:t>Labels</w:t>
            </w:r>
          </w:p>
        </w:tc>
        <w:tc>
          <w:tcPr>
            <w:tcW w:w="3005" w:type="dxa"/>
          </w:tcPr>
          <w:p w14:paraId="3EF5FC4D" w14:textId="77777777" w:rsidR="00E352DF" w:rsidRPr="00E352DF" w:rsidRDefault="00E352DF" w:rsidP="00D11DBE">
            <w:pPr>
              <w:jc w:val="both"/>
              <w:rPr>
                <w:rFonts w:ascii="Times New Roman" w:hAnsi="Times New Roman" w:cs="Times New Roman"/>
                <w:sz w:val="24"/>
                <w:szCs w:val="24"/>
              </w:rPr>
            </w:pPr>
            <w:r w:rsidRPr="00E352DF">
              <w:rPr>
                <w:rFonts w:ascii="Times New Roman" w:hAnsi="Times New Roman" w:cs="Times New Roman"/>
                <w:sz w:val="24"/>
                <w:szCs w:val="24"/>
              </w:rPr>
              <w:t>Vials/carton/SPC</w:t>
            </w:r>
          </w:p>
        </w:tc>
        <w:tc>
          <w:tcPr>
            <w:tcW w:w="3006" w:type="dxa"/>
          </w:tcPr>
          <w:p w14:paraId="7DDCE7DE" w14:textId="77777777" w:rsidR="00E352DF" w:rsidRPr="00E352DF" w:rsidRDefault="00E352DF" w:rsidP="00D11DBE">
            <w:pPr>
              <w:jc w:val="both"/>
              <w:rPr>
                <w:rFonts w:ascii="Times New Roman" w:hAnsi="Times New Roman" w:cs="Times New Roman"/>
                <w:sz w:val="24"/>
                <w:szCs w:val="24"/>
              </w:rPr>
            </w:pPr>
            <w:r w:rsidRPr="00E352DF">
              <w:rPr>
                <w:rFonts w:ascii="Times New Roman" w:hAnsi="Times New Roman" w:cs="Times New Roman"/>
                <w:sz w:val="24"/>
                <w:szCs w:val="24"/>
              </w:rPr>
              <w:t>Vials/cartons/PIL</w:t>
            </w:r>
          </w:p>
        </w:tc>
      </w:tr>
      <w:tr w:rsidR="00E352DF" w:rsidRPr="00E352DF" w14:paraId="780B048E" w14:textId="77777777" w:rsidTr="00090235">
        <w:tc>
          <w:tcPr>
            <w:tcW w:w="3005" w:type="dxa"/>
          </w:tcPr>
          <w:p w14:paraId="18618EC7" w14:textId="77777777" w:rsidR="00E352DF" w:rsidRPr="00E352DF" w:rsidRDefault="00E352DF" w:rsidP="00D11DBE">
            <w:pPr>
              <w:jc w:val="both"/>
              <w:rPr>
                <w:rFonts w:ascii="Times New Roman" w:hAnsi="Times New Roman" w:cs="Times New Roman"/>
                <w:sz w:val="24"/>
                <w:szCs w:val="24"/>
              </w:rPr>
            </w:pPr>
            <w:r w:rsidRPr="00E352DF">
              <w:rPr>
                <w:rFonts w:ascii="Times New Roman" w:hAnsi="Times New Roman" w:cs="Times New Roman"/>
                <w:sz w:val="24"/>
                <w:szCs w:val="24"/>
              </w:rPr>
              <w:t>Information on reimbursement or a pictogram presented in a ―Blue box</w:t>
            </w:r>
          </w:p>
        </w:tc>
        <w:tc>
          <w:tcPr>
            <w:tcW w:w="3005" w:type="dxa"/>
          </w:tcPr>
          <w:p w14:paraId="71AF352B" w14:textId="77777777" w:rsidR="00E352DF" w:rsidRPr="00E352DF" w:rsidRDefault="00E352DF" w:rsidP="00D11DBE">
            <w:pPr>
              <w:jc w:val="both"/>
              <w:rPr>
                <w:rFonts w:ascii="Times New Roman" w:hAnsi="Times New Roman" w:cs="Times New Roman"/>
                <w:sz w:val="24"/>
                <w:szCs w:val="24"/>
              </w:rPr>
            </w:pPr>
            <w:r w:rsidRPr="00E352DF">
              <w:rPr>
                <w:rFonts w:ascii="Times New Roman" w:hAnsi="Times New Roman" w:cs="Times New Roman"/>
                <w:sz w:val="24"/>
                <w:szCs w:val="24"/>
              </w:rPr>
              <w:t>Required</w:t>
            </w:r>
          </w:p>
        </w:tc>
        <w:tc>
          <w:tcPr>
            <w:tcW w:w="3006" w:type="dxa"/>
          </w:tcPr>
          <w:p w14:paraId="69979A65" w14:textId="77777777" w:rsidR="00E352DF" w:rsidRPr="00E352DF" w:rsidRDefault="00E352DF" w:rsidP="00D11DBE">
            <w:pPr>
              <w:jc w:val="both"/>
              <w:rPr>
                <w:rFonts w:ascii="Times New Roman" w:hAnsi="Times New Roman" w:cs="Times New Roman"/>
                <w:sz w:val="24"/>
                <w:szCs w:val="24"/>
              </w:rPr>
            </w:pPr>
            <w:r w:rsidRPr="00E352DF">
              <w:rPr>
                <w:rFonts w:ascii="Times New Roman" w:hAnsi="Times New Roman" w:cs="Times New Roman"/>
                <w:sz w:val="24"/>
                <w:szCs w:val="24"/>
              </w:rPr>
              <w:t>No such requirement.</w:t>
            </w:r>
          </w:p>
        </w:tc>
      </w:tr>
    </w:tbl>
    <w:p w14:paraId="59BAC30E" w14:textId="77777777" w:rsidR="00C02E92" w:rsidRPr="007B23B3" w:rsidRDefault="00C02E92" w:rsidP="00D11DBE">
      <w:pPr>
        <w:jc w:val="both"/>
        <w:rPr>
          <w:rFonts w:ascii="Times New Roman" w:hAnsi="Times New Roman" w:cs="Times New Roman"/>
          <w:b/>
          <w:sz w:val="24"/>
          <w:szCs w:val="24"/>
        </w:rPr>
      </w:pPr>
    </w:p>
    <w:p w14:paraId="6CD9D982" w14:textId="77777777" w:rsidR="007B23B3" w:rsidRDefault="007B23B3" w:rsidP="007B23B3">
      <w:pPr>
        <w:spacing w:line="360" w:lineRule="auto"/>
        <w:jc w:val="both"/>
        <w:rPr>
          <w:rFonts w:ascii="Times New Roman" w:hAnsi="Times New Roman" w:cs="Times New Roman"/>
          <w:sz w:val="24"/>
          <w:szCs w:val="24"/>
        </w:rPr>
      </w:pPr>
      <w:r w:rsidRPr="007B23B3">
        <w:rPr>
          <w:rFonts w:ascii="Times New Roman" w:hAnsi="Times New Roman" w:cs="Times New Roman"/>
          <w:sz w:val="24"/>
          <w:szCs w:val="24"/>
        </w:rPr>
        <w:t xml:space="preserve">The International Council for Harmonisation (ICH) is a global initiative that aims to achieve greater harmonization in the interpretation and application of technical guidelines for pharmaceuticals. It aims to streamline drug development and registration processes, promote public health, minimize duplication of clinical trials, and ensure safety and effectiveness. ICH's objectives include efficiency, public health, preventing duplication of clinical trials, and harmonization. Generic drugs play a crucial role in the pharmaceutical market, accounting for over 50% of the market. ICH aims to develop and enhance guidelines specifically for generic </w:t>
      </w:r>
      <w:r w:rsidRPr="007B23B3">
        <w:rPr>
          <w:rFonts w:ascii="Times New Roman" w:hAnsi="Times New Roman" w:cs="Times New Roman"/>
          <w:sz w:val="24"/>
          <w:szCs w:val="24"/>
        </w:rPr>
        <w:lastRenderedPageBreak/>
        <w:t xml:space="preserve">drugs, addressing areas where internationally harmonized guidance is lacking. The Common Technical Document (CTD) and Electronic Common Technical Document (eCTD) are essential frameworks for organizing and submitting comprehensive regulatory dossiers for drug approvals. The CTD is a standardized format for presenting data in regulatory submissions related to human pharmaceutical products, designed to provide a common structure across different regions (Europe, USA, and Japan). It is divided into five main modules: administrative information and prescribing information, summaries of quality, safety, and efficacy data, quality data (chemistry, manufacturing, and controls), nonclinical study reports, and clinical study reports. The CTD facilitates efficient communication between regulatory authorities and pharmaceutical companies, streamlining the review process. The eCTD is the standard format for submitting applications, amendments, supplements, and reports to regulatory agencies such as the FDA's Center for Drug Evaluation and Research (CDER) and Center for Biologics Evaluation and Research (CBER). The European Union (EU) has two main routes for drug approval: centralized and national. The centralized procedure involves pharmaceutical companies submitting a single marketing authorisation application to the European Medicines Agency (EMA), which assesses the application scientifically and provides a recommendation on whether the medicine should be marketed. Once granted, the EMA's recommendation is legally binding and valid in all EU Member States and the European Economic Area (EEA). The procedure is compulsory for medicines containing new active substances, biotechnology-derived medicines, advanced therapy medicines, orphan medicines, and veterinary medicines. The national authorization procedures involve simultaneous authorisation in multiple EU Member States and mutual recognition of marketing authorizations. These procedures aim to standardize the approval process across member states while considering therapeutic efficacy and safety. The International Council for Harmonisation (ICH) provides specific information on drug substances and products for each region. The US FDA plays a crucial role in drug regulation, ensuring safety, efficacy, and quality. Generic drug manufacturers submit an ANDA to demonstrate bioequivalence to the reference listed drug (RLD). The European Union (EMA) oversees drug regulation across EU member states, granting centralized marketing authorizations for certain drugs. Pharmaceutical companies in emerging nations must submit several administrative documents for drug registration, including application forms, cover letters, Power of Attorney (PoA), product information and labeling, authorization letter for local agents/distributors, GMP (Good Manufacturing Practice) certificate, Free Sale Certificate (FSC), Certificate of Pharmaceutical Product (CPP), and product samples. These documents are crucial for the regulatory process, ensuring the drug's </w:t>
      </w:r>
      <w:r w:rsidRPr="007B23B3">
        <w:rPr>
          <w:rFonts w:ascii="Times New Roman" w:hAnsi="Times New Roman" w:cs="Times New Roman"/>
          <w:sz w:val="24"/>
          <w:szCs w:val="24"/>
        </w:rPr>
        <w:lastRenderedPageBreak/>
        <w:t>safety, efficacy, and consistency. The application forms provide essential information about the drug, its intended use, and the company. A PoA allows a local representative to act on behalf of the pharmaceutical company. The CPP verifies the product's approval for sale and meets quality standards.</w:t>
      </w:r>
    </w:p>
    <w:p w14:paraId="7C7A3FDE" w14:textId="77777777" w:rsidR="007B23B3" w:rsidRPr="00090235" w:rsidRDefault="007B23B3" w:rsidP="007B23B3">
      <w:pPr>
        <w:spacing w:line="360" w:lineRule="auto"/>
        <w:jc w:val="both"/>
        <w:rPr>
          <w:rFonts w:ascii="Times New Roman" w:hAnsi="Times New Roman" w:cs="Times New Roman"/>
          <w:b/>
          <w:sz w:val="24"/>
          <w:szCs w:val="24"/>
        </w:rPr>
      </w:pPr>
      <w:r w:rsidRPr="00090235">
        <w:rPr>
          <w:rFonts w:ascii="Times New Roman" w:hAnsi="Times New Roman" w:cs="Times New Roman"/>
          <w:b/>
          <w:sz w:val="24"/>
          <w:szCs w:val="24"/>
        </w:rPr>
        <w:t xml:space="preserve">REFERENCES </w:t>
      </w:r>
    </w:p>
    <w:p w14:paraId="78F11A5C" w14:textId="77777777" w:rsidR="007B23B3" w:rsidRPr="007B23B3" w:rsidRDefault="007B23B3" w:rsidP="007B23B3">
      <w:pPr>
        <w:spacing w:line="360" w:lineRule="auto"/>
        <w:jc w:val="both"/>
        <w:rPr>
          <w:rFonts w:ascii="Times New Roman" w:hAnsi="Times New Roman" w:cs="Times New Roman"/>
          <w:sz w:val="24"/>
          <w:szCs w:val="24"/>
        </w:rPr>
      </w:pPr>
      <w:r w:rsidRPr="007B23B3">
        <w:rPr>
          <w:rFonts w:ascii="Times New Roman" w:hAnsi="Times New Roman" w:cs="Times New Roman"/>
          <w:sz w:val="24"/>
          <w:szCs w:val="24"/>
        </w:rPr>
        <w:t xml:space="preserve">1. Abraham J, Lewis G. Making harmonisation work: the politics of scientific expertise in European Medicines regulation. Sci Public Policy 1998;25(3): 155–69. </w:t>
      </w:r>
    </w:p>
    <w:p w14:paraId="548D3F38" w14:textId="77777777" w:rsidR="007B23B3" w:rsidRPr="007B23B3" w:rsidRDefault="007B23B3" w:rsidP="007B23B3">
      <w:pPr>
        <w:spacing w:line="360" w:lineRule="auto"/>
        <w:jc w:val="both"/>
        <w:rPr>
          <w:rFonts w:ascii="Times New Roman" w:hAnsi="Times New Roman" w:cs="Times New Roman"/>
          <w:sz w:val="24"/>
          <w:szCs w:val="24"/>
        </w:rPr>
      </w:pPr>
      <w:r w:rsidRPr="007B23B3">
        <w:rPr>
          <w:rFonts w:ascii="Times New Roman" w:hAnsi="Times New Roman" w:cs="Times New Roman"/>
          <w:sz w:val="24"/>
          <w:szCs w:val="24"/>
        </w:rPr>
        <w:t xml:space="preserve">2. Collier J. Regulating Medicines in Europe: Competition, Expertise and Public Health. BMJ. 2001 May 12;322(7295):1187. PMCID: PMC1120303. </w:t>
      </w:r>
    </w:p>
    <w:p w14:paraId="49BF34AA" w14:textId="77777777" w:rsidR="007B23B3" w:rsidRPr="007B23B3" w:rsidRDefault="007B23B3" w:rsidP="007B23B3">
      <w:pPr>
        <w:spacing w:line="360" w:lineRule="auto"/>
        <w:jc w:val="both"/>
        <w:rPr>
          <w:rFonts w:ascii="Times New Roman" w:hAnsi="Times New Roman" w:cs="Times New Roman"/>
          <w:sz w:val="24"/>
          <w:szCs w:val="24"/>
        </w:rPr>
      </w:pPr>
      <w:r w:rsidRPr="007B23B3">
        <w:rPr>
          <w:rFonts w:ascii="Times New Roman" w:hAnsi="Times New Roman" w:cs="Times New Roman"/>
          <w:sz w:val="24"/>
          <w:szCs w:val="24"/>
        </w:rPr>
        <w:t xml:space="preserve">3. Completing the internal market: White Paper from the Commission to the European Council (Milan, 28–29 Jun 1985) COM (85) 310, Jun 1985. </w:t>
      </w:r>
    </w:p>
    <w:p w14:paraId="4754381F" w14:textId="77777777" w:rsidR="007B23B3" w:rsidRPr="007B23B3" w:rsidRDefault="007B23B3" w:rsidP="007B23B3">
      <w:pPr>
        <w:spacing w:line="360" w:lineRule="auto"/>
        <w:jc w:val="both"/>
        <w:rPr>
          <w:rFonts w:ascii="Times New Roman" w:hAnsi="Times New Roman" w:cs="Times New Roman"/>
          <w:sz w:val="24"/>
          <w:szCs w:val="24"/>
        </w:rPr>
      </w:pPr>
      <w:r w:rsidRPr="007B23B3">
        <w:rPr>
          <w:rFonts w:ascii="Times New Roman" w:hAnsi="Times New Roman" w:cs="Times New Roman"/>
          <w:sz w:val="24"/>
          <w:szCs w:val="24"/>
        </w:rPr>
        <w:t xml:space="preserve">4. Council Regulation (EEC) No 2309/93 of 22 Jul 1993 laying down Community procedures for the authorisation and supervision of medicinal products for human and veterinary use and establishing the European Agency for the evaluation of medicinal products. Official Journal L214 of 24.08.1993, pp. 1–21. </w:t>
      </w:r>
    </w:p>
    <w:p w14:paraId="04F9D95A" w14:textId="77777777" w:rsidR="007B23B3" w:rsidRPr="007B23B3" w:rsidRDefault="007B23B3" w:rsidP="007B23B3">
      <w:pPr>
        <w:spacing w:line="360" w:lineRule="auto"/>
        <w:jc w:val="both"/>
        <w:rPr>
          <w:rFonts w:ascii="Times New Roman" w:hAnsi="Times New Roman" w:cs="Times New Roman"/>
          <w:sz w:val="24"/>
          <w:szCs w:val="24"/>
        </w:rPr>
      </w:pPr>
      <w:r w:rsidRPr="007B23B3">
        <w:rPr>
          <w:rFonts w:ascii="Times New Roman" w:hAnsi="Times New Roman" w:cs="Times New Roman"/>
          <w:sz w:val="24"/>
          <w:szCs w:val="24"/>
        </w:rPr>
        <w:t xml:space="preserve">5. Council Directive 93/39/EEC of 14 Jun 1993 amending Directives 65/65/EEC, 75/318/EEC, and 75/319/ EEC in respect of medicinal products. Official Journal L214 of 24.08.1993, pp. 22–30. </w:t>
      </w:r>
    </w:p>
    <w:p w14:paraId="00140E3E" w14:textId="77777777" w:rsidR="007B23B3" w:rsidRPr="007B23B3" w:rsidRDefault="007B23B3" w:rsidP="007B23B3">
      <w:pPr>
        <w:spacing w:line="360" w:lineRule="auto"/>
        <w:jc w:val="both"/>
        <w:rPr>
          <w:rFonts w:ascii="Times New Roman" w:hAnsi="Times New Roman" w:cs="Times New Roman"/>
          <w:sz w:val="24"/>
          <w:szCs w:val="24"/>
        </w:rPr>
      </w:pPr>
      <w:r w:rsidRPr="007B23B3">
        <w:rPr>
          <w:rFonts w:ascii="Times New Roman" w:hAnsi="Times New Roman" w:cs="Times New Roman"/>
          <w:sz w:val="24"/>
          <w:szCs w:val="24"/>
        </w:rPr>
        <w:t>6. Warnock-Smith A. Bringing a drug to market in the EU using the new decentralised procedure. 2007 May.</w:t>
      </w:r>
    </w:p>
    <w:p w14:paraId="1C730B03" w14:textId="77777777" w:rsidR="007B23B3" w:rsidRPr="007B23B3" w:rsidRDefault="007B23B3" w:rsidP="007B23B3">
      <w:pPr>
        <w:spacing w:line="360" w:lineRule="auto"/>
        <w:jc w:val="both"/>
        <w:rPr>
          <w:rFonts w:ascii="Times New Roman" w:hAnsi="Times New Roman" w:cs="Times New Roman"/>
          <w:sz w:val="24"/>
          <w:szCs w:val="24"/>
        </w:rPr>
      </w:pPr>
      <w:r w:rsidRPr="007B23B3">
        <w:rPr>
          <w:rFonts w:ascii="Times New Roman" w:hAnsi="Times New Roman" w:cs="Times New Roman"/>
          <w:sz w:val="24"/>
          <w:szCs w:val="24"/>
        </w:rPr>
        <w:t xml:space="preserve"> 7. Rick NG., Drugs from discovery to approval. John Wiley &amp; Sons, New Jersey; 2015. </w:t>
      </w:r>
    </w:p>
    <w:p w14:paraId="047A2532" w14:textId="77777777" w:rsidR="007B23B3" w:rsidRPr="007B23B3" w:rsidRDefault="007B23B3" w:rsidP="007B23B3">
      <w:pPr>
        <w:spacing w:line="360" w:lineRule="auto"/>
        <w:jc w:val="both"/>
        <w:rPr>
          <w:rFonts w:ascii="Times New Roman" w:hAnsi="Times New Roman" w:cs="Times New Roman"/>
          <w:sz w:val="24"/>
          <w:szCs w:val="24"/>
        </w:rPr>
      </w:pPr>
      <w:r w:rsidRPr="007B23B3">
        <w:rPr>
          <w:rFonts w:ascii="Times New Roman" w:hAnsi="Times New Roman" w:cs="Times New Roman"/>
          <w:sz w:val="24"/>
          <w:szCs w:val="24"/>
        </w:rPr>
        <w:t xml:space="preserve">8. Manuela Kohler, Allison L Gillespie. Maximize product potential with multi –country filling; Available: http://www.parexel.com/files/2512/7533/5863/Multi Country_Filing.pdf. Accessed on 20 Jun 2011. </w:t>
      </w:r>
    </w:p>
    <w:p w14:paraId="5CF1ABA1" w14:textId="77777777" w:rsidR="007B23B3" w:rsidRPr="007B23B3" w:rsidRDefault="007B23B3" w:rsidP="007B23B3">
      <w:pPr>
        <w:spacing w:line="360" w:lineRule="auto"/>
        <w:jc w:val="both"/>
        <w:rPr>
          <w:rFonts w:ascii="Times New Roman" w:hAnsi="Times New Roman" w:cs="Times New Roman"/>
          <w:sz w:val="24"/>
          <w:szCs w:val="24"/>
        </w:rPr>
      </w:pPr>
      <w:r w:rsidRPr="007B23B3">
        <w:rPr>
          <w:rFonts w:ascii="Times New Roman" w:hAnsi="Times New Roman" w:cs="Times New Roman"/>
          <w:sz w:val="24"/>
          <w:szCs w:val="24"/>
        </w:rPr>
        <w:t xml:space="preserve">9. Shah Dhaval, Sharma Anil. A review on conduct and analysis of bioavailability and bioequivalence studies. Available at bioavailability and bioequivalence studies Accessed on 1 Jul 2011 </w:t>
      </w:r>
    </w:p>
    <w:p w14:paraId="3E522FBB" w14:textId="77777777" w:rsidR="007B23B3" w:rsidRPr="007B23B3" w:rsidRDefault="007B23B3" w:rsidP="007B23B3">
      <w:pPr>
        <w:spacing w:line="360" w:lineRule="auto"/>
        <w:jc w:val="both"/>
        <w:rPr>
          <w:rFonts w:ascii="Times New Roman" w:hAnsi="Times New Roman" w:cs="Times New Roman"/>
          <w:sz w:val="24"/>
          <w:szCs w:val="24"/>
        </w:rPr>
      </w:pPr>
      <w:r w:rsidRPr="007B23B3">
        <w:rPr>
          <w:rFonts w:ascii="Times New Roman" w:hAnsi="Times New Roman" w:cs="Times New Roman"/>
          <w:sz w:val="24"/>
          <w:szCs w:val="24"/>
        </w:rPr>
        <w:t xml:space="preserve">10. Bioavailability and bioequivalence requirements. Abbreviated applications. Final rule Available at :http://www.fda.gov/ohrms/dockets/98fr/02-31996htm. Accessed on 12 Jun 2011. </w:t>
      </w:r>
    </w:p>
    <w:p w14:paraId="71FDF684" w14:textId="77777777" w:rsidR="007B23B3" w:rsidRPr="007B23B3" w:rsidRDefault="007B23B3" w:rsidP="007B23B3">
      <w:pPr>
        <w:spacing w:line="360" w:lineRule="auto"/>
        <w:jc w:val="both"/>
        <w:rPr>
          <w:rFonts w:ascii="Times New Roman" w:hAnsi="Times New Roman" w:cs="Times New Roman"/>
          <w:sz w:val="24"/>
          <w:szCs w:val="24"/>
        </w:rPr>
      </w:pPr>
      <w:r w:rsidRPr="007B23B3">
        <w:rPr>
          <w:rFonts w:ascii="Times New Roman" w:hAnsi="Times New Roman" w:cs="Times New Roman"/>
          <w:sz w:val="24"/>
          <w:szCs w:val="24"/>
        </w:rPr>
        <w:lastRenderedPageBreak/>
        <w:t>11. Suzanne Hill &amp; Kent Johnson. Emerging challenges and opportunities in drug registration and regulation in developing countries. Source. May 2004;46. Available at http://www.hlsp.org/LinkClick.aspx?fileticket=0TXMdaAk5KA%3D&amp;tabid=1643. Accessed on 1 May 2011.</w:t>
      </w:r>
    </w:p>
    <w:p w14:paraId="36E72123" w14:textId="77777777" w:rsidR="007B23B3" w:rsidRPr="007B23B3" w:rsidRDefault="007B23B3" w:rsidP="007B23B3">
      <w:pPr>
        <w:spacing w:line="360" w:lineRule="auto"/>
        <w:jc w:val="both"/>
        <w:rPr>
          <w:rFonts w:ascii="Times New Roman" w:hAnsi="Times New Roman" w:cs="Times New Roman"/>
          <w:sz w:val="24"/>
          <w:szCs w:val="24"/>
        </w:rPr>
      </w:pPr>
      <w:r w:rsidRPr="007B23B3">
        <w:rPr>
          <w:rFonts w:ascii="Times New Roman" w:hAnsi="Times New Roman" w:cs="Times New Roman"/>
          <w:sz w:val="24"/>
          <w:szCs w:val="24"/>
        </w:rPr>
        <w:t xml:space="preserve">12. Alan Shepard. Generic Medicines: Essential contributors to the long-term health of society. Available at. http://www.imshealth.com/imshealth/Global/Content/Document/Market Measurement TL/Generic Medicines GA.pdf. Accessed on 15 Jun 2011. </w:t>
      </w:r>
    </w:p>
    <w:p w14:paraId="5BEF06DE" w14:textId="77777777" w:rsidR="007B23B3" w:rsidRPr="007B23B3" w:rsidRDefault="007B23B3" w:rsidP="007B23B3">
      <w:pPr>
        <w:spacing w:line="360" w:lineRule="auto"/>
        <w:jc w:val="both"/>
        <w:rPr>
          <w:rFonts w:ascii="Times New Roman" w:hAnsi="Times New Roman" w:cs="Times New Roman"/>
          <w:sz w:val="24"/>
          <w:szCs w:val="24"/>
        </w:rPr>
      </w:pPr>
      <w:r w:rsidRPr="007B23B3">
        <w:rPr>
          <w:rFonts w:ascii="Times New Roman" w:hAnsi="Times New Roman" w:cs="Times New Roman"/>
          <w:sz w:val="24"/>
          <w:szCs w:val="24"/>
        </w:rPr>
        <w:t xml:space="preserve">13. Gary Buehler, R. Office of Pharmaceutical Science. Available at http://www.fda.gov/downloads/AdvisoryCommittees/CommitteesMeetingMat erials/Drugs/AdvisoryCommitteeforPharmaceuticalScienceandClinicalPharmacology/ UCM209319.pdf. Accessed on 13 Apr 2011. </w:t>
      </w:r>
    </w:p>
    <w:p w14:paraId="7BE7539A" w14:textId="77777777" w:rsidR="007B23B3" w:rsidRPr="007B23B3" w:rsidRDefault="007B23B3" w:rsidP="007B23B3">
      <w:pPr>
        <w:spacing w:line="360" w:lineRule="auto"/>
        <w:jc w:val="both"/>
        <w:rPr>
          <w:rFonts w:ascii="Times New Roman" w:hAnsi="Times New Roman" w:cs="Times New Roman"/>
          <w:sz w:val="24"/>
          <w:szCs w:val="24"/>
        </w:rPr>
      </w:pPr>
      <w:r w:rsidRPr="007B23B3">
        <w:rPr>
          <w:rFonts w:ascii="Times New Roman" w:hAnsi="Times New Roman" w:cs="Times New Roman"/>
          <w:sz w:val="24"/>
          <w:szCs w:val="24"/>
        </w:rPr>
        <w:t xml:space="preserve">14. Therapeutic Equivalence of Generic Drugs Response to National association of boards of pharmacy. Available http://www.fda.gov/cder/news/ntiletter.htm 9/17/03 .Accessed on 16 Apr 2011 </w:t>
      </w:r>
    </w:p>
    <w:p w14:paraId="747F3CCB" w14:textId="77777777" w:rsidR="007B23B3" w:rsidRPr="007B23B3" w:rsidRDefault="007B23B3" w:rsidP="007B23B3">
      <w:pPr>
        <w:spacing w:line="360" w:lineRule="auto"/>
        <w:jc w:val="both"/>
        <w:rPr>
          <w:rFonts w:ascii="Times New Roman" w:hAnsi="Times New Roman" w:cs="Times New Roman"/>
          <w:sz w:val="24"/>
          <w:szCs w:val="24"/>
        </w:rPr>
      </w:pPr>
      <w:r w:rsidRPr="007B23B3">
        <w:rPr>
          <w:rFonts w:ascii="Times New Roman" w:hAnsi="Times New Roman" w:cs="Times New Roman"/>
          <w:sz w:val="24"/>
          <w:szCs w:val="24"/>
        </w:rPr>
        <w:t>15. Shah Dhaval, Sharma Anil. A review on conduct and analysis of bioavailability and bioequivalence studies. Available at bioavailability and bioequivalence studies Accessed on 1 Jul 2011.</w:t>
      </w:r>
    </w:p>
    <w:p w14:paraId="504C2FB5" w14:textId="77777777" w:rsidR="00D11DBE" w:rsidRPr="007B23B3" w:rsidRDefault="00D11DBE" w:rsidP="007B23B3">
      <w:pPr>
        <w:spacing w:line="360" w:lineRule="auto"/>
        <w:jc w:val="both"/>
        <w:rPr>
          <w:rFonts w:ascii="Times New Roman" w:hAnsi="Times New Roman" w:cs="Times New Roman"/>
          <w:sz w:val="24"/>
          <w:szCs w:val="24"/>
        </w:rPr>
      </w:pPr>
    </w:p>
    <w:sectPr w:rsidR="00D11DBE" w:rsidRPr="007B23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C423E9"/>
    <w:multiLevelType w:val="multilevel"/>
    <w:tmpl w:val="D48A2D3A"/>
    <w:lvl w:ilvl="0">
      <w:start w:val="1"/>
      <w:numFmt w:val="decimal"/>
      <w:lvlText w:val="%1.0"/>
      <w:lvlJc w:val="left"/>
      <w:pPr>
        <w:ind w:left="750" w:hanging="360"/>
      </w:pPr>
      <w:rPr>
        <w:rFonts w:hint="default"/>
      </w:rPr>
    </w:lvl>
    <w:lvl w:ilvl="1">
      <w:start w:val="1"/>
      <w:numFmt w:val="decimal"/>
      <w:lvlText w:val="%1.%2"/>
      <w:lvlJc w:val="left"/>
      <w:pPr>
        <w:ind w:left="1470" w:hanging="360"/>
      </w:pPr>
      <w:rPr>
        <w:rFonts w:hint="default"/>
      </w:rPr>
    </w:lvl>
    <w:lvl w:ilvl="2">
      <w:start w:val="1"/>
      <w:numFmt w:val="decimal"/>
      <w:lvlText w:val="%1.%2.%3"/>
      <w:lvlJc w:val="left"/>
      <w:pPr>
        <w:ind w:left="255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350" w:hanging="1080"/>
      </w:pPr>
      <w:rPr>
        <w:rFonts w:hint="default"/>
      </w:rPr>
    </w:lvl>
    <w:lvl w:ilvl="5">
      <w:start w:val="1"/>
      <w:numFmt w:val="decimal"/>
      <w:lvlText w:val="%1.%2.%3.%4.%5.%6"/>
      <w:lvlJc w:val="left"/>
      <w:pPr>
        <w:ind w:left="5070" w:hanging="1080"/>
      </w:pPr>
      <w:rPr>
        <w:rFonts w:hint="default"/>
      </w:rPr>
    </w:lvl>
    <w:lvl w:ilvl="6">
      <w:start w:val="1"/>
      <w:numFmt w:val="decimal"/>
      <w:lvlText w:val="%1.%2.%3.%4.%5.%6.%7"/>
      <w:lvlJc w:val="left"/>
      <w:pPr>
        <w:ind w:left="6150" w:hanging="1440"/>
      </w:pPr>
      <w:rPr>
        <w:rFonts w:hint="default"/>
      </w:rPr>
    </w:lvl>
    <w:lvl w:ilvl="7">
      <w:start w:val="1"/>
      <w:numFmt w:val="decimal"/>
      <w:lvlText w:val="%1.%2.%3.%4.%5.%6.%7.%8"/>
      <w:lvlJc w:val="left"/>
      <w:pPr>
        <w:ind w:left="6870" w:hanging="1440"/>
      </w:pPr>
      <w:rPr>
        <w:rFonts w:hint="default"/>
      </w:rPr>
    </w:lvl>
    <w:lvl w:ilvl="8">
      <w:start w:val="1"/>
      <w:numFmt w:val="decimal"/>
      <w:lvlText w:val="%1.%2.%3.%4.%5.%6.%7.%8.%9"/>
      <w:lvlJc w:val="left"/>
      <w:pPr>
        <w:ind w:left="7950" w:hanging="1800"/>
      </w:pPr>
      <w:rPr>
        <w:rFonts w:hint="default"/>
      </w:rPr>
    </w:lvl>
  </w:abstractNum>
  <w:abstractNum w:abstractNumId="1" w15:restartNumberingAfterBreak="0">
    <w:nsid w:val="59876A75"/>
    <w:multiLevelType w:val="multilevel"/>
    <w:tmpl w:val="D41275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2C209FC"/>
    <w:multiLevelType w:val="hybridMultilevel"/>
    <w:tmpl w:val="F5CC23EA"/>
    <w:lvl w:ilvl="0" w:tplc="A22E32F2">
      <w:start w:val="1"/>
      <w:numFmt w:val="upperRoman"/>
      <w:lvlText w:val="%1."/>
      <w:lvlJc w:val="left"/>
      <w:pPr>
        <w:ind w:left="1110" w:hanging="720"/>
      </w:pPr>
      <w:rPr>
        <w:rFonts w:hint="default"/>
      </w:rPr>
    </w:lvl>
    <w:lvl w:ilvl="1" w:tplc="40090019" w:tentative="1">
      <w:start w:val="1"/>
      <w:numFmt w:val="lowerLetter"/>
      <w:lvlText w:val="%2."/>
      <w:lvlJc w:val="left"/>
      <w:pPr>
        <w:ind w:left="1470" w:hanging="360"/>
      </w:pPr>
    </w:lvl>
    <w:lvl w:ilvl="2" w:tplc="4009001B" w:tentative="1">
      <w:start w:val="1"/>
      <w:numFmt w:val="lowerRoman"/>
      <w:lvlText w:val="%3."/>
      <w:lvlJc w:val="right"/>
      <w:pPr>
        <w:ind w:left="2190" w:hanging="180"/>
      </w:pPr>
    </w:lvl>
    <w:lvl w:ilvl="3" w:tplc="4009000F" w:tentative="1">
      <w:start w:val="1"/>
      <w:numFmt w:val="decimal"/>
      <w:lvlText w:val="%4."/>
      <w:lvlJc w:val="left"/>
      <w:pPr>
        <w:ind w:left="2910" w:hanging="360"/>
      </w:pPr>
    </w:lvl>
    <w:lvl w:ilvl="4" w:tplc="40090019" w:tentative="1">
      <w:start w:val="1"/>
      <w:numFmt w:val="lowerLetter"/>
      <w:lvlText w:val="%5."/>
      <w:lvlJc w:val="left"/>
      <w:pPr>
        <w:ind w:left="3630" w:hanging="360"/>
      </w:pPr>
    </w:lvl>
    <w:lvl w:ilvl="5" w:tplc="4009001B" w:tentative="1">
      <w:start w:val="1"/>
      <w:numFmt w:val="lowerRoman"/>
      <w:lvlText w:val="%6."/>
      <w:lvlJc w:val="right"/>
      <w:pPr>
        <w:ind w:left="4350" w:hanging="180"/>
      </w:pPr>
    </w:lvl>
    <w:lvl w:ilvl="6" w:tplc="4009000F" w:tentative="1">
      <w:start w:val="1"/>
      <w:numFmt w:val="decimal"/>
      <w:lvlText w:val="%7."/>
      <w:lvlJc w:val="left"/>
      <w:pPr>
        <w:ind w:left="5070" w:hanging="360"/>
      </w:pPr>
    </w:lvl>
    <w:lvl w:ilvl="7" w:tplc="40090019" w:tentative="1">
      <w:start w:val="1"/>
      <w:numFmt w:val="lowerLetter"/>
      <w:lvlText w:val="%8."/>
      <w:lvlJc w:val="left"/>
      <w:pPr>
        <w:ind w:left="5790" w:hanging="360"/>
      </w:pPr>
    </w:lvl>
    <w:lvl w:ilvl="8" w:tplc="4009001B" w:tentative="1">
      <w:start w:val="1"/>
      <w:numFmt w:val="lowerRoman"/>
      <w:lvlText w:val="%9."/>
      <w:lvlJc w:val="right"/>
      <w:pPr>
        <w:ind w:left="6510" w:hanging="180"/>
      </w:pPr>
    </w:lvl>
  </w:abstractNum>
  <w:abstractNum w:abstractNumId="3" w15:restartNumberingAfterBreak="0">
    <w:nsid w:val="755F03F3"/>
    <w:multiLevelType w:val="multilevel"/>
    <w:tmpl w:val="B170B3F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34519557">
    <w:abstractNumId w:val="3"/>
  </w:num>
  <w:num w:numId="2" w16cid:durableId="1984579532">
    <w:abstractNumId w:val="2"/>
  </w:num>
  <w:num w:numId="3" w16cid:durableId="753160692">
    <w:abstractNumId w:val="0"/>
  </w:num>
  <w:num w:numId="4" w16cid:durableId="208879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0F5"/>
    <w:rsid w:val="00004FD4"/>
    <w:rsid w:val="00090235"/>
    <w:rsid w:val="00210BC3"/>
    <w:rsid w:val="004408B8"/>
    <w:rsid w:val="005D0BFF"/>
    <w:rsid w:val="007A0B4D"/>
    <w:rsid w:val="007B23B3"/>
    <w:rsid w:val="008706B8"/>
    <w:rsid w:val="009573AC"/>
    <w:rsid w:val="00984508"/>
    <w:rsid w:val="0098799E"/>
    <w:rsid w:val="00A87C23"/>
    <w:rsid w:val="00AB53D5"/>
    <w:rsid w:val="00B600F5"/>
    <w:rsid w:val="00B94F9B"/>
    <w:rsid w:val="00C02E92"/>
    <w:rsid w:val="00C511B6"/>
    <w:rsid w:val="00C55494"/>
    <w:rsid w:val="00CE1CB5"/>
    <w:rsid w:val="00D11DBE"/>
    <w:rsid w:val="00E352DF"/>
    <w:rsid w:val="00E60B8E"/>
    <w:rsid w:val="00FA6C99"/>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28811"/>
  <w15:chartTrackingRefBased/>
  <w15:docId w15:val="{A7CB7897-C8E6-41AC-960E-6A2ED1ECA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799E"/>
    <w:pPr>
      <w:ind w:left="720"/>
      <w:contextualSpacing/>
    </w:pPr>
  </w:style>
  <w:style w:type="table" w:styleId="TableGrid">
    <w:name w:val="Table Grid"/>
    <w:basedOn w:val="TableNormal"/>
    <w:uiPriority w:val="39"/>
    <w:rsid w:val="005D0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4610</Words>
  <Characters>26279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 h</cp:lastModifiedBy>
  <cp:revision>4</cp:revision>
  <dcterms:created xsi:type="dcterms:W3CDTF">2024-09-27T16:05:00Z</dcterms:created>
  <dcterms:modified xsi:type="dcterms:W3CDTF">2024-10-03T16:24:00Z</dcterms:modified>
</cp:coreProperties>
</file>