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4842E" w14:textId="2BA3D27D" w:rsidR="00C300E5" w:rsidRPr="0091535B" w:rsidRDefault="00AF7AFF" w:rsidP="0091535B">
      <w:pPr>
        <w:spacing w:line="276" w:lineRule="auto"/>
        <w:jc w:val="center"/>
        <w:rPr>
          <w:rFonts w:asciiTheme="majorHAnsi" w:hAnsiTheme="majorHAnsi" w:cstheme="majorHAnsi"/>
          <w:b/>
          <w:bCs/>
          <w:sz w:val="24"/>
          <w:szCs w:val="24"/>
        </w:rPr>
      </w:pPr>
      <w:r w:rsidRPr="0091535B">
        <w:rPr>
          <w:rFonts w:asciiTheme="majorHAnsi" w:hAnsiTheme="majorHAnsi" w:cstheme="majorHAnsi"/>
          <w:b/>
          <w:bCs/>
          <w:color w:val="161719"/>
          <w:sz w:val="24"/>
          <w:szCs w:val="24"/>
          <w:shd w:val="clear" w:color="auto" w:fill="FFFFFF"/>
        </w:rPr>
        <w:t xml:space="preserve"> Studying the Self-Help Group (SHG) Growth through Annual Trends and Cumulative Data Analysis in the NRLM Program</w:t>
      </w:r>
    </w:p>
    <w:p w14:paraId="69CF9CAB" w14:textId="77777777" w:rsidR="00000948" w:rsidRPr="0091535B" w:rsidRDefault="00000948" w:rsidP="0091535B">
      <w:pPr>
        <w:pStyle w:val="NoSpacing"/>
        <w:spacing w:line="276" w:lineRule="auto"/>
        <w:jc w:val="center"/>
        <w:rPr>
          <w:rFonts w:asciiTheme="majorHAnsi" w:hAnsiTheme="majorHAnsi" w:cstheme="majorHAnsi"/>
          <w:sz w:val="24"/>
          <w:szCs w:val="24"/>
        </w:rPr>
      </w:pPr>
    </w:p>
    <w:p w14:paraId="6E627124" w14:textId="77777777" w:rsidR="000B795D" w:rsidRPr="0091535B" w:rsidRDefault="000B795D" w:rsidP="0091535B">
      <w:pPr>
        <w:pStyle w:val="NoSpacing"/>
        <w:spacing w:line="276" w:lineRule="auto"/>
        <w:jc w:val="center"/>
        <w:rPr>
          <w:rFonts w:asciiTheme="majorHAnsi" w:hAnsiTheme="majorHAnsi" w:cstheme="majorHAnsi"/>
          <w:sz w:val="24"/>
          <w:szCs w:val="24"/>
        </w:rPr>
      </w:pPr>
      <w:r w:rsidRPr="0091535B">
        <w:rPr>
          <w:rFonts w:asciiTheme="majorHAnsi" w:hAnsiTheme="majorHAnsi" w:cstheme="majorHAnsi"/>
          <w:sz w:val="24"/>
          <w:szCs w:val="24"/>
        </w:rPr>
        <w:t>Deepshikha Patel</w:t>
      </w:r>
    </w:p>
    <w:p w14:paraId="519B6C49" w14:textId="77777777" w:rsidR="000B795D" w:rsidRPr="0091535B" w:rsidRDefault="000B795D" w:rsidP="0091535B">
      <w:pPr>
        <w:pStyle w:val="NoSpacing"/>
        <w:spacing w:line="276" w:lineRule="auto"/>
        <w:jc w:val="center"/>
        <w:rPr>
          <w:rFonts w:asciiTheme="majorHAnsi" w:hAnsiTheme="majorHAnsi" w:cstheme="majorHAnsi"/>
          <w:sz w:val="24"/>
          <w:szCs w:val="24"/>
        </w:rPr>
      </w:pPr>
      <w:r w:rsidRPr="0091535B">
        <w:rPr>
          <w:rFonts w:asciiTheme="majorHAnsi" w:hAnsiTheme="majorHAnsi" w:cstheme="majorHAnsi"/>
          <w:sz w:val="24"/>
          <w:szCs w:val="24"/>
        </w:rPr>
        <w:t>Ph.D. Research scholar,</w:t>
      </w:r>
    </w:p>
    <w:p w14:paraId="52961040" w14:textId="77777777" w:rsidR="000B795D" w:rsidRPr="0091535B" w:rsidRDefault="000B795D" w:rsidP="0091535B">
      <w:pPr>
        <w:pStyle w:val="NoSpacing"/>
        <w:spacing w:line="276" w:lineRule="auto"/>
        <w:jc w:val="center"/>
        <w:rPr>
          <w:rFonts w:asciiTheme="majorHAnsi" w:hAnsiTheme="majorHAnsi" w:cstheme="majorHAnsi"/>
          <w:sz w:val="24"/>
          <w:szCs w:val="24"/>
        </w:rPr>
      </w:pPr>
      <w:r w:rsidRPr="0091535B">
        <w:rPr>
          <w:rFonts w:asciiTheme="majorHAnsi" w:hAnsiTheme="majorHAnsi" w:cstheme="majorHAnsi"/>
          <w:sz w:val="24"/>
          <w:szCs w:val="24"/>
        </w:rPr>
        <w:t>Dept. of Commerce</w:t>
      </w:r>
    </w:p>
    <w:p w14:paraId="61FA3805" w14:textId="77777777" w:rsidR="000B795D" w:rsidRPr="0091535B" w:rsidRDefault="000B795D" w:rsidP="0091535B">
      <w:pPr>
        <w:pStyle w:val="NoSpacing"/>
        <w:spacing w:line="276" w:lineRule="auto"/>
        <w:jc w:val="center"/>
        <w:rPr>
          <w:rFonts w:asciiTheme="majorHAnsi" w:hAnsiTheme="majorHAnsi" w:cstheme="majorHAnsi"/>
          <w:sz w:val="24"/>
          <w:szCs w:val="24"/>
        </w:rPr>
      </w:pPr>
      <w:r w:rsidRPr="0091535B">
        <w:rPr>
          <w:rFonts w:asciiTheme="majorHAnsi" w:hAnsiTheme="majorHAnsi" w:cstheme="majorHAnsi"/>
          <w:sz w:val="24"/>
          <w:szCs w:val="24"/>
        </w:rPr>
        <w:t>Hemchand Yadav University, Durg, Chhattisgarh</w:t>
      </w:r>
    </w:p>
    <w:p w14:paraId="574410AD" w14:textId="77777777" w:rsidR="000B795D" w:rsidRPr="0091535B" w:rsidRDefault="000B795D" w:rsidP="0091535B">
      <w:pPr>
        <w:pStyle w:val="NoSpacing"/>
        <w:spacing w:line="276" w:lineRule="auto"/>
        <w:jc w:val="center"/>
        <w:rPr>
          <w:rFonts w:asciiTheme="majorHAnsi" w:hAnsiTheme="majorHAnsi" w:cstheme="majorHAnsi"/>
          <w:sz w:val="24"/>
          <w:szCs w:val="24"/>
        </w:rPr>
      </w:pPr>
    </w:p>
    <w:p w14:paraId="69409629" w14:textId="77777777" w:rsidR="000B795D" w:rsidRPr="0091535B" w:rsidRDefault="000B795D" w:rsidP="0091535B">
      <w:pPr>
        <w:pStyle w:val="NoSpacing"/>
        <w:spacing w:line="276" w:lineRule="auto"/>
        <w:jc w:val="center"/>
        <w:rPr>
          <w:rFonts w:asciiTheme="majorHAnsi" w:hAnsiTheme="majorHAnsi" w:cstheme="majorHAnsi"/>
          <w:sz w:val="24"/>
          <w:szCs w:val="24"/>
        </w:rPr>
      </w:pPr>
      <w:proofErr w:type="spellStart"/>
      <w:r w:rsidRPr="0091535B">
        <w:rPr>
          <w:rFonts w:asciiTheme="majorHAnsi" w:hAnsiTheme="majorHAnsi" w:cstheme="majorHAnsi"/>
          <w:sz w:val="24"/>
          <w:szCs w:val="24"/>
        </w:rPr>
        <w:t>Dr.</w:t>
      </w:r>
      <w:proofErr w:type="spellEnd"/>
      <w:r w:rsidRPr="0091535B">
        <w:rPr>
          <w:rFonts w:asciiTheme="majorHAnsi" w:hAnsiTheme="majorHAnsi" w:cstheme="majorHAnsi"/>
          <w:sz w:val="24"/>
          <w:szCs w:val="24"/>
        </w:rPr>
        <w:t xml:space="preserve"> Anita Pandey</w:t>
      </w:r>
    </w:p>
    <w:p w14:paraId="6DCD9083" w14:textId="77777777" w:rsidR="000B795D" w:rsidRPr="0091535B" w:rsidRDefault="000B795D" w:rsidP="0091535B">
      <w:pPr>
        <w:pStyle w:val="NoSpacing"/>
        <w:spacing w:line="276" w:lineRule="auto"/>
        <w:jc w:val="center"/>
        <w:rPr>
          <w:rFonts w:asciiTheme="majorHAnsi" w:hAnsiTheme="majorHAnsi" w:cstheme="majorHAnsi"/>
          <w:sz w:val="24"/>
          <w:szCs w:val="24"/>
        </w:rPr>
      </w:pPr>
      <w:r w:rsidRPr="0091535B">
        <w:rPr>
          <w:rFonts w:asciiTheme="majorHAnsi" w:hAnsiTheme="majorHAnsi" w:cstheme="majorHAnsi"/>
          <w:sz w:val="24"/>
          <w:szCs w:val="24"/>
        </w:rPr>
        <w:t>HOD, Dept. of Commerce</w:t>
      </w:r>
    </w:p>
    <w:p w14:paraId="09778AC0" w14:textId="022DE7D5" w:rsidR="00AF7AFF" w:rsidRPr="0091535B" w:rsidRDefault="000B795D" w:rsidP="0091535B">
      <w:pPr>
        <w:pStyle w:val="NoSpacing"/>
        <w:spacing w:line="276" w:lineRule="auto"/>
        <w:jc w:val="center"/>
        <w:rPr>
          <w:rFonts w:asciiTheme="majorHAnsi" w:hAnsiTheme="majorHAnsi" w:cstheme="majorHAnsi"/>
          <w:sz w:val="24"/>
          <w:szCs w:val="24"/>
        </w:rPr>
      </w:pPr>
      <w:r w:rsidRPr="0091535B">
        <w:rPr>
          <w:rFonts w:asciiTheme="majorHAnsi" w:hAnsiTheme="majorHAnsi" w:cstheme="majorHAnsi"/>
          <w:sz w:val="24"/>
          <w:szCs w:val="24"/>
        </w:rPr>
        <w:t xml:space="preserve">Shri Shankaracharya Mahavidyalaya, </w:t>
      </w:r>
      <w:proofErr w:type="spellStart"/>
      <w:r w:rsidRPr="0091535B">
        <w:rPr>
          <w:rFonts w:asciiTheme="majorHAnsi" w:hAnsiTheme="majorHAnsi" w:cstheme="majorHAnsi"/>
          <w:sz w:val="24"/>
          <w:szCs w:val="24"/>
        </w:rPr>
        <w:t>Junwani</w:t>
      </w:r>
      <w:proofErr w:type="spellEnd"/>
      <w:r w:rsidRPr="0091535B">
        <w:rPr>
          <w:rFonts w:asciiTheme="majorHAnsi" w:hAnsiTheme="majorHAnsi" w:cstheme="majorHAnsi"/>
          <w:sz w:val="24"/>
          <w:szCs w:val="24"/>
        </w:rPr>
        <w:t xml:space="preserve">, </w:t>
      </w:r>
      <w:proofErr w:type="spellStart"/>
      <w:r w:rsidRPr="0091535B">
        <w:rPr>
          <w:rFonts w:asciiTheme="majorHAnsi" w:hAnsiTheme="majorHAnsi" w:cstheme="majorHAnsi"/>
          <w:sz w:val="24"/>
          <w:szCs w:val="24"/>
        </w:rPr>
        <w:t>Bhilai</w:t>
      </w:r>
      <w:proofErr w:type="spellEnd"/>
      <w:r w:rsidRPr="0091535B">
        <w:rPr>
          <w:rFonts w:asciiTheme="majorHAnsi" w:hAnsiTheme="majorHAnsi" w:cstheme="majorHAnsi"/>
          <w:sz w:val="24"/>
          <w:szCs w:val="24"/>
        </w:rPr>
        <w:t>, Chhattisgarh</w:t>
      </w:r>
    </w:p>
    <w:p w14:paraId="0A50008D" w14:textId="77777777" w:rsidR="000B795D" w:rsidRPr="0091535B" w:rsidRDefault="000B795D" w:rsidP="0091535B">
      <w:pPr>
        <w:spacing w:line="276" w:lineRule="auto"/>
        <w:jc w:val="center"/>
        <w:rPr>
          <w:rFonts w:asciiTheme="majorHAnsi" w:hAnsiTheme="majorHAnsi" w:cstheme="majorHAnsi"/>
          <w:b/>
          <w:bCs/>
          <w:sz w:val="24"/>
          <w:szCs w:val="24"/>
        </w:rPr>
      </w:pPr>
    </w:p>
    <w:p w14:paraId="730891F7" w14:textId="36237BC5" w:rsidR="00AF6E76" w:rsidRPr="0091535B" w:rsidRDefault="00AF6E76" w:rsidP="0091535B">
      <w:pPr>
        <w:spacing w:line="276" w:lineRule="auto"/>
        <w:jc w:val="center"/>
        <w:rPr>
          <w:rFonts w:asciiTheme="majorHAnsi" w:hAnsiTheme="majorHAnsi" w:cstheme="majorHAnsi"/>
          <w:b/>
          <w:bCs/>
          <w:sz w:val="24"/>
          <w:szCs w:val="24"/>
        </w:rPr>
      </w:pPr>
      <w:r w:rsidRPr="0091535B">
        <w:rPr>
          <w:rFonts w:asciiTheme="majorHAnsi" w:hAnsiTheme="majorHAnsi" w:cstheme="majorHAnsi"/>
          <w:b/>
          <w:bCs/>
          <w:sz w:val="24"/>
          <w:szCs w:val="24"/>
        </w:rPr>
        <w:t>Abstract:</w:t>
      </w:r>
    </w:p>
    <w:p w14:paraId="2AD4AFA9" w14:textId="77777777" w:rsidR="00AF6E76" w:rsidRPr="0091535B" w:rsidRDefault="00AF6E76" w:rsidP="0091535B">
      <w:pPr>
        <w:spacing w:line="276" w:lineRule="auto"/>
        <w:jc w:val="both"/>
        <w:rPr>
          <w:rFonts w:asciiTheme="majorHAnsi" w:hAnsiTheme="majorHAnsi" w:cstheme="majorHAnsi"/>
          <w:b/>
          <w:bCs/>
          <w:sz w:val="24"/>
          <w:szCs w:val="24"/>
        </w:rPr>
      </w:pPr>
    </w:p>
    <w:p w14:paraId="3C63B4D8" w14:textId="15F63CCF" w:rsidR="00AF6E76" w:rsidRDefault="00AF6E76"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 xml:space="preserve">This </w:t>
      </w:r>
      <w:r w:rsidR="002C7510" w:rsidRPr="0091535B">
        <w:rPr>
          <w:rFonts w:asciiTheme="majorHAnsi" w:hAnsiTheme="majorHAnsi" w:cstheme="majorHAnsi"/>
          <w:sz w:val="24"/>
          <w:szCs w:val="24"/>
        </w:rPr>
        <w:t>paper</w:t>
      </w:r>
      <w:r w:rsidRPr="0091535B">
        <w:rPr>
          <w:rFonts w:asciiTheme="majorHAnsi" w:hAnsiTheme="majorHAnsi" w:cstheme="majorHAnsi"/>
          <w:sz w:val="24"/>
          <w:szCs w:val="24"/>
        </w:rPr>
        <w:t xml:space="preserve"> provides a comprehensive overview of the analysis of Self-Help Groups (SHGs) data. The annual count of SHGs, categorized as "New" and "Pre NRLM revived," is examined, revealing a dynamic pattern marked by fluctuations, encompassing both growth and decline. The cumulative SHGs data indicates a consistent upward trend, with a remarkable spike in 202</w:t>
      </w:r>
      <w:r w:rsidR="00C574D0" w:rsidRPr="0091535B">
        <w:rPr>
          <w:rFonts w:asciiTheme="majorHAnsi" w:hAnsiTheme="majorHAnsi" w:cstheme="majorHAnsi"/>
          <w:sz w:val="24"/>
          <w:szCs w:val="24"/>
        </w:rPr>
        <w:t>1</w:t>
      </w:r>
      <w:r w:rsidRPr="0091535B">
        <w:rPr>
          <w:rFonts w:asciiTheme="majorHAnsi" w:hAnsiTheme="majorHAnsi" w:cstheme="majorHAnsi"/>
          <w:sz w:val="24"/>
          <w:szCs w:val="24"/>
        </w:rPr>
        <w:t>-2</w:t>
      </w:r>
      <w:r w:rsidR="00C574D0" w:rsidRPr="0091535B">
        <w:rPr>
          <w:rFonts w:asciiTheme="majorHAnsi" w:hAnsiTheme="majorHAnsi" w:cstheme="majorHAnsi"/>
          <w:sz w:val="24"/>
          <w:szCs w:val="24"/>
        </w:rPr>
        <w:t>2</w:t>
      </w:r>
      <w:r w:rsidRPr="0091535B">
        <w:rPr>
          <w:rFonts w:asciiTheme="majorHAnsi" w:hAnsiTheme="majorHAnsi" w:cstheme="majorHAnsi"/>
          <w:sz w:val="24"/>
          <w:szCs w:val="24"/>
        </w:rPr>
        <w:t xml:space="preserve">, resulting in a cumulative total of </w:t>
      </w:r>
      <w:r w:rsidR="00C574D0" w:rsidRPr="0091535B">
        <w:rPr>
          <w:rFonts w:asciiTheme="majorHAnsi" w:eastAsia="Times New Roman" w:hAnsiTheme="majorHAnsi" w:cstheme="majorHAnsi"/>
          <w:kern w:val="0"/>
          <w:sz w:val="24"/>
          <w:szCs w:val="24"/>
          <w:lang w:val="en-IN" w:eastAsia="en-IN"/>
          <w14:ligatures w14:val="none"/>
        </w:rPr>
        <w:t xml:space="preserve">10,341 </w:t>
      </w:r>
      <w:r w:rsidRPr="0091535B">
        <w:rPr>
          <w:rFonts w:asciiTheme="majorHAnsi" w:hAnsiTheme="majorHAnsi" w:cstheme="majorHAnsi"/>
          <w:sz w:val="24"/>
          <w:szCs w:val="24"/>
        </w:rPr>
        <w:t>SHGs. The notable contribution of "Pre-NRLM-Revived" SHGs to this count is acknowledged, emphasizing the program's efficacy in fostering self-help groups for community development. However, to guide future program decisions and sustain this growth, a thorough trend analysis is emphasized to discern the underlying causes of fluctuations and the factors driving recent growth. Overall, the findings underscore the dynamic and promising nature of SHG formation and revitalization, emphasizing the program's potential for further expansion and positive community impact.</w:t>
      </w:r>
    </w:p>
    <w:p w14:paraId="2A24044E" w14:textId="77777777" w:rsidR="008D2BF8" w:rsidRDefault="008D2BF8" w:rsidP="0091535B">
      <w:pPr>
        <w:spacing w:line="276" w:lineRule="auto"/>
        <w:jc w:val="both"/>
        <w:rPr>
          <w:rFonts w:asciiTheme="majorHAnsi" w:hAnsiTheme="majorHAnsi" w:cstheme="majorHAnsi"/>
          <w:sz w:val="24"/>
          <w:szCs w:val="24"/>
        </w:rPr>
      </w:pPr>
    </w:p>
    <w:p w14:paraId="3B7F1207" w14:textId="7F4A2F01" w:rsidR="008D2BF8" w:rsidRPr="0091535B" w:rsidRDefault="008D2BF8" w:rsidP="0091535B">
      <w:pPr>
        <w:spacing w:line="276" w:lineRule="auto"/>
        <w:jc w:val="both"/>
        <w:rPr>
          <w:rFonts w:asciiTheme="majorHAnsi" w:hAnsiTheme="majorHAnsi" w:cstheme="majorHAnsi"/>
          <w:sz w:val="24"/>
          <w:szCs w:val="24"/>
        </w:rPr>
      </w:pPr>
      <w:r w:rsidRPr="008D2BF8">
        <w:rPr>
          <w:rFonts w:cs="Times New Roman"/>
          <w:b/>
          <w:bCs/>
          <w:sz w:val="24"/>
          <w:szCs w:val="24"/>
        </w:rPr>
        <w:t>Keywords:</w:t>
      </w:r>
      <w:r>
        <w:rPr>
          <w:rFonts w:cs="Times New Roman"/>
          <w:sz w:val="24"/>
          <w:szCs w:val="24"/>
        </w:rPr>
        <w:t xml:space="preserve"> </w:t>
      </w:r>
      <w:r>
        <w:rPr>
          <w:rFonts w:cs="Times New Roman"/>
          <w:sz w:val="24"/>
          <w:szCs w:val="24"/>
        </w:rPr>
        <w:t>Bank Credit, women entrepreneur, women empowerment, DAY-NRLM, SHG’s.</w:t>
      </w:r>
    </w:p>
    <w:p w14:paraId="581DA320" w14:textId="77777777" w:rsidR="00AF6E76" w:rsidRPr="0091535B" w:rsidRDefault="00AF6E76" w:rsidP="0091535B">
      <w:pPr>
        <w:spacing w:line="276" w:lineRule="auto"/>
        <w:jc w:val="both"/>
        <w:rPr>
          <w:rFonts w:asciiTheme="majorHAnsi" w:hAnsiTheme="majorHAnsi" w:cstheme="majorHAnsi"/>
          <w:sz w:val="24"/>
          <w:szCs w:val="24"/>
        </w:rPr>
      </w:pPr>
    </w:p>
    <w:p w14:paraId="0407E89B" w14:textId="77777777" w:rsidR="00DC0518" w:rsidRPr="0091535B" w:rsidRDefault="00DC0518" w:rsidP="0091535B">
      <w:pPr>
        <w:spacing w:line="276" w:lineRule="auto"/>
        <w:jc w:val="both"/>
        <w:rPr>
          <w:rFonts w:asciiTheme="majorHAnsi" w:hAnsiTheme="majorHAnsi" w:cstheme="majorHAnsi"/>
          <w:b/>
          <w:bCs/>
          <w:sz w:val="24"/>
          <w:szCs w:val="24"/>
        </w:rPr>
      </w:pPr>
      <w:r w:rsidRPr="0091535B">
        <w:rPr>
          <w:rFonts w:asciiTheme="majorHAnsi" w:hAnsiTheme="majorHAnsi" w:cstheme="majorHAnsi"/>
          <w:b/>
          <w:bCs/>
          <w:sz w:val="24"/>
          <w:szCs w:val="24"/>
        </w:rPr>
        <w:t>DAY-NRLM</w:t>
      </w:r>
    </w:p>
    <w:p w14:paraId="3E733DF4" w14:textId="77777777" w:rsidR="00DC0518" w:rsidRPr="0091535B" w:rsidRDefault="00DC0518" w:rsidP="0091535B">
      <w:pPr>
        <w:spacing w:line="276" w:lineRule="auto"/>
        <w:jc w:val="both"/>
        <w:rPr>
          <w:rFonts w:asciiTheme="majorHAnsi" w:hAnsiTheme="majorHAnsi" w:cstheme="majorHAnsi"/>
          <w:sz w:val="24"/>
          <w:szCs w:val="24"/>
        </w:rPr>
      </w:pPr>
    </w:p>
    <w:p w14:paraId="661C8398" w14:textId="77777777" w:rsidR="00DC0518" w:rsidRPr="0091535B" w:rsidRDefault="008E318F"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Deendayal Antyodaya Yojana – National Rural Livelihoods Mission (DAY-NRLM) is a flagship initiative by the Government of India. Launched to alleviate rural poverty, it aims to organize the rural poor into Self-Help Groups (SHGs) and support them in generating sustainable livelihoods. DAY-NRLM focuses on women's empowerment, skill development, financial inclusion, and social mobilization. By promoting livelihood activities, providing financial services, and enhancing capacities, it strives to improve the economic and social well-being of the underprivileged, especially in rural areas, thereby fostering inclusive growth and fostering a better quality of life.</w:t>
      </w:r>
    </w:p>
    <w:p w14:paraId="6EF142C5" w14:textId="77777777" w:rsidR="00DC0518" w:rsidRPr="0091535B" w:rsidRDefault="00DC0518" w:rsidP="0091535B">
      <w:pPr>
        <w:spacing w:line="276" w:lineRule="auto"/>
        <w:jc w:val="both"/>
        <w:rPr>
          <w:rFonts w:asciiTheme="majorHAnsi" w:hAnsiTheme="majorHAnsi" w:cstheme="majorHAnsi"/>
          <w:sz w:val="24"/>
          <w:szCs w:val="24"/>
        </w:rPr>
      </w:pPr>
    </w:p>
    <w:p w14:paraId="389B76A1" w14:textId="77777777" w:rsidR="00DC0518" w:rsidRPr="0091535B" w:rsidRDefault="00DC0518" w:rsidP="0091535B">
      <w:pPr>
        <w:spacing w:line="276" w:lineRule="auto"/>
        <w:jc w:val="both"/>
        <w:rPr>
          <w:rFonts w:asciiTheme="majorHAnsi" w:hAnsiTheme="majorHAnsi" w:cstheme="majorHAnsi"/>
          <w:b/>
          <w:bCs/>
          <w:sz w:val="24"/>
          <w:szCs w:val="24"/>
        </w:rPr>
      </w:pPr>
      <w:r w:rsidRPr="0091535B">
        <w:rPr>
          <w:rFonts w:asciiTheme="majorHAnsi" w:hAnsiTheme="majorHAnsi" w:cstheme="majorHAnsi"/>
          <w:b/>
          <w:bCs/>
          <w:sz w:val="24"/>
          <w:szCs w:val="24"/>
        </w:rPr>
        <w:t>SHG functioning under NRLM</w:t>
      </w:r>
    </w:p>
    <w:p w14:paraId="3F22CA17" w14:textId="77777777" w:rsidR="00DC0518" w:rsidRPr="0091535B" w:rsidRDefault="00DC0518" w:rsidP="0091535B">
      <w:pPr>
        <w:spacing w:line="276" w:lineRule="auto"/>
        <w:jc w:val="both"/>
        <w:rPr>
          <w:rFonts w:asciiTheme="majorHAnsi" w:hAnsiTheme="majorHAnsi" w:cstheme="majorHAnsi"/>
          <w:sz w:val="24"/>
          <w:szCs w:val="24"/>
        </w:rPr>
      </w:pPr>
    </w:p>
    <w:p w14:paraId="34AFB8C3"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 xml:space="preserve">The Self-Help Group (SHG) is a crucial component of the National Rural Livelihoods Mission (NRLM), a flagship program launched by the Government of India to alleviate </w:t>
      </w:r>
      <w:r w:rsidRPr="0091535B">
        <w:rPr>
          <w:rFonts w:asciiTheme="majorHAnsi" w:hAnsiTheme="majorHAnsi" w:cstheme="majorHAnsi"/>
          <w:sz w:val="24"/>
          <w:szCs w:val="24"/>
        </w:rPr>
        <w:lastRenderedPageBreak/>
        <w:t>poverty and promote sustainable rural livelihoods. SHGs are small groups of rural women who come together to save, borrow, and engage in income-generating activities.</w:t>
      </w:r>
    </w:p>
    <w:p w14:paraId="544FD39A" w14:textId="77777777" w:rsidR="00A57019" w:rsidRPr="0091535B" w:rsidRDefault="00A57019" w:rsidP="0091535B">
      <w:pPr>
        <w:spacing w:line="276" w:lineRule="auto"/>
        <w:jc w:val="both"/>
        <w:rPr>
          <w:rFonts w:asciiTheme="majorHAnsi" w:hAnsiTheme="majorHAnsi" w:cstheme="majorHAnsi"/>
          <w:sz w:val="24"/>
          <w:szCs w:val="24"/>
        </w:rPr>
      </w:pPr>
    </w:p>
    <w:p w14:paraId="15758EB8"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Under NRLM, SHGs play a pivotal role in empowering rural communities. Here's a brief overview of how SHGs function within NRLM:</w:t>
      </w:r>
    </w:p>
    <w:p w14:paraId="59F0DF2A" w14:textId="77777777" w:rsidR="00A57019" w:rsidRPr="0091535B" w:rsidRDefault="00A57019" w:rsidP="0091535B">
      <w:pPr>
        <w:spacing w:line="276" w:lineRule="auto"/>
        <w:jc w:val="both"/>
        <w:rPr>
          <w:rFonts w:asciiTheme="majorHAnsi" w:hAnsiTheme="majorHAnsi" w:cstheme="majorHAnsi"/>
          <w:sz w:val="24"/>
          <w:szCs w:val="24"/>
        </w:rPr>
      </w:pPr>
    </w:p>
    <w:p w14:paraId="08AE428D"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1. Formation: NRLM facilitates the formation of SHGs at the grassroots level. Typically, 10-20 women from the same socio-economic background form a group, elect office bearers and establish a savings and credit system.</w:t>
      </w:r>
    </w:p>
    <w:p w14:paraId="203BCB1B" w14:textId="77777777" w:rsidR="00A57019" w:rsidRPr="0091535B" w:rsidRDefault="00A57019" w:rsidP="0091535B">
      <w:pPr>
        <w:spacing w:line="276" w:lineRule="auto"/>
        <w:jc w:val="both"/>
        <w:rPr>
          <w:rFonts w:asciiTheme="majorHAnsi" w:hAnsiTheme="majorHAnsi" w:cstheme="majorHAnsi"/>
          <w:sz w:val="24"/>
          <w:szCs w:val="24"/>
        </w:rPr>
      </w:pPr>
    </w:p>
    <w:p w14:paraId="30EB80E8"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 xml:space="preserve">2. Savings and Credit: SHGs encourage members to save regularly, contributing to a common fund. This collective savings pool is then used to provide </w:t>
      </w:r>
      <w:r w:rsidR="008E318F" w:rsidRPr="0091535B">
        <w:rPr>
          <w:rFonts w:asciiTheme="majorHAnsi" w:hAnsiTheme="majorHAnsi" w:cstheme="majorHAnsi"/>
          <w:sz w:val="24"/>
          <w:szCs w:val="24"/>
        </w:rPr>
        <w:t>micro-loans</w:t>
      </w:r>
      <w:r w:rsidRPr="0091535B">
        <w:rPr>
          <w:rFonts w:asciiTheme="majorHAnsi" w:hAnsiTheme="majorHAnsi" w:cstheme="majorHAnsi"/>
          <w:sz w:val="24"/>
          <w:szCs w:val="24"/>
        </w:rPr>
        <w:t xml:space="preserve"> to members for various income-generating activities or emergencies. NRLM provides financial linkages to banks for SHGs, making it easier for them to access credit.</w:t>
      </w:r>
    </w:p>
    <w:p w14:paraId="55BD23AA" w14:textId="77777777" w:rsidR="00A57019" w:rsidRPr="0091535B" w:rsidRDefault="00A57019" w:rsidP="0091535B">
      <w:pPr>
        <w:spacing w:line="276" w:lineRule="auto"/>
        <w:jc w:val="both"/>
        <w:rPr>
          <w:rFonts w:asciiTheme="majorHAnsi" w:hAnsiTheme="majorHAnsi" w:cstheme="majorHAnsi"/>
          <w:sz w:val="24"/>
          <w:szCs w:val="24"/>
        </w:rPr>
      </w:pPr>
    </w:p>
    <w:p w14:paraId="540E135D"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3. Capacity Building: NRLM emphasizes capacity building through training and skill development. SHG members receive training in various fields, such as financial management, entrepreneurship, and livelihood skills, to enhance their income-generating capabilities.</w:t>
      </w:r>
    </w:p>
    <w:p w14:paraId="3B09B220" w14:textId="77777777" w:rsidR="00A57019" w:rsidRPr="0091535B" w:rsidRDefault="00A57019" w:rsidP="0091535B">
      <w:pPr>
        <w:spacing w:line="276" w:lineRule="auto"/>
        <w:jc w:val="both"/>
        <w:rPr>
          <w:rFonts w:asciiTheme="majorHAnsi" w:hAnsiTheme="majorHAnsi" w:cstheme="majorHAnsi"/>
          <w:sz w:val="24"/>
          <w:szCs w:val="24"/>
        </w:rPr>
      </w:pPr>
    </w:p>
    <w:p w14:paraId="7E033935"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4. Livelihood Promotion: SHGs serve as platforms for implementing livelihood projects. Members collectively decide on income-generating activities like farming, animal husbandry, handicrafts, or small-scale enterprises. NRLM supports these initiatives by providing financial assistance, technical guidance, and market linkages.</w:t>
      </w:r>
    </w:p>
    <w:p w14:paraId="5CB6A050" w14:textId="77777777" w:rsidR="00A57019" w:rsidRPr="0091535B" w:rsidRDefault="00A57019" w:rsidP="0091535B">
      <w:pPr>
        <w:spacing w:line="276" w:lineRule="auto"/>
        <w:jc w:val="both"/>
        <w:rPr>
          <w:rFonts w:asciiTheme="majorHAnsi" w:hAnsiTheme="majorHAnsi" w:cstheme="majorHAnsi"/>
          <w:sz w:val="24"/>
          <w:szCs w:val="24"/>
        </w:rPr>
      </w:pPr>
    </w:p>
    <w:p w14:paraId="6530F2DA"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5. Social Empowerment: Beyond economic development, SHGs promote social empowerment. They address gender-related issues, build awareness about health, education, and sanitation, and encourage women's participation in decision-making processes at the community level.</w:t>
      </w:r>
    </w:p>
    <w:p w14:paraId="21E19493" w14:textId="77777777" w:rsidR="00A57019" w:rsidRPr="0091535B" w:rsidRDefault="00A57019" w:rsidP="0091535B">
      <w:pPr>
        <w:spacing w:line="276" w:lineRule="auto"/>
        <w:jc w:val="both"/>
        <w:rPr>
          <w:rFonts w:asciiTheme="majorHAnsi" w:hAnsiTheme="majorHAnsi" w:cstheme="majorHAnsi"/>
          <w:sz w:val="24"/>
          <w:szCs w:val="24"/>
        </w:rPr>
      </w:pPr>
    </w:p>
    <w:p w14:paraId="660D9D26"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6. Federations: SHGs are often federated into higher-level institutions, such as Village Organizations (VOs) and Cluster Level Federations (CLFs). These federations help SHGs access resources, scale up their activities, and advocate for their rights collectively.</w:t>
      </w:r>
    </w:p>
    <w:p w14:paraId="33529B2A" w14:textId="77777777" w:rsidR="00A57019" w:rsidRPr="0091535B" w:rsidRDefault="00A57019" w:rsidP="0091535B">
      <w:pPr>
        <w:spacing w:line="276" w:lineRule="auto"/>
        <w:jc w:val="both"/>
        <w:rPr>
          <w:rFonts w:asciiTheme="majorHAnsi" w:hAnsiTheme="majorHAnsi" w:cstheme="majorHAnsi"/>
          <w:sz w:val="24"/>
          <w:szCs w:val="24"/>
        </w:rPr>
      </w:pPr>
    </w:p>
    <w:p w14:paraId="0317645E"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7. Monitoring and Evaluation: NRLM implements a robust monitoring and evaluation framework to assess the impact of SHG activities and ensure transparency and accountability in program implementation.</w:t>
      </w:r>
    </w:p>
    <w:p w14:paraId="33720FEA" w14:textId="77777777" w:rsidR="00A57019" w:rsidRPr="0091535B" w:rsidRDefault="00A57019" w:rsidP="0091535B">
      <w:pPr>
        <w:spacing w:line="276" w:lineRule="auto"/>
        <w:jc w:val="both"/>
        <w:rPr>
          <w:rFonts w:asciiTheme="majorHAnsi" w:hAnsiTheme="majorHAnsi" w:cstheme="majorHAnsi"/>
          <w:sz w:val="24"/>
          <w:szCs w:val="24"/>
        </w:rPr>
      </w:pPr>
    </w:p>
    <w:p w14:paraId="39D94C77" w14:textId="77777777" w:rsidR="00697858"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In summary, SHGs operating under NRLM serve as grassroots institutions that empower rural women economically and socially. They provide access to financial resources, skills, and opportunities for income generation, thereby contributing to poverty reduction and inclusive development in rural India. These groups have been instrumental in improving the lives of countless women and their families across the country.</w:t>
      </w:r>
    </w:p>
    <w:p w14:paraId="60575482" w14:textId="77777777" w:rsidR="00A57019" w:rsidRPr="0091535B" w:rsidRDefault="00A57019" w:rsidP="0091535B">
      <w:pPr>
        <w:spacing w:line="276" w:lineRule="auto"/>
        <w:jc w:val="both"/>
        <w:rPr>
          <w:rFonts w:asciiTheme="majorHAnsi" w:hAnsiTheme="majorHAnsi" w:cstheme="majorHAnsi"/>
          <w:sz w:val="24"/>
          <w:szCs w:val="24"/>
        </w:rPr>
      </w:pPr>
    </w:p>
    <w:p w14:paraId="1151F2EB" w14:textId="77777777" w:rsidR="00A57019" w:rsidRPr="0091535B" w:rsidRDefault="00A57019" w:rsidP="0091535B">
      <w:pPr>
        <w:spacing w:line="276" w:lineRule="auto"/>
        <w:jc w:val="both"/>
        <w:rPr>
          <w:rFonts w:asciiTheme="majorHAnsi" w:hAnsiTheme="majorHAnsi" w:cstheme="majorHAnsi"/>
          <w:b/>
          <w:bCs/>
          <w:sz w:val="24"/>
          <w:szCs w:val="24"/>
        </w:rPr>
      </w:pPr>
      <w:r w:rsidRPr="0091535B">
        <w:rPr>
          <w:rFonts w:asciiTheme="majorHAnsi" w:hAnsiTheme="majorHAnsi" w:cstheme="majorHAnsi"/>
          <w:b/>
          <w:bCs/>
          <w:sz w:val="24"/>
          <w:szCs w:val="24"/>
        </w:rPr>
        <w:t>NRLM Intensive</w:t>
      </w:r>
    </w:p>
    <w:p w14:paraId="0FE0E63C" w14:textId="77777777" w:rsidR="00A57019" w:rsidRPr="0091535B" w:rsidRDefault="00A57019" w:rsidP="0091535B">
      <w:pPr>
        <w:spacing w:line="276" w:lineRule="auto"/>
        <w:jc w:val="both"/>
        <w:rPr>
          <w:rFonts w:asciiTheme="majorHAnsi" w:hAnsiTheme="majorHAnsi" w:cstheme="majorHAnsi"/>
          <w:sz w:val="24"/>
          <w:szCs w:val="24"/>
        </w:rPr>
      </w:pPr>
    </w:p>
    <w:p w14:paraId="41ED3C80"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The National Rural Livelihoods Mission (NRLM) Intensive is an enhanced and targeted approach within the broader NRLM framework, specifically designed to uplift the poorest of the poor in rural India. NRLM Intensive focuses on addressing extreme poverty and vulnerability by prioritizing marginalized communities, including Scheduled Castes (SCs), Scheduled Tribes (STs), and particularly vulnerable individuals.</w:t>
      </w:r>
    </w:p>
    <w:p w14:paraId="4536D6E3" w14:textId="77777777" w:rsidR="00A57019" w:rsidRPr="0091535B" w:rsidRDefault="00A57019" w:rsidP="0091535B">
      <w:pPr>
        <w:spacing w:line="276" w:lineRule="auto"/>
        <w:jc w:val="both"/>
        <w:rPr>
          <w:rFonts w:asciiTheme="majorHAnsi" w:hAnsiTheme="majorHAnsi" w:cstheme="majorHAnsi"/>
          <w:sz w:val="24"/>
          <w:szCs w:val="24"/>
        </w:rPr>
      </w:pPr>
    </w:p>
    <w:p w14:paraId="63DE9AE1"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Key features of NRLM Intensive include:</w:t>
      </w:r>
    </w:p>
    <w:p w14:paraId="6DE89076" w14:textId="77777777" w:rsidR="00A57019" w:rsidRPr="0091535B" w:rsidRDefault="00A57019" w:rsidP="0091535B">
      <w:pPr>
        <w:spacing w:line="276" w:lineRule="auto"/>
        <w:jc w:val="both"/>
        <w:rPr>
          <w:rFonts w:asciiTheme="majorHAnsi" w:hAnsiTheme="majorHAnsi" w:cstheme="majorHAnsi"/>
          <w:sz w:val="24"/>
          <w:szCs w:val="24"/>
        </w:rPr>
      </w:pPr>
    </w:p>
    <w:p w14:paraId="0DFB0032"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1. Targeted Approach: NRLM Intensive identifies and focuses on the most vulnerable and impoverished households in rural areas. It aims to provide them with targeted support to help them escape the cycle of poverty.</w:t>
      </w:r>
    </w:p>
    <w:p w14:paraId="7143456B" w14:textId="77777777" w:rsidR="00A57019" w:rsidRPr="0091535B" w:rsidRDefault="00A57019" w:rsidP="0091535B">
      <w:pPr>
        <w:spacing w:line="276" w:lineRule="auto"/>
        <w:jc w:val="both"/>
        <w:rPr>
          <w:rFonts w:asciiTheme="majorHAnsi" w:hAnsiTheme="majorHAnsi" w:cstheme="majorHAnsi"/>
          <w:sz w:val="24"/>
          <w:szCs w:val="24"/>
        </w:rPr>
      </w:pPr>
    </w:p>
    <w:p w14:paraId="3CCB101C"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2. Financial Inclusion: It emphasizes financial inclusion by ensuring that the poorest households have access to credit, savings facilities, and insurance products. This enables them to invest in income-generating activities and cope with emergencies.</w:t>
      </w:r>
    </w:p>
    <w:p w14:paraId="5535CDEC" w14:textId="77777777" w:rsidR="00A57019" w:rsidRPr="0091535B" w:rsidRDefault="00A57019" w:rsidP="0091535B">
      <w:pPr>
        <w:spacing w:line="276" w:lineRule="auto"/>
        <w:jc w:val="both"/>
        <w:rPr>
          <w:rFonts w:asciiTheme="majorHAnsi" w:hAnsiTheme="majorHAnsi" w:cstheme="majorHAnsi"/>
          <w:sz w:val="24"/>
          <w:szCs w:val="24"/>
        </w:rPr>
      </w:pPr>
    </w:p>
    <w:p w14:paraId="0C29C914"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3. Skill Development: NRLM Intensive places a strong emphasis on skill development and capacity building to enhance the employability of marginalized individuals. It helps them acquire the skills needed for various livelihood options.</w:t>
      </w:r>
    </w:p>
    <w:p w14:paraId="3A13BEC9" w14:textId="77777777" w:rsidR="00A57019" w:rsidRPr="0091535B" w:rsidRDefault="00A57019" w:rsidP="0091535B">
      <w:pPr>
        <w:spacing w:line="276" w:lineRule="auto"/>
        <w:jc w:val="both"/>
        <w:rPr>
          <w:rFonts w:asciiTheme="majorHAnsi" w:hAnsiTheme="majorHAnsi" w:cstheme="majorHAnsi"/>
          <w:sz w:val="24"/>
          <w:szCs w:val="24"/>
        </w:rPr>
      </w:pPr>
    </w:p>
    <w:p w14:paraId="228AF98A"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4. Livelihood Diversification: The program promotes livelihood diversification by introducing beneficiaries to a range of income-generating activities, such as agriculture, animal husbandry, non-farm enterprises, and handicrafts.</w:t>
      </w:r>
    </w:p>
    <w:p w14:paraId="4893F8C7" w14:textId="77777777" w:rsidR="00A57019" w:rsidRPr="0091535B" w:rsidRDefault="00A57019" w:rsidP="0091535B">
      <w:pPr>
        <w:spacing w:line="276" w:lineRule="auto"/>
        <w:jc w:val="both"/>
        <w:rPr>
          <w:rFonts w:asciiTheme="majorHAnsi" w:hAnsiTheme="majorHAnsi" w:cstheme="majorHAnsi"/>
          <w:sz w:val="24"/>
          <w:szCs w:val="24"/>
        </w:rPr>
      </w:pPr>
    </w:p>
    <w:p w14:paraId="6FBBB55E"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5. Social Mobilization: Like the broader NRLM, NRLM Intensive also encourages social mobilization and the formation of Self-Help Groups (SHGs) and federations. These groups provide a support system for the poorest households and promote collective action.</w:t>
      </w:r>
    </w:p>
    <w:p w14:paraId="0F29D781" w14:textId="77777777" w:rsidR="00A57019" w:rsidRPr="0091535B" w:rsidRDefault="00A57019" w:rsidP="0091535B">
      <w:pPr>
        <w:spacing w:line="276" w:lineRule="auto"/>
        <w:jc w:val="both"/>
        <w:rPr>
          <w:rFonts w:asciiTheme="majorHAnsi" w:hAnsiTheme="majorHAnsi" w:cstheme="majorHAnsi"/>
          <w:sz w:val="24"/>
          <w:szCs w:val="24"/>
        </w:rPr>
      </w:pPr>
    </w:p>
    <w:p w14:paraId="533D292F"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 xml:space="preserve">6. Monitoring and Evaluation: A robust monitoring and evaluation system is in place to track the progress and impact of </w:t>
      </w:r>
      <w:r w:rsidR="00D12054" w:rsidRPr="0091535B">
        <w:rPr>
          <w:rFonts w:asciiTheme="majorHAnsi" w:hAnsiTheme="majorHAnsi" w:cstheme="majorHAnsi"/>
          <w:sz w:val="24"/>
          <w:szCs w:val="24"/>
        </w:rPr>
        <w:t>NRLM-intensive</w:t>
      </w:r>
      <w:r w:rsidRPr="0091535B">
        <w:rPr>
          <w:rFonts w:asciiTheme="majorHAnsi" w:hAnsiTheme="majorHAnsi" w:cstheme="majorHAnsi"/>
          <w:sz w:val="24"/>
          <w:szCs w:val="24"/>
        </w:rPr>
        <w:t xml:space="preserve"> interventions, ensuring that they reach the intended beneficiaries effectively.</w:t>
      </w:r>
    </w:p>
    <w:p w14:paraId="6C61C830" w14:textId="77777777" w:rsidR="00A57019" w:rsidRPr="0091535B" w:rsidRDefault="00A57019" w:rsidP="0091535B">
      <w:pPr>
        <w:spacing w:line="276" w:lineRule="auto"/>
        <w:jc w:val="both"/>
        <w:rPr>
          <w:rFonts w:asciiTheme="majorHAnsi" w:hAnsiTheme="majorHAnsi" w:cstheme="majorHAnsi"/>
          <w:sz w:val="24"/>
          <w:szCs w:val="24"/>
        </w:rPr>
      </w:pPr>
    </w:p>
    <w:p w14:paraId="7E49CAA7" w14:textId="77777777" w:rsidR="00A57019" w:rsidRPr="0091535B" w:rsidRDefault="00A57019"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NRLM Intensive is a targeted initiative aimed at lifting the most vulnerable out of extreme poverty by providing them with the necessary resources, skills, and support to improve their livelihoods and overall quality of life.</w:t>
      </w:r>
    </w:p>
    <w:p w14:paraId="6FF05430" w14:textId="77777777" w:rsidR="00DC0518" w:rsidRPr="0091535B" w:rsidRDefault="00DC0518" w:rsidP="0091535B">
      <w:pPr>
        <w:spacing w:line="276" w:lineRule="auto"/>
        <w:jc w:val="both"/>
        <w:rPr>
          <w:rFonts w:asciiTheme="majorHAnsi" w:hAnsiTheme="majorHAnsi" w:cstheme="majorHAnsi"/>
          <w:sz w:val="24"/>
          <w:szCs w:val="24"/>
        </w:rPr>
      </w:pPr>
    </w:p>
    <w:p w14:paraId="71DAA873" w14:textId="77777777" w:rsidR="00DC0518" w:rsidRPr="0091535B" w:rsidRDefault="003C756E" w:rsidP="0091535B">
      <w:pPr>
        <w:spacing w:line="276" w:lineRule="auto"/>
        <w:jc w:val="both"/>
        <w:rPr>
          <w:rFonts w:asciiTheme="majorHAnsi" w:hAnsiTheme="majorHAnsi" w:cstheme="majorHAnsi"/>
          <w:b/>
          <w:bCs/>
          <w:sz w:val="24"/>
          <w:szCs w:val="24"/>
        </w:rPr>
      </w:pPr>
      <w:r w:rsidRPr="0091535B">
        <w:rPr>
          <w:rFonts w:asciiTheme="majorHAnsi" w:hAnsiTheme="majorHAnsi" w:cstheme="majorHAnsi"/>
          <w:b/>
          <w:bCs/>
          <w:sz w:val="24"/>
          <w:szCs w:val="24"/>
        </w:rPr>
        <w:t>Raigarh District</w:t>
      </w:r>
    </w:p>
    <w:p w14:paraId="6C7D3D15" w14:textId="77777777" w:rsidR="003C756E" w:rsidRPr="0091535B" w:rsidRDefault="003C756E" w:rsidP="0091535B">
      <w:pPr>
        <w:spacing w:line="276" w:lineRule="auto"/>
        <w:jc w:val="both"/>
        <w:rPr>
          <w:rFonts w:asciiTheme="majorHAnsi" w:hAnsiTheme="majorHAnsi" w:cstheme="majorHAnsi"/>
          <w:sz w:val="24"/>
          <w:szCs w:val="24"/>
        </w:rPr>
      </w:pPr>
    </w:p>
    <w:p w14:paraId="1B9D51D5" w14:textId="77777777" w:rsidR="003C756E" w:rsidRPr="0091535B" w:rsidRDefault="005E4AD7"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 xml:space="preserve">Raigarh district is a well-known district in Chhattisgarh, India, with rich mineral deposits like coal and iron ore. It comprises six blocks: Raigarh, </w:t>
      </w:r>
      <w:proofErr w:type="spellStart"/>
      <w:r w:rsidRPr="0091535B">
        <w:rPr>
          <w:rFonts w:asciiTheme="majorHAnsi" w:hAnsiTheme="majorHAnsi" w:cstheme="majorHAnsi"/>
          <w:sz w:val="24"/>
          <w:szCs w:val="24"/>
        </w:rPr>
        <w:t>Sarangarh</w:t>
      </w:r>
      <w:proofErr w:type="spellEnd"/>
      <w:r w:rsidRPr="0091535B">
        <w:rPr>
          <w:rFonts w:asciiTheme="majorHAnsi" w:hAnsiTheme="majorHAnsi" w:cstheme="majorHAnsi"/>
          <w:sz w:val="24"/>
          <w:szCs w:val="24"/>
        </w:rPr>
        <w:t xml:space="preserve">, </w:t>
      </w:r>
      <w:proofErr w:type="spellStart"/>
      <w:r w:rsidRPr="0091535B">
        <w:rPr>
          <w:rFonts w:asciiTheme="majorHAnsi" w:hAnsiTheme="majorHAnsi" w:cstheme="majorHAnsi"/>
          <w:sz w:val="24"/>
          <w:szCs w:val="24"/>
        </w:rPr>
        <w:t>Kharsia</w:t>
      </w:r>
      <w:proofErr w:type="spellEnd"/>
      <w:r w:rsidRPr="0091535B">
        <w:rPr>
          <w:rFonts w:asciiTheme="majorHAnsi" w:hAnsiTheme="majorHAnsi" w:cstheme="majorHAnsi"/>
          <w:sz w:val="24"/>
          <w:szCs w:val="24"/>
        </w:rPr>
        <w:t xml:space="preserve">, </w:t>
      </w:r>
      <w:proofErr w:type="spellStart"/>
      <w:r w:rsidRPr="0091535B">
        <w:rPr>
          <w:rFonts w:asciiTheme="majorHAnsi" w:hAnsiTheme="majorHAnsi" w:cstheme="majorHAnsi"/>
          <w:sz w:val="24"/>
          <w:szCs w:val="24"/>
        </w:rPr>
        <w:t>Pussore</w:t>
      </w:r>
      <w:proofErr w:type="spellEnd"/>
      <w:r w:rsidRPr="0091535B">
        <w:rPr>
          <w:rFonts w:asciiTheme="majorHAnsi" w:hAnsiTheme="majorHAnsi" w:cstheme="majorHAnsi"/>
          <w:sz w:val="24"/>
          <w:szCs w:val="24"/>
        </w:rPr>
        <w:t xml:space="preserve">, </w:t>
      </w:r>
      <w:proofErr w:type="spellStart"/>
      <w:r w:rsidRPr="0091535B">
        <w:rPr>
          <w:rFonts w:asciiTheme="majorHAnsi" w:hAnsiTheme="majorHAnsi" w:cstheme="majorHAnsi"/>
          <w:sz w:val="24"/>
          <w:szCs w:val="24"/>
        </w:rPr>
        <w:t>Baramkela</w:t>
      </w:r>
      <w:proofErr w:type="spellEnd"/>
      <w:r w:rsidRPr="0091535B">
        <w:rPr>
          <w:rFonts w:asciiTheme="majorHAnsi" w:hAnsiTheme="majorHAnsi" w:cstheme="majorHAnsi"/>
          <w:sz w:val="24"/>
          <w:szCs w:val="24"/>
        </w:rPr>
        <w:t xml:space="preserve">, and </w:t>
      </w:r>
      <w:proofErr w:type="spellStart"/>
      <w:r w:rsidRPr="0091535B">
        <w:rPr>
          <w:rFonts w:asciiTheme="majorHAnsi" w:hAnsiTheme="majorHAnsi" w:cstheme="majorHAnsi"/>
          <w:sz w:val="24"/>
          <w:szCs w:val="24"/>
        </w:rPr>
        <w:t>Dharamjaigarh</w:t>
      </w:r>
      <w:proofErr w:type="spellEnd"/>
      <w:r w:rsidRPr="0091535B">
        <w:rPr>
          <w:rFonts w:asciiTheme="majorHAnsi" w:hAnsiTheme="majorHAnsi" w:cstheme="majorHAnsi"/>
          <w:sz w:val="24"/>
          <w:szCs w:val="24"/>
        </w:rPr>
        <w:t xml:space="preserve">. The district headquarters, Raigarh town, is a rapidly developing industrial hub with several large-scale industries contributing to its growth. One of the most notable industries in the town is Jindal Steel and Power Limited. Apart from the industrial </w:t>
      </w:r>
      <w:r w:rsidRPr="0091535B">
        <w:rPr>
          <w:rFonts w:asciiTheme="majorHAnsi" w:hAnsiTheme="majorHAnsi" w:cstheme="majorHAnsi"/>
          <w:sz w:val="24"/>
          <w:szCs w:val="24"/>
        </w:rPr>
        <w:lastRenderedPageBreak/>
        <w:t xml:space="preserve">development, </w:t>
      </w:r>
      <w:r w:rsidR="00517C13" w:rsidRPr="0091535B">
        <w:rPr>
          <w:rFonts w:asciiTheme="majorHAnsi" w:hAnsiTheme="majorHAnsi" w:cstheme="majorHAnsi"/>
          <w:sz w:val="24"/>
          <w:szCs w:val="24"/>
        </w:rPr>
        <w:t xml:space="preserve">the </w:t>
      </w:r>
      <w:r w:rsidRPr="0091535B">
        <w:rPr>
          <w:rFonts w:asciiTheme="majorHAnsi" w:hAnsiTheme="majorHAnsi" w:cstheme="majorHAnsi"/>
          <w:sz w:val="24"/>
          <w:szCs w:val="24"/>
        </w:rPr>
        <w:t>Raigarh district is also famous for its traditional handicrafts, such as terracotta pottery and bamboo products. The district has a perfect blend of natural beauty, industrial development, and cultural heritage.</w:t>
      </w:r>
    </w:p>
    <w:p w14:paraId="7D590DF3" w14:textId="77777777" w:rsidR="00517C13" w:rsidRPr="0091535B" w:rsidRDefault="00517C13" w:rsidP="0091535B">
      <w:pPr>
        <w:spacing w:line="276" w:lineRule="auto"/>
        <w:jc w:val="both"/>
        <w:rPr>
          <w:rFonts w:asciiTheme="majorHAnsi" w:hAnsiTheme="majorHAnsi" w:cstheme="majorHAnsi"/>
          <w:sz w:val="24"/>
          <w:szCs w:val="24"/>
        </w:rPr>
      </w:pPr>
    </w:p>
    <w:p w14:paraId="5C791E9C" w14:textId="77777777" w:rsidR="00517C13" w:rsidRPr="0091535B" w:rsidRDefault="009F1894" w:rsidP="0091535B">
      <w:pPr>
        <w:spacing w:line="276" w:lineRule="auto"/>
        <w:jc w:val="both"/>
        <w:rPr>
          <w:rFonts w:asciiTheme="majorHAnsi" w:hAnsiTheme="majorHAnsi" w:cstheme="majorHAnsi"/>
          <w:b/>
          <w:bCs/>
          <w:sz w:val="24"/>
          <w:szCs w:val="24"/>
        </w:rPr>
      </w:pPr>
      <w:r w:rsidRPr="0091535B">
        <w:rPr>
          <w:rFonts w:asciiTheme="majorHAnsi" w:hAnsiTheme="majorHAnsi" w:cstheme="majorHAnsi"/>
          <w:b/>
          <w:bCs/>
          <w:sz w:val="24"/>
          <w:szCs w:val="24"/>
        </w:rPr>
        <w:t>Literature Review</w:t>
      </w:r>
    </w:p>
    <w:p w14:paraId="2D981FEA" w14:textId="77777777" w:rsidR="009F1894" w:rsidRPr="0091535B" w:rsidRDefault="009F1894" w:rsidP="0091535B">
      <w:pPr>
        <w:spacing w:line="276" w:lineRule="auto"/>
        <w:jc w:val="both"/>
        <w:rPr>
          <w:rFonts w:asciiTheme="majorHAnsi" w:hAnsiTheme="majorHAnsi" w:cstheme="majorHAnsi"/>
          <w:b/>
          <w:bCs/>
          <w:sz w:val="24"/>
          <w:szCs w:val="24"/>
        </w:rPr>
      </w:pPr>
    </w:p>
    <w:p w14:paraId="400D144C" w14:textId="77777777" w:rsidR="009F1894" w:rsidRPr="0091535B" w:rsidRDefault="00000000" w:rsidP="0091535B">
      <w:pPr>
        <w:spacing w:line="276" w:lineRule="auto"/>
        <w:jc w:val="both"/>
        <w:rPr>
          <w:rFonts w:asciiTheme="majorHAnsi" w:hAnsiTheme="majorHAnsi" w:cstheme="majorHAnsi"/>
          <w:sz w:val="24"/>
          <w:szCs w:val="24"/>
        </w:rPr>
      </w:pPr>
      <w:sdt>
        <w:sdtPr>
          <w:rPr>
            <w:rFonts w:asciiTheme="majorHAnsi" w:hAnsiTheme="majorHAnsi" w:cstheme="majorHAnsi"/>
            <w:sz w:val="24"/>
            <w:szCs w:val="24"/>
          </w:rPr>
          <w:id w:val="1428389483"/>
          <w:citation/>
        </w:sdtPr>
        <w:sdtContent>
          <w:r w:rsidR="00FF2E7A" w:rsidRPr="0091535B">
            <w:rPr>
              <w:rFonts w:asciiTheme="majorHAnsi" w:hAnsiTheme="majorHAnsi" w:cstheme="majorHAnsi"/>
              <w:sz w:val="24"/>
              <w:szCs w:val="24"/>
            </w:rPr>
            <w:fldChar w:fldCharType="begin"/>
          </w:r>
          <w:r w:rsidR="00FF2E7A" w:rsidRPr="0091535B">
            <w:rPr>
              <w:rFonts w:asciiTheme="majorHAnsi" w:hAnsiTheme="majorHAnsi" w:cstheme="majorHAnsi"/>
              <w:sz w:val="24"/>
              <w:szCs w:val="24"/>
              <w:lang w:val="en-IN"/>
            </w:rPr>
            <w:instrText xml:space="preserve"> CITATION Das21 \l 16393 </w:instrText>
          </w:r>
          <w:r w:rsidR="00FF2E7A" w:rsidRPr="0091535B">
            <w:rPr>
              <w:rFonts w:asciiTheme="majorHAnsi" w:hAnsiTheme="majorHAnsi" w:cstheme="majorHAnsi"/>
              <w:sz w:val="24"/>
              <w:szCs w:val="24"/>
            </w:rPr>
            <w:fldChar w:fldCharType="separate"/>
          </w:r>
          <w:r w:rsidR="00FF2E7A" w:rsidRPr="0091535B">
            <w:rPr>
              <w:rFonts w:asciiTheme="majorHAnsi" w:hAnsiTheme="majorHAnsi" w:cstheme="majorHAnsi"/>
              <w:noProof/>
              <w:sz w:val="24"/>
              <w:szCs w:val="24"/>
              <w:lang w:val="en-IN"/>
            </w:rPr>
            <w:t>(DasGupta, 2021)</w:t>
          </w:r>
          <w:r w:rsidR="00FF2E7A" w:rsidRPr="0091535B">
            <w:rPr>
              <w:rFonts w:asciiTheme="majorHAnsi" w:hAnsiTheme="majorHAnsi" w:cstheme="majorHAnsi"/>
              <w:sz w:val="24"/>
              <w:szCs w:val="24"/>
            </w:rPr>
            <w:fldChar w:fldCharType="end"/>
          </w:r>
        </w:sdtContent>
      </w:sdt>
      <w:r w:rsidR="00E8714A" w:rsidRPr="0091535B">
        <w:rPr>
          <w:rFonts w:asciiTheme="majorHAnsi" w:hAnsiTheme="majorHAnsi" w:cstheme="majorHAnsi"/>
          <w:sz w:val="24"/>
          <w:szCs w:val="24"/>
        </w:rPr>
        <w:t xml:space="preserve">, </w:t>
      </w:r>
      <w:r w:rsidR="009F1894" w:rsidRPr="0091535B">
        <w:rPr>
          <w:rFonts w:asciiTheme="majorHAnsi" w:hAnsiTheme="majorHAnsi" w:cstheme="majorHAnsi"/>
          <w:sz w:val="24"/>
          <w:szCs w:val="24"/>
        </w:rPr>
        <w:t>Inequality and deprivation are deeply ingrained in human society, particularly affecting vulnerable indigenous groups like tribes. The COVID-19 pandemic has exacerbated the vulnerability of these marginalized communities, revealing their heightened susceptibility due to existing health disparities, malnutrition, and livelihood dependency on sectors like forestry and tourism. Transport restrictions, social distancing requirements, and financial-educational limitations have further impeded their ability to sustain livelihoods.</w:t>
      </w:r>
    </w:p>
    <w:p w14:paraId="50D07B9A" w14:textId="77777777" w:rsidR="009F1894" w:rsidRPr="0091535B" w:rsidRDefault="009F1894"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Addressing this critical issue, the Deendayal Antyodaya Yojana-National Rural Livelihood Mission (DAY-NRLM) has taken specific measures to unite scattered vulnerable communities through Self-Help Groups (SHGs), providing vital livelihood security, protection, and promotional support. DAY-NRLM has inclusively recognized and tailored promotional policies for indigenous peoples, including tribes, addressing financial, marketing, and skill development needs in response to the evolving situation during the pandemic (April–November 2020). However, despite these efforts, tribal participation in SHGs has declined significantly in various Indian states post-COVID-19.</w:t>
      </w:r>
    </w:p>
    <w:p w14:paraId="6922B489" w14:textId="77777777" w:rsidR="009F1894" w:rsidRPr="0091535B" w:rsidRDefault="009F1894"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To enhance tribal engagement in SHGs, it is imperative to amplify community involvement, conduct widespread awareness campaigns, and tailor support to their unique cultural and economic contexts. Continuous efforts are needed to bolster the resilience of indigenous communities, improve healthcare accessibility, alleviate malnutrition, and diversify livelihoods. Accurate data collection on tribal participation and COVID-19 impacts is fundamental for informed policy adjustments.</w:t>
      </w:r>
    </w:p>
    <w:p w14:paraId="7374D3B1" w14:textId="77777777" w:rsidR="00294ED6" w:rsidRPr="0091535B" w:rsidRDefault="00294ED6" w:rsidP="0091535B">
      <w:pPr>
        <w:spacing w:line="276" w:lineRule="auto"/>
        <w:jc w:val="both"/>
        <w:rPr>
          <w:rFonts w:asciiTheme="majorHAnsi" w:hAnsiTheme="majorHAnsi" w:cstheme="majorHAnsi"/>
          <w:sz w:val="24"/>
          <w:szCs w:val="24"/>
        </w:rPr>
      </w:pPr>
    </w:p>
    <w:p w14:paraId="63EA2B07" w14:textId="77777777" w:rsidR="00363E70" w:rsidRPr="0091535B" w:rsidRDefault="00000000" w:rsidP="0091535B">
      <w:pPr>
        <w:spacing w:line="276" w:lineRule="auto"/>
        <w:jc w:val="both"/>
        <w:rPr>
          <w:rFonts w:asciiTheme="majorHAnsi" w:hAnsiTheme="majorHAnsi" w:cstheme="majorHAnsi"/>
          <w:sz w:val="24"/>
          <w:szCs w:val="24"/>
        </w:rPr>
      </w:pPr>
      <w:sdt>
        <w:sdtPr>
          <w:rPr>
            <w:rFonts w:asciiTheme="majorHAnsi" w:hAnsiTheme="majorHAnsi" w:cstheme="majorHAnsi"/>
            <w:sz w:val="24"/>
            <w:szCs w:val="24"/>
          </w:rPr>
          <w:id w:val="571476219"/>
          <w:citation/>
        </w:sdtPr>
        <w:sdtContent>
          <w:r w:rsidR="00363E70" w:rsidRPr="0091535B">
            <w:rPr>
              <w:rFonts w:asciiTheme="majorHAnsi" w:hAnsiTheme="majorHAnsi" w:cstheme="majorHAnsi"/>
              <w:sz w:val="24"/>
              <w:szCs w:val="24"/>
            </w:rPr>
            <w:fldChar w:fldCharType="begin"/>
          </w:r>
          <w:r w:rsidR="00363E70" w:rsidRPr="0091535B">
            <w:rPr>
              <w:rFonts w:asciiTheme="majorHAnsi" w:hAnsiTheme="majorHAnsi" w:cstheme="majorHAnsi"/>
              <w:sz w:val="24"/>
              <w:szCs w:val="24"/>
              <w:lang w:val="en-IN"/>
            </w:rPr>
            <w:instrText xml:space="preserve"> CITATION Jam19 \l 16393 </w:instrText>
          </w:r>
          <w:r w:rsidR="00363E70" w:rsidRPr="0091535B">
            <w:rPr>
              <w:rFonts w:asciiTheme="majorHAnsi" w:hAnsiTheme="majorHAnsi" w:cstheme="majorHAnsi"/>
              <w:sz w:val="24"/>
              <w:szCs w:val="24"/>
            </w:rPr>
            <w:fldChar w:fldCharType="separate"/>
          </w:r>
          <w:r w:rsidR="00363E70" w:rsidRPr="0091535B">
            <w:rPr>
              <w:rFonts w:asciiTheme="majorHAnsi" w:hAnsiTheme="majorHAnsi" w:cstheme="majorHAnsi"/>
              <w:noProof/>
              <w:sz w:val="24"/>
              <w:szCs w:val="24"/>
              <w:lang w:val="en-IN"/>
            </w:rPr>
            <w:t>(Jamaldeen, Chatterjee, &amp; Alphonsa, 2019)</w:t>
          </w:r>
          <w:r w:rsidR="00363E70" w:rsidRPr="0091535B">
            <w:rPr>
              <w:rFonts w:asciiTheme="majorHAnsi" w:hAnsiTheme="majorHAnsi" w:cstheme="majorHAnsi"/>
              <w:sz w:val="24"/>
              <w:szCs w:val="24"/>
            </w:rPr>
            <w:fldChar w:fldCharType="end"/>
          </w:r>
        </w:sdtContent>
      </w:sdt>
      <w:r w:rsidR="00A67F67" w:rsidRPr="0091535B">
        <w:rPr>
          <w:rFonts w:asciiTheme="majorHAnsi" w:hAnsiTheme="majorHAnsi" w:cstheme="majorHAnsi"/>
          <w:sz w:val="24"/>
          <w:szCs w:val="24"/>
        </w:rPr>
        <w:t xml:space="preserve">, </w:t>
      </w:r>
      <w:r w:rsidR="00363E70" w:rsidRPr="0091535B">
        <w:rPr>
          <w:rFonts w:asciiTheme="majorHAnsi" w:hAnsiTheme="majorHAnsi" w:cstheme="majorHAnsi"/>
          <w:sz w:val="24"/>
          <w:szCs w:val="24"/>
        </w:rPr>
        <w:t>As highlighted in the 2013 UNDP Report, active participation in shaping one's life and influencing policies is essential for sustainable human development. Particularly, fostering economic opportunities and political engagement, especially among the youth, is crucial for fostering a sustainable and desirable national human development trajectory.</w:t>
      </w:r>
    </w:p>
    <w:p w14:paraId="2981A3F4" w14:textId="2A669F6D" w:rsidR="00363E70" w:rsidRPr="0091535B" w:rsidRDefault="00363E70"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 xml:space="preserve">Research in rural India, conducted by one or more of the authors, has underlined the positive impact of education, even at a basic level, on forming Self-Help Groups (SHGs) and cooperative societies. These </w:t>
      </w:r>
      <w:r w:rsidR="000F6BE0" w:rsidRPr="0091535B">
        <w:rPr>
          <w:rFonts w:asciiTheme="majorHAnsi" w:hAnsiTheme="majorHAnsi" w:cstheme="majorHAnsi"/>
          <w:sz w:val="24"/>
          <w:szCs w:val="24"/>
        </w:rPr>
        <w:t>endeavors</w:t>
      </w:r>
      <w:r w:rsidRPr="0091535B">
        <w:rPr>
          <w:rFonts w:asciiTheme="majorHAnsi" w:hAnsiTheme="majorHAnsi" w:cstheme="majorHAnsi"/>
          <w:sz w:val="24"/>
          <w:szCs w:val="24"/>
        </w:rPr>
        <w:t xml:space="preserve"> have led to a significant shift from wage employment to self-employment, enhancing the economic circumstances of women members. SHGs provide an environment where women can engage in income-generating activities from the comfort of their homes, showcasing an improvement in their economic status.</w:t>
      </w:r>
    </w:p>
    <w:p w14:paraId="6D7B9D82" w14:textId="77777777" w:rsidR="00363E70" w:rsidRPr="0091535B" w:rsidRDefault="00363E70" w:rsidP="0091535B">
      <w:pPr>
        <w:spacing w:line="276" w:lineRule="auto"/>
        <w:jc w:val="both"/>
        <w:rPr>
          <w:rFonts w:asciiTheme="majorHAnsi" w:hAnsiTheme="majorHAnsi" w:cstheme="majorHAnsi"/>
          <w:sz w:val="24"/>
          <w:szCs w:val="24"/>
        </w:rPr>
      </w:pPr>
      <w:r w:rsidRPr="0091535B">
        <w:rPr>
          <w:rFonts w:asciiTheme="majorHAnsi" w:hAnsiTheme="majorHAnsi" w:cstheme="majorHAnsi"/>
          <w:sz w:val="24"/>
          <w:szCs w:val="24"/>
        </w:rPr>
        <w:t>In this research article, rooted in field studies and employing a combination of primary and secondary data, the researchers present findings on the efficacy of micro-credit plans extended to women members of SHGs. The study underscores how these loans, tailored to individual needs, have enabled sustainable income generation, contributing to livelihood sustenance and overall socio-economic advancement.</w:t>
      </w:r>
    </w:p>
    <w:p w14:paraId="3A566436" w14:textId="77777777" w:rsidR="00E55120" w:rsidRPr="0091535B" w:rsidRDefault="00E55120" w:rsidP="0091535B">
      <w:pPr>
        <w:spacing w:line="276" w:lineRule="auto"/>
        <w:jc w:val="both"/>
        <w:rPr>
          <w:rFonts w:asciiTheme="majorHAnsi" w:hAnsiTheme="majorHAnsi" w:cstheme="majorHAnsi"/>
          <w:sz w:val="24"/>
          <w:szCs w:val="24"/>
        </w:rPr>
      </w:pPr>
    </w:p>
    <w:p w14:paraId="1F4F3952" w14:textId="77777777" w:rsidR="00E55120" w:rsidRPr="0091535B" w:rsidRDefault="00E55120" w:rsidP="0091535B">
      <w:pPr>
        <w:spacing w:line="276" w:lineRule="auto"/>
        <w:jc w:val="both"/>
        <w:rPr>
          <w:rFonts w:asciiTheme="majorHAnsi" w:hAnsiTheme="majorHAnsi" w:cstheme="majorHAnsi"/>
          <w:b/>
          <w:bCs/>
          <w:sz w:val="24"/>
          <w:szCs w:val="24"/>
        </w:rPr>
      </w:pPr>
      <w:r w:rsidRPr="0091535B">
        <w:rPr>
          <w:rFonts w:asciiTheme="majorHAnsi" w:hAnsiTheme="majorHAnsi" w:cstheme="majorHAnsi"/>
          <w:b/>
          <w:bCs/>
          <w:sz w:val="24"/>
          <w:szCs w:val="24"/>
        </w:rPr>
        <w:lastRenderedPageBreak/>
        <w:t>Research Objective</w:t>
      </w:r>
    </w:p>
    <w:p w14:paraId="3D56C021" w14:textId="77777777" w:rsidR="00E55120" w:rsidRPr="0091535B" w:rsidRDefault="00E55120" w:rsidP="0091535B">
      <w:pPr>
        <w:spacing w:line="276" w:lineRule="auto"/>
        <w:jc w:val="both"/>
        <w:rPr>
          <w:rFonts w:asciiTheme="majorHAnsi" w:hAnsiTheme="majorHAnsi" w:cstheme="majorHAnsi"/>
          <w:b/>
          <w:bCs/>
          <w:sz w:val="24"/>
          <w:szCs w:val="24"/>
        </w:rPr>
      </w:pPr>
    </w:p>
    <w:p w14:paraId="44157473" w14:textId="77777777" w:rsidR="00785EDE" w:rsidRPr="0091535B" w:rsidRDefault="00785EDE" w:rsidP="0091535B">
      <w:pPr>
        <w:pStyle w:val="ListParagraph"/>
        <w:numPr>
          <w:ilvl w:val="0"/>
          <w:numId w:val="1"/>
        </w:numPr>
        <w:spacing w:line="276" w:lineRule="auto"/>
        <w:ind w:left="426"/>
        <w:jc w:val="both"/>
        <w:rPr>
          <w:rFonts w:asciiTheme="majorHAnsi" w:hAnsiTheme="majorHAnsi" w:cstheme="majorHAnsi"/>
          <w:sz w:val="24"/>
          <w:szCs w:val="24"/>
        </w:rPr>
      </w:pPr>
      <w:r w:rsidRPr="0091535B">
        <w:rPr>
          <w:rFonts w:asciiTheme="majorHAnsi" w:hAnsiTheme="majorHAnsi" w:cstheme="majorHAnsi"/>
          <w:sz w:val="24"/>
          <w:szCs w:val="24"/>
        </w:rPr>
        <w:t xml:space="preserve">To study the </w:t>
      </w:r>
      <w:r w:rsidR="00304078" w:rsidRPr="0091535B">
        <w:rPr>
          <w:rFonts w:asciiTheme="majorHAnsi" w:hAnsiTheme="majorHAnsi" w:cstheme="majorHAnsi"/>
          <w:sz w:val="24"/>
          <w:szCs w:val="24"/>
        </w:rPr>
        <w:t xml:space="preserve">SHG functioning under </w:t>
      </w:r>
      <w:r w:rsidR="009906EA" w:rsidRPr="0091535B">
        <w:rPr>
          <w:rFonts w:asciiTheme="majorHAnsi" w:hAnsiTheme="majorHAnsi" w:cstheme="majorHAnsi"/>
          <w:sz w:val="24"/>
          <w:szCs w:val="24"/>
        </w:rPr>
        <w:t xml:space="preserve">the </w:t>
      </w:r>
      <w:r w:rsidR="00304078" w:rsidRPr="0091535B">
        <w:rPr>
          <w:rFonts w:asciiTheme="majorHAnsi" w:hAnsiTheme="majorHAnsi" w:cstheme="majorHAnsi"/>
          <w:sz w:val="24"/>
          <w:szCs w:val="24"/>
        </w:rPr>
        <w:t>NRLM scheme in the Raigarh district.</w:t>
      </w:r>
    </w:p>
    <w:p w14:paraId="06213E0A" w14:textId="77777777" w:rsidR="009906EA" w:rsidRPr="0091535B" w:rsidRDefault="0001322C" w:rsidP="0091535B">
      <w:pPr>
        <w:pStyle w:val="ListParagraph"/>
        <w:numPr>
          <w:ilvl w:val="0"/>
          <w:numId w:val="1"/>
        </w:numPr>
        <w:spacing w:line="276" w:lineRule="auto"/>
        <w:ind w:left="426"/>
        <w:jc w:val="both"/>
        <w:rPr>
          <w:rFonts w:asciiTheme="majorHAnsi" w:hAnsiTheme="majorHAnsi" w:cstheme="majorHAnsi"/>
          <w:sz w:val="24"/>
          <w:szCs w:val="24"/>
        </w:rPr>
      </w:pPr>
      <w:r w:rsidRPr="0091535B">
        <w:rPr>
          <w:rFonts w:asciiTheme="majorHAnsi" w:hAnsiTheme="majorHAnsi" w:cstheme="majorHAnsi"/>
          <w:sz w:val="24"/>
          <w:szCs w:val="24"/>
        </w:rPr>
        <w:t xml:space="preserve">To study the </w:t>
      </w:r>
      <w:r w:rsidR="00785EDE" w:rsidRPr="0091535B">
        <w:rPr>
          <w:rFonts w:asciiTheme="majorHAnsi" w:hAnsiTheme="majorHAnsi" w:cstheme="majorHAnsi"/>
          <w:sz w:val="24"/>
          <w:szCs w:val="24"/>
        </w:rPr>
        <w:t xml:space="preserve">growth in the number of SHGs under NRLM intensive in </w:t>
      </w:r>
      <w:r w:rsidR="00515AE6" w:rsidRPr="0091535B">
        <w:rPr>
          <w:rFonts w:asciiTheme="majorHAnsi" w:hAnsiTheme="majorHAnsi" w:cstheme="majorHAnsi"/>
          <w:sz w:val="24"/>
          <w:szCs w:val="24"/>
        </w:rPr>
        <w:t xml:space="preserve">the </w:t>
      </w:r>
      <w:r w:rsidR="00785EDE" w:rsidRPr="0091535B">
        <w:rPr>
          <w:rFonts w:asciiTheme="majorHAnsi" w:hAnsiTheme="majorHAnsi" w:cstheme="majorHAnsi"/>
          <w:sz w:val="24"/>
          <w:szCs w:val="24"/>
        </w:rPr>
        <w:t>Raigarh district.</w:t>
      </w:r>
    </w:p>
    <w:p w14:paraId="4455CC71" w14:textId="77777777" w:rsidR="00EF6F57" w:rsidRPr="0091535B" w:rsidRDefault="00EF6F57" w:rsidP="0091535B">
      <w:pPr>
        <w:pStyle w:val="Heading1"/>
        <w:spacing w:before="138" w:line="276" w:lineRule="auto"/>
        <w:ind w:left="284" w:hanging="283"/>
        <w:jc w:val="both"/>
        <w:rPr>
          <w:rFonts w:asciiTheme="majorHAnsi" w:hAnsiTheme="majorHAnsi" w:cstheme="majorHAnsi"/>
          <w:u w:val="none"/>
        </w:rPr>
      </w:pPr>
      <w:r w:rsidRPr="0091535B">
        <w:rPr>
          <w:rFonts w:asciiTheme="majorHAnsi" w:hAnsiTheme="majorHAnsi" w:cstheme="majorHAnsi"/>
          <w:u w:val="none"/>
        </w:rPr>
        <w:t>Research Methodology</w:t>
      </w:r>
    </w:p>
    <w:p w14:paraId="2A90D77B"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1. Research Type: This study adopts a descriptive research approach.</w:t>
      </w:r>
    </w:p>
    <w:p w14:paraId="11A747A7"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2. Study Area: The study focuses on District Raigarh, situated in Chhattisgarh.</w:t>
      </w:r>
    </w:p>
    <w:p w14:paraId="59748D76"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3. Data Source: Secondary data is utilized for this research, sourced from the NRLM website (nrlm.gov.in).</w:t>
      </w:r>
    </w:p>
    <w:p w14:paraId="6763BFC2"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4. Statistical Analysis: The analysis will primarily involve the use of tables and graphs.</w:t>
      </w:r>
    </w:p>
    <w:p w14:paraId="78C051C9" w14:textId="77777777" w:rsidR="00AB1E4F" w:rsidRPr="0091535B" w:rsidRDefault="00AB1E4F" w:rsidP="0091535B">
      <w:pPr>
        <w:pStyle w:val="Heading1"/>
        <w:spacing w:before="138" w:line="276" w:lineRule="auto"/>
        <w:ind w:left="284" w:hanging="283"/>
        <w:jc w:val="both"/>
        <w:rPr>
          <w:rFonts w:asciiTheme="majorHAnsi" w:hAnsiTheme="majorHAnsi" w:cstheme="majorHAnsi"/>
          <w:b w:val="0"/>
          <w:bCs w:val="0"/>
          <w:u w:val="none"/>
        </w:rPr>
      </w:pPr>
    </w:p>
    <w:p w14:paraId="050E83D5" w14:textId="77777777" w:rsidR="00EF6F57" w:rsidRPr="0091535B" w:rsidRDefault="00EF6F57" w:rsidP="0091535B">
      <w:pPr>
        <w:pStyle w:val="Heading1"/>
        <w:spacing w:before="138" w:line="276" w:lineRule="auto"/>
        <w:ind w:left="284" w:hanging="283"/>
        <w:jc w:val="both"/>
        <w:rPr>
          <w:rFonts w:asciiTheme="majorHAnsi" w:hAnsiTheme="majorHAnsi" w:cstheme="majorHAnsi"/>
          <w:u w:val="none"/>
        </w:rPr>
      </w:pPr>
      <w:r w:rsidRPr="0091535B">
        <w:rPr>
          <w:rFonts w:asciiTheme="majorHAnsi" w:hAnsiTheme="majorHAnsi" w:cstheme="majorHAnsi"/>
          <w:u w:val="none"/>
        </w:rPr>
        <w:t>Study Limitations:</w:t>
      </w:r>
    </w:p>
    <w:p w14:paraId="18E446F1" w14:textId="1599579B"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 The study relies on data spanning from 2017-18 to 202</w:t>
      </w:r>
      <w:r w:rsidR="00C574D0" w:rsidRPr="0091535B">
        <w:rPr>
          <w:rFonts w:asciiTheme="majorHAnsi" w:hAnsiTheme="majorHAnsi" w:cstheme="majorHAnsi"/>
          <w:b w:val="0"/>
          <w:bCs w:val="0"/>
          <w:u w:val="none"/>
        </w:rPr>
        <w:t>1</w:t>
      </w:r>
      <w:r w:rsidRPr="0091535B">
        <w:rPr>
          <w:rFonts w:asciiTheme="majorHAnsi" w:hAnsiTheme="majorHAnsi" w:cstheme="majorHAnsi"/>
          <w:b w:val="0"/>
          <w:bCs w:val="0"/>
          <w:u w:val="none"/>
        </w:rPr>
        <w:t>-2</w:t>
      </w:r>
      <w:r w:rsidR="00C574D0" w:rsidRPr="0091535B">
        <w:rPr>
          <w:rFonts w:asciiTheme="majorHAnsi" w:hAnsiTheme="majorHAnsi" w:cstheme="majorHAnsi"/>
          <w:b w:val="0"/>
          <w:bCs w:val="0"/>
          <w:u w:val="none"/>
        </w:rPr>
        <w:t>2</w:t>
      </w:r>
      <w:r w:rsidRPr="0091535B">
        <w:rPr>
          <w:rFonts w:asciiTheme="majorHAnsi" w:hAnsiTheme="majorHAnsi" w:cstheme="majorHAnsi"/>
          <w:b w:val="0"/>
          <w:bCs w:val="0"/>
          <w:u w:val="none"/>
        </w:rPr>
        <w:t>.</w:t>
      </w:r>
    </w:p>
    <w:p w14:paraId="088246BF"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 The research is specific to the state of Chhattisgarh.</w:t>
      </w:r>
    </w:p>
    <w:p w14:paraId="08E0D3E6"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 District Raigarh is the chosen focal point.</w:t>
      </w:r>
    </w:p>
    <w:p w14:paraId="342DCF1C"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 Data originates from DAY-NRLM schemes.</w:t>
      </w:r>
    </w:p>
    <w:p w14:paraId="5C6F339F" w14:textId="77777777" w:rsidR="00EF6F57"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 Data extraction is based on information from the NRLM website (nrlm.gov.in).</w:t>
      </w:r>
    </w:p>
    <w:p w14:paraId="311C3B6C" w14:textId="77777777" w:rsidR="009906EA" w:rsidRPr="0091535B" w:rsidRDefault="00EF6F57" w:rsidP="0091535B">
      <w:pPr>
        <w:pStyle w:val="Heading1"/>
        <w:spacing w:before="138" w:line="276" w:lineRule="auto"/>
        <w:ind w:left="284" w:hanging="283"/>
        <w:jc w:val="both"/>
        <w:rPr>
          <w:rFonts w:asciiTheme="majorHAnsi" w:hAnsiTheme="majorHAnsi" w:cstheme="majorHAnsi"/>
          <w:b w:val="0"/>
          <w:bCs w:val="0"/>
          <w:u w:val="none"/>
        </w:rPr>
      </w:pPr>
      <w:r w:rsidRPr="0091535B">
        <w:rPr>
          <w:rFonts w:asciiTheme="majorHAnsi" w:hAnsiTheme="majorHAnsi" w:cstheme="majorHAnsi"/>
          <w:b w:val="0"/>
          <w:bCs w:val="0"/>
          <w:u w:val="none"/>
        </w:rPr>
        <w:t>• The study confronts constraints in terms of available financial resources, time limitations, and logistical constraints for the researcher.</w:t>
      </w:r>
    </w:p>
    <w:p w14:paraId="23205DDA" w14:textId="77777777" w:rsidR="003767C1" w:rsidRPr="0091535B" w:rsidRDefault="003767C1" w:rsidP="0091535B">
      <w:pPr>
        <w:pStyle w:val="Heading1"/>
        <w:spacing w:before="138" w:line="276" w:lineRule="auto"/>
        <w:ind w:left="284" w:hanging="283"/>
        <w:jc w:val="both"/>
        <w:rPr>
          <w:rFonts w:asciiTheme="majorHAnsi" w:hAnsiTheme="majorHAnsi" w:cstheme="majorHAnsi"/>
          <w:u w:val="none"/>
        </w:rPr>
      </w:pPr>
      <w:r w:rsidRPr="0091535B">
        <w:rPr>
          <w:rFonts w:asciiTheme="majorHAnsi" w:hAnsiTheme="majorHAnsi" w:cstheme="majorHAnsi"/>
          <w:u w:val="none"/>
        </w:rPr>
        <w:t>Findings:</w:t>
      </w:r>
    </w:p>
    <w:p w14:paraId="2BBD2FD7" w14:textId="77777777" w:rsidR="003767C1" w:rsidRPr="0091535B" w:rsidRDefault="003767C1" w:rsidP="0091535B">
      <w:pPr>
        <w:pStyle w:val="ListParagraph"/>
        <w:spacing w:line="276" w:lineRule="auto"/>
        <w:ind w:left="720" w:firstLine="0"/>
        <w:jc w:val="both"/>
        <w:rPr>
          <w:rFonts w:asciiTheme="majorHAnsi" w:hAnsiTheme="majorHAnsi" w:cstheme="majorHAnsi"/>
          <w:sz w:val="24"/>
          <w:szCs w:val="24"/>
        </w:rPr>
      </w:pPr>
    </w:p>
    <w:p w14:paraId="13E11510" w14:textId="77777777" w:rsidR="003767C1" w:rsidRPr="0091535B" w:rsidRDefault="003767C1" w:rsidP="0091535B">
      <w:pPr>
        <w:pStyle w:val="ListParagraph"/>
        <w:numPr>
          <w:ilvl w:val="0"/>
          <w:numId w:val="4"/>
        </w:numPr>
        <w:spacing w:line="276" w:lineRule="auto"/>
        <w:ind w:left="426"/>
        <w:jc w:val="both"/>
        <w:rPr>
          <w:rFonts w:asciiTheme="majorHAnsi" w:hAnsiTheme="majorHAnsi" w:cstheme="majorHAnsi"/>
          <w:b/>
          <w:bCs/>
          <w:sz w:val="24"/>
          <w:szCs w:val="24"/>
        </w:rPr>
      </w:pPr>
      <w:r w:rsidRPr="0091535B">
        <w:rPr>
          <w:rFonts w:asciiTheme="majorHAnsi" w:hAnsiTheme="majorHAnsi" w:cstheme="majorHAnsi"/>
          <w:b/>
          <w:bCs/>
          <w:sz w:val="24"/>
          <w:szCs w:val="24"/>
        </w:rPr>
        <w:t>To study the SHG functioning under the NRLM scheme in the Raigarh district.</w:t>
      </w:r>
    </w:p>
    <w:p w14:paraId="3CF1C501" w14:textId="77777777" w:rsidR="003767C1" w:rsidRPr="0091535B" w:rsidRDefault="003767C1" w:rsidP="0091535B">
      <w:pPr>
        <w:pStyle w:val="ListParagraph"/>
        <w:numPr>
          <w:ilvl w:val="0"/>
          <w:numId w:val="4"/>
        </w:numPr>
        <w:spacing w:line="276" w:lineRule="auto"/>
        <w:ind w:left="426"/>
        <w:jc w:val="both"/>
        <w:rPr>
          <w:rFonts w:asciiTheme="majorHAnsi" w:hAnsiTheme="majorHAnsi" w:cstheme="majorHAnsi"/>
          <w:b/>
          <w:bCs/>
          <w:sz w:val="24"/>
          <w:szCs w:val="24"/>
        </w:rPr>
      </w:pPr>
      <w:r w:rsidRPr="0091535B">
        <w:rPr>
          <w:rFonts w:asciiTheme="majorHAnsi" w:hAnsiTheme="majorHAnsi" w:cstheme="majorHAnsi"/>
          <w:b/>
          <w:bCs/>
          <w:sz w:val="24"/>
          <w:szCs w:val="24"/>
        </w:rPr>
        <w:t>To study the growth in the number of SHGs under NRLM intensive in the Raigarh district.</w:t>
      </w:r>
    </w:p>
    <w:p w14:paraId="221F8810" w14:textId="77777777" w:rsidR="003767C1" w:rsidRPr="0091535B" w:rsidRDefault="003767C1" w:rsidP="0091535B">
      <w:pPr>
        <w:pStyle w:val="Heading1"/>
        <w:spacing w:before="138" w:line="276" w:lineRule="auto"/>
        <w:ind w:left="284" w:hanging="283"/>
        <w:jc w:val="both"/>
        <w:rPr>
          <w:rFonts w:asciiTheme="majorHAnsi" w:hAnsiTheme="majorHAnsi" w:cstheme="majorHAnsi"/>
        </w:rPr>
      </w:pPr>
    </w:p>
    <w:p w14:paraId="2EB39957" w14:textId="77777777" w:rsidR="002D54D8" w:rsidRPr="0091535B" w:rsidRDefault="000867E8" w:rsidP="0091535B">
      <w:pPr>
        <w:pStyle w:val="Heading1"/>
        <w:spacing w:before="138" w:line="276" w:lineRule="auto"/>
        <w:ind w:left="284" w:hanging="283"/>
        <w:rPr>
          <w:rFonts w:asciiTheme="majorHAnsi" w:hAnsiTheme="majorHAnsi" w:cstheme="majorHAnsi"/>
          <w:u w:val="none"/>
        </w:rPr>
      </w:pPr>
      <w:r w:rsidRPr="0091535B">
        <w:rPr>
          <w:rFonts w:asciiTheme="majorHAnsi" w:hAnsiTheme="majorHAnsi" w:cstheme="majorHAnsi"/>
          <w:u w:val="none"/>
        </w:rPr>
        <w:t>Total SHGs promoted under Day-NRLM</w:t>
      </w:r>
    </w:p>
    <w:p w14:paraId="3B0E7C0B" w14:textId="77777777" w:rsidR="00623AEB" w:rsidRPr="0091535B" w:rsidRDefault="00623AEB" w:rsidP="0091535B">
      <w:pPr>
        <w:pStyle w:val="Heading1"/>
        <w:spacing w:before="138" w:line="276" w:lineRule="auto"/>
        <w:ind w:left="284" w:hanging="283"/>
        <w:rPr>
          <w:rFonts w:asciiTheme="majorHAnsi" w:hAnsiTheme="majorHAnsi" w:cstheme="majorHAnsi"/>
          <w:u w:val="none"/>
        </w:rPr>
      </w:pP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78"/>
        <w:gridCol w:w="4580"/>
      </w:tblGrid>
      <w:tr w:rsidR="00623AEB" w:rsidRPr="0091535B" w14:paraId="295F9BF1" w14:textId="77777777" w:rsidTr="009646B1">
        <w:tc>
          <w:tcPr>
            <w:tcW w:w="4621" w:type="dxa"/>
          </w:tcPr>
          <w:tbl>
            <w:tblPr>
              <w:tblW w:w="4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1061"/>
              <w:gridCol w:w="936"/>
              <w:gridCol w:w="1026"/>
            </w:tblGrid>
            <w:tr w:rsidR="00623AEB" w:rsidRPr="0091535B" w14:paraId="07D3AF90" w14:textId="77777777" w:rsidTr="006A554F">
              <w:trPr>
                <w:trHeight w:val="127"/>
                <w:jc w:val="center"/>
              </w:trPr>
              <w:tc>
                <w:tcPr>
                  <w:tcW w:w="1086" w:type="dxa"/>
                  <w:vMerge w:val="restart"/>
                  <w:shd w:val="clear" w:color="auto" w:fill="auto"/>
                  <w:noWrap/>
                  <w:vAlign w:val="bottom"/>
                  <w:hideMark/>
                </w:tcPr>
                <w:p w14:paraId="35B978E1"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Year</w:t>
                  </w:r>
                </w:p>
              </w:tc>
              <w:tc>
                <w:tcPr>
                  <w:tcW w:w="3023" w:type="dxa"/>
                  <w:gridSpan w:val="3"/>
                  <w:shd w:val="clear" w:color="auto" w:fill="auto"/>
                  <w:noWrap/>
                  <w:vAlign w:val="bottom"/>
                  <w:hideMark/>
                </w:tcPr>
                <w:p w14:paraId="275F2323"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During Financial Year</w:t>
                  </w:r>
                </w:p>
              </w:tc>
            </w:tr>
            <w:tr w:rsidR="00623AEB" w:rsidRPr="0091535B" w14:paraId="06D1CA6B" w14:textId="77777777" w:rsidTr="006A554F">
              <w:trPr>
                <w:trHeight w:val="132"/>
                <w:jc w:val="center"/>
              </w:trPr>
              <w:tc>
                <w:tcPr>
                  <w:tcW w:w="1086" w:type="dxa"/>
                  <w:vMerge/>
                  <w:vAlign w:val="center"/>
                  <w:hideMark/>
                </w:tcPr>
                <w:p w14:paraId="5F02E37A"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p>
              </w:tc>
              <w:tc>
                <w:tcPr>
                  <w:tcW w:w="1061" w:type="dxa"/>
                  <w:shd w:val="clear" w:color="auto" w:fill="auto"/>
                  <w:noWrap/>
                  <w:vAlign w:val="bottom"/>
                  <w:hideMark/>
                </w:tcPr>
                <w:p w14:paraId="0CDDBA0E"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New</w:t>
                  </w:r>
                </w:p>
              </w:tc>
              <w:tc>
                <w:tcPr>
                  <w:tcW w:w="936" w:type="dxa"/>
                  <w:shd w:val="clear" w:color="auto" w:fill="auto"/>
                  <w:noWrap/>
                  <w:vAlign w:val="bottom"/>
                  <w:hideMark/>
                </w:tcPr>
                <w:p w14:paraId="313772CB"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Pre NRLM revived</w:t>
                  </w:r>
                </w:p>
              </w:tc>
              <w:tc>
                <w:tcPr>
                  <w:tcW w:w="1026" w:type="dxa"/>
                  <w:shd w:val="clear" w:color="auto" w:fill="auto"/>
                  <w:noWrap/>
                  <w:vAlign w:val="bottom"/>
                  <w:hideMark/>
                </w:tcPr>
                <w:p w14:paraId="373BA911"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Total</w:t>
                  </w:r>
                </w:p>
              </w:tc>
            </w:tr>
            <w:tr w:rsidR="00623AEB" w:rsidRPr="0091535B" w14:paraId="7C31C074" w14:textId="77777777" w:rsidTr="006A554F">
              <w:trPr>
                <w:trHeight w:val="132"/>
                <w:jc w:val="center"/>
              </w:trPr>
              <w:tc>
                <w:tcPr>
                  <w:tcW w:w="1086" w:type="dxa"/>
                  <w:shd w:val="clear" w:color="auto" w:fill="auto"/>
                  <w:noWrap/>
                  <w:vAlign w:val="bottom"/>
                  <w:hideMark/>
                </w:tcPr>
                <w:p w14:paraId="394F2B29"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2016-17</w:t>
                  </w:r>
                </w:p>
              </w:tc>
              <w:tc>
                <w:tcPr>
                  <w:tcW w:w="1061" w:type="dxa"/>
                  <w:shd w:val="clear" w:color="000000" w:fill="FFFFFF"/>
                  <w:hideMark/>
                </w:tcPr>
                <w:p w14:paraId="2D3797E4"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205</w:t>
                  </w:r>
                </w:p>
              </w:tc>
              <w:tc>
                <w:tcPr>
                  <w:tcW w:w="936" w:type="dxa"/>
                  <w:shd w:val="clear" w:color="000000" w:fill="FFFFFF"/>
                  <w:hideMark/>
                </w:tcPr>
                <w:p w14:paraId="48CAD10E"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56</w:t>
                  </w:r>
                </w:p>
              </w:tc>
              <w:tc>
                <w:tcPr>
                  <w:tcW w:w="1026" w:type="dxa"/>
                  <w:shd w:val="clear" w:color="000000" w:fill="FFFFFF"/>
                  <w:hideMark/>
                </w:tcPr>
                <w:p w14:paraId="27C2EE03"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261</w:t>
                  </w:r>
                </w:p>
              </w:tc>
            </w:tr>
            <w:tr w:rsidR="00623AEB" w:rsidRPr="0091535B" w14:paraId="7C75E3A1" w14:textId="77777777" w:rsidTr="006A554F">
              <w:trPr>
                <w:trHeight w:val="132"/>
                <w:jc w:val="center"/>
              </w:trPr>
              <w:tc>
                <w:tcPr>
                  <w:tcW w:w="1086" w:type="dxa"/>
                  <w:shd w:val="clear" w:color="auto" w:fill="auto"/>
                  <w:noWrap/>
                  <w:vAlign w:val="bottom"/>
                  <w:hideMark/>
                </w:tcPr>
                <w:p w14:paraId="1BB11A67"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2017-18</w:t>
                  </w:r>
                </w:p>
              </w:tc>
              <w:tc>
                <w:tcPr>
                  <w:tcW w:w="1061" w:type="dxa"/>
                  <w:shd w:val="clear" w:color="000000" w:fill="FFFFFF"/>
                  <w:hideMark/>
                </w:tcPr>
                <w:p w14:paraId="744EA96C"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346</w:t>
                  </w:r>
                </w:p>
              </w:tc>
              <w:tc>
                <w:tcPr>
                  <w:tcW w:w="936" w:type="dxa"/>
                  <w:shd w:val="clear" w:color="000000" w:fill="FFFFFF"/>
                  <w:hideMark/>
                </w:tcPr>
                <w:p w14:paraId="08C6836F"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162</w:t>
                  </w:r>
                </w:p>
              </w:tc>
              <w:tc>
                <w:tcPr>
                  <w:tcW w:w="1026" w:type="dxa"/>
                  <w:shd w:val="clear" w:color="000000" w:fill="FFFFFF"/>
                  <w:hideMark/>
                </w:tcPr>
                <w:p w14:paraId="42ACDBB7"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508</w:t>
                  </w:r>
                </w:p>
              </w:tc>
            </w:tr>
            <w:tr w:rsidR="00623AEB" w:rsidRPr="0091535B" w14:paraId="766EE553" w14:textId="77777777" w:rsidTr="006A554F">
              <w:trPr>
                <w:trHeight w:val="132"/>
                <w:jc w:val="center"/>
              </w:trPr>
              <w:tc>
                <w:tcPr>
                  <w:tcW w:w="1086" w:type="dxa"/>
                  <w:shd w:val="clear" w:color="auto" w:fill="auto"/>
                  <w:noWrap/>
                  <w:vAlign w:val="bottom"/>
                  <w:hideMark/>
                </w:tcPr>
                <w:p w14:paraId="51AA83C2"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2018-19</w:t>
                  </w:r>
                </w:p>
              </w:tc>
              <w:tc>
                <w:tcPr>
                  <w:tcW w:w="1061" w:type="dxa"/>
                  <w:shd w:val="clear" w:color="000000" w:fill="FFFFFF"/>
                  <w:hideMark/>
                </w:tcPr>
                <w:p w14:paraId="158D9573"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1883</w:t>
                  </w:r>
                </w:p>
              </w:tc>
              <w:tc>
                <w:tcPr>
                  <w:tcW w:w="936" w:type="dxa"/>
                  <w:shd w:val="clear" w:color="000000" w:fill="FFFFFF"/>
                  <w:hideMark/>
                </w:tcPr>
                <w:p w14:paraId="73AB2CCC"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1266</w:t>
                  </w:r>
                </w:p>
              </w:tc>
              <w:tc>
                <w:tcPr>
                  <w:tcW w:w="1026" w:type="dxa"/>
                  <w:shd w:val="clear" w:color="000000" w:fill="FFFFFF"/>
                  <w:hideMark/>
                </w:tcPr>
                <w:p w14:paraId="08E28E04"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3149</w:t>
                  </w:r>
                </w:p>
              </w:tc>
            </w:tr>
            <w:tr w:rsidR="00623AEB" w:rsidRPr="0091535B" w14:paraId="2FD5907F" w14:textId="77777777" w:rsidTr="006A554F">
              <w:trPr>
                <w:trHeight w:val="132"/>
                <w:jc w:val="center"/>
              </w:trPr>
              <w:tc>
                <w:tcPr>
                  <w:tcW w:w="1086" w:type="dxa"/>
                  <w:shd w:val="clear" w:color="auto" w:fill="auto"/>
                  <w:noWrap/>
                  <w:vAlign w:val="bottom"/>
                  <w:hideMark/>
                </w:tcPr>
                <w:p w14:paraId="176091FF"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2019-20</w:t>
                  </w:r>
                </w:p>
              </w:tc>
              <w:tc>
                <w:tcPr>
                  <w:tcW w:w="1061" w:type="dxa"/>
                  <w:shd w:val="clear" w:color="000000" w:fill="FFFFFF"/>
                  <w:hideMark/>
                </w:tcPr>
                <w:p w14:paraId="6ECDAC64"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1673</w:t>
                  </w:r>
                </w:p>
              </w:tc>
              <w:tc>
                <w:tcPr>
                  <w:tcW w:w="936" w:type="dxa"/>
                  <w:shd w:val="clear" w:color="000000" w:fill="FFFFFF"/>
                  <w:hideMark/>
                </w:tcPr>
                <w:p w14:paraId="635B607A"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906</w:t>
                  </w:r>
                </w:p>
              </w:tc>
              <w:tc>
                <w:tcPr>
                  <w:tcW w:w="1026" w:type="dxa"/>
                  <w:shd w:val="clear" w:color="000000" w:fill="FFFFFF"/>
                  <w:hideMark/>
                </w:tcPr>
                <w:p w14:paraId="439114BE"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2579</w:t>
                  </w:r>
                </w:p>
              </w:tc>
            </w:tr>
            <w:tr w:rsidR="00623AEB" w:rsidRPr="0091535B" w14:paraId="1E24B48F" w14:textId="77777777" w:rsidTr="006A554F">
              <w:trPr>
                <w:trHeight w:val="132"/>
                <w:jc w:val="center"/>
              </w:trPr>
              <w:tc>
                <w:tcPr>
                  <w:tcW w:w="1086" w:type="dxa"/>
                  <w:shd w:val="clear" w:color="auto" w:fill="auto"/>
                  <w:noWrap/>
                  <w:vAlign w:val="bottom"/>
                  <w:hideMark/>
                </w:tcPr>
                <w:p w14:paraId="2F1518F3"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lastRenderedPageBreak/>
                    <w:t>2020-21</w:t>
                  </w:r>
                </w:p>
              </w:tc>
              <w:tc>
                <w:tcPr>
                  <w:tcW w:w="1061" w:type="dxa"/>
                  <w:shd w:val="clear" w:color="000000" w:fill="FFFFFF"/>
                  <w:hideMark/>
                </w:tcPr>
                <w:p w14:paraId="576B00B0"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970</w:t>
                  </w:r>
                </w:p>
              </w:tc>
              <w:tc>
                <w:tcPr>
                  <w:tcW w:w="936" w:type="dxa"/>
                  <w:shd w:val="clear" w:color="000000" w:fill="FFFFFF"/>
                  <w:hideMark/>
                </w:tcPr>
                <w:p w14:paraId="3F0634AF"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873</w:t>
                  </w:r>
                </w:p>
              </w:tc>
              <w:tc>
                <w:tcPr>
                  <w:tcW w:w="1026" w:type="dxa"/>
                  <w:shd w:val="clear" w:color="000000" w:fill="FFFFFF"/>
                  <w:hideMark/>
                </w:tcPr>
                <w:p w14:paraId="6C1FE1C2"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1843</w:t>
                  </w:r>
                </w:p>
              </w:tc>
            </w:tr>
            <w:tr w:rsidR="00623AEB" w:rsidRPr="0091535B" w14:paraId="4BF77870" w14:textId="77777777" w:rsidTr="006A554F">
              <w:trPr>
                <w:trHeight w:val="132"/>
                <w:jc w:val="center"/>
              </w:trPr>
              <w:tc>
                <w:tcPr>
                  <w:tcW w:w="1086" w:type="dxa"/>
                  <w:shd w:val="clear" w:color="auto" w:fill="auto"/>
                  <w:noWrap/>
                  <w:vAlign w:val="bottom"/>
                  <w:hideMark/>
                </w:tcPr>
                <w:p w14:paraId="012F86C7" w14:textId="77777777" w:rsidR="00623AEB" w:rsidRPr="0091535B" w:rsidRDefault="00623AEB"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2021-22</w:t>
                  </w:r>
                </w:p>
              </w:tc>
              <w:tc>
                <w:tcPr>
                  <w:tcW w:w="1061" w:type="dxa"/>
                  <w:shd w:val="clear" w:color="000000" w:fill="FFFFFF"/>
                  <w:hideMark/>
                </w:tcPr>
                <w:p w14:paraId="175235F2"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934</w:t>
                  </w:r>
                </w:p>
              </w:tc>
              <w:tc>
                <w:tcPr>
                  <w:tcW w:w="936" w:type="dxa"/>
                  <w:shd w:val="clear" w:color="000000" w:fill="FFFFFF"/>
                  <w:hideMark/>
                </w:tcPr>
                <w:p w14:paraId="47EC3A7D"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695</w:t>
                  </w:r>
                </w:p>
              </w:tc>
              <w:tc>
                <w:tcPr>
                  <w:tcW w:w="1026" w:type="dxa"/>
                  <w:shd w:val="clear" w:color="000000" w:fill="FFFFFF"/>
                  <w:hideMark/>
                </w:tcPr>
                <w:p w14:paraId="4C8CADE1" w14:textId="77777777" w:rsidR="00623AEB" w:rsidRPr="0091535B" w:rsidRDefault="00623AEB"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1629</w:t>
                  </w:r>
                </w:p>
              </w:tc>
            </w:tr>
          </w:tbl>
          <w:p w14:paraId="65102DC0" w14:textId="77777777" w:rsidR="00623AEB" w:rsidRPr="0091535B" w:rsidRDefault="00623AEB" w:rsidP="0091535B">
            <w:pPr>
              <w:pStyle w:val="Heading1"/>
              <w:spacing w:before="138" w:line="276" w:lineRule="auto"/>
              <w:ind w:left="0"/>
              <w:rPr>
                <w:rFonts w:asciiTheme="majorHAnsi" w:hAnsiTheme="majorHAnsi" w:cstheme="majorHAnsi"/>
                <w:u w:val="none"/>
              </w:rPr>
            </w:pPr>
          </w:p>
        </w:tc>
        <w:tc>
          <w:tcPr>
            <w:tcW w:w="4621" w:type="dxa"/>
          </w:tcPr>
          <w:tbl>
            <w:tblPr>
              <w:tblW w:w="4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139"/>
              <w:gridCol w:w="991"/>
              <w:gridCol w:w="1135"/>
            </w:tblGrid>
            <w:tr w:rsidR="009646B1" w:rsidRPr="0091535B" w14:paraId="07DDD368" w14:textId="77777777" w:rsidTr="006A554F">
              <w:trPr>
                <w:trHeight w:val="277"/>
              </w:trPr>
              <w:tc>
                <w:tcPr>
                  <w:tcW w:w="1082" w:type="dxa"/>
                  <w:vMerge w:val="restart"/>
                  <w:shd w:val="clear" w:color="auto" w:fill="auto"/>
                  <w:noWrap/>
                  <w:vAlign w:val="bottom"/>
                  <w:hideMark/>
                </w:tcPr>
                <w:p w14:paraId="38B81CEE"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lastRenderedPageBreak/>
                    <w:t>Year</w:t>
                  </w:r>
                </w:p>
              </w:tc>
              <w:tc>
                <w:tcPr>
                  <w:tcW w:w="3265" w:type="dxa"/>
                  <w:gridSpan w:val="3"/>
                  <w:shd w:val="clear" w:color="auto" w:fill="auto"/>
                  <w:noWrap/>
                  <w:vAlign w:val="bottom"/>
                  <w:hideMark/>
                </w:tcPr>
                <w:p w14:paraId="0A3AABCF"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Cumulative</w:t>
                  </w:r>
                </w:p>
              </w:tc>
            </w:tr>
            <w:tr w:rsidR="003D4DA7" w:rsidRPr="0091535B" w14:paraId="75F0C6A5" w14:textId="77777777" w:rsidTr="006A554F">
              <w:trPr>
                <w:trHeight w:val="286"/>
              </w:trPr>
              <w:tc>
                <w:tcPr>
                  <w:tcW w:w="1082" w:type="dxa"/>
                  <w:vMerge/>
                  <w:vAlign w:val="center"/>
                  <w:hideMark/>
                </w:tcPr>
                <w:p w14:paraId="640400E4"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p>
              </w:tc>
              <w:tc>
                <w:tcPr>
                  <w:tcW w:w="1139" w:type="dxa"/>
                  <w:shd w:val="clear" w:color="auto" w:fill="auto"/>
                  <w:noWrap/>
                  <w:vAlign w:val="bottom"/>
                  <w:hideMark/>
                </w:tcPr>
                <w:p w14:paraId="08A308F1"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New</w:t>
                  </w:r>
                </w:p>
              </w:tc>
              <w:tc>
                <w:tcPr>
                  <w:tcW w:w="991" w:type="dxa"/>
                  <w:shd w:val="clear" w:color="auto" w:fill="auto"/>
                  <w:noWrap/>
                  <w:vAlign w:val="bottom"/>
                  <w:hideMark/>
                </w:tcPr>
                <w:p w14:paraId="719ABE6B"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Pre NRLM revived</w:t>
                  </w:r>
                </w:p>
              </w:tc>
              <w:tc>
                <w:tcPr>
                  <w:tcW w:w="1135" w:type="dxa"/>
                  <w:shd w:val="clear" w:color="auto" w:fill="auto"/>
                  <w:noWrap/>
                  <w:vAlign w:val="bottom"/>
                  <w:hideMark/>
                </w:tcPr>
                <w:p w14:paraId="588809E7" w14:textId="4DF40427" w:rsidR="003D4DA7" w:rsidRPr="0091535B" w:rsidRDefault="00EC5B2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T</w:t>
                  </w:r>
                  <w:r w:rsidR="003D4DA7" w:rsidRPr="0091535B">
                    <w:rPr>
                      <w:rFonts w:asciiTheme="majorHAnsi" w:eastAsia="Times New Roman" w:hAnsiTheme="majorHAnsi" w:cstheme="majorHAnsi"/>
                      <w:color w:val="000000"/>
                      <w:kern w:val="0"/>
                      <w:sz w:val="24"/>
                      <w:szCs w:val="24"/>
                      <w:lang w:val="en-IN" w:eastAsia="en-IN"/>
                      <w14:ligatures w14:val="none"/>
                    </w:rPr>
                    <w:t>otal</w:t>
                  </w:r>
                </w:p>
              </w:tc>
            </w:tr>
            <w:tr w:rsidR="003D4DA7" w:rsidRPr="0091535B" w14:paraId="41084CAA" w14:textId="77777777" w:rsidTr="006A554F">
              <w:trPr>
                <w:trHeight w:val="286"/>
              </w:trPr>
              <w:tc>
                <w:tcPr>
                  <w:tcW w:w="1082" w:type="dxa"/>
                  <w:shd w:val="clear" w:color="auto" w:fill="auto"/>
                  <w:noWrap/>
                  <w:vAlign w:val="bottom"/>
                  <w:hideMark/>
                </w:tcPr>
                <w:p w14:paraId="31019F14"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2016-17</w:t>
                  </w:r>
                </w:p>
              </w:tc>
              <w:tc>
                <w:tcPr>
                  <w:tcW w:w="1139" w:type="dxa"/>
                  <w:shd w:val="clear" w:color="000000" w:fill="FFFFFF"/>
                  <w:hideMark/>
                </w:tcPr>
                <w:p w14:paraId="264094EA"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268</w:t>
                  </w:r>
                </w:p>
              </w:tc>
              <w:tc>
                <w:tcPr>
                  <w:tcW w:w="991" w:type="dxa"/>
                  <w:shd w:val="clear" w:color="000000" w:fill="FFFFFF"/>
                  <w:hideMark/>
                </w:tcPr>
                <w:p w14:paraId="169D95E6"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365</w:t>
                  </w:r>
                </w:p>
              </w:tc>
              <w:tc>
                <w:tcPr>
                  <w:tcW w:w="1135" w:type="dxa"/>
                  <w:shd w:val="clear" w:color="000000" w:fill="FFFFFF"/>
                  <w:hideMark/>
                </w:tcPr>
                <w:p w14:paraId="368C5792"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633</w:t>
                  </w:r>
                </w:p>
              </w:tc>
            </w:tr>
            <w:tr w:rsidR="003D4DA7" w:rsidRPr="0091535B" w14:paraId="447D6098" w14:textId="77777777" w:rsidTr="006A554F">
              <w:trPr>
                <w:trHeight w:val="286"/>
              </w:trPr>
              <w:tc>
                <w:tcPr>
                  <w:tcW w:w="1082" w:type="dxa"/>
                  <w:shd w:val="clear" w:color="auto" w:fill="auto"/>
                  <w:noWrap/>
                  <w:vAlign w:val="bottom"/>
                  <w:hideMark/>
                </w:tcPr>
                <w:p w14:paraId="7671DA50"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2017-18</w:t>
                  </w:r>
                </w:p>
              </w:tc>
              <w:tc>
                <w:tcPr>
                  <w:tcW w:w="1139" w:type="dxa"/>
                  <w:shd w:val="clear" w:color="000000" w:fill="FFFFFF"/>
                  <w:hideMark/>
                </w:tcPr>
                <w:p w14:paraId="08D136FC"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614</w:t>
                  </w:r>
                </w:p>
              </w:tc>
              <w:tc>
                <w:tcPr>
                  <w:tcW w:w="991" w:type="dxa"/>
                  <w:shd w:val="clear" w:color="000000" w:fill="FFFFFF"/>
                  <w:hideMark/>
                </w:tcPr>
                <w:p w14:paraId="5D372834"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527</w:t>
                  </w:r>
                </w:p>
              </w:tc>
              <w:tc>
                <w:tcPr>
                  <w:tcW w:w="1135" w:type="dxa"/>
                  <w:shd w:val="clear" w:color="000000" w:fill="FFFFFF"/>
                  <w:hideMark/>
                </w:tcPr>
                <w:p w14:paraId="280E37BF"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1141</w:t>
                  </w:r>
                </w:p>
              </w:tc>
            </w:tr>
            <w:tr w:rsidR="003D4DA7" w:rsidRPr="0091535B" w14:paraId="079EAD37" w14:textId="77777777" w:rsidTr="006A554F">
              <w:trPr>
                <w:trHeight w:val="286"/>
              </w:trPr>
              <w:tc>
                <w:tcPr>
                  <w:tcW w:w="1082" w:type="dxa"/>
                  <w:shd w:val="clear" w:color="auto" w:fill="auto"/>
                  <w:noWrap/>
                  <w:vAlign w:val="bottom"/>
                  <w:hideMark/>
                </w:tcPr>
                <w:p w14:paraId="18EF88A1"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2018-19</w:t>
                  </w:r>
                </w:p>
              </w:tc>
              <w:tc>
                <w:tcPr>
                  <w:tcW w:w="1139" w:type="dxa"/>
                  <w:shd w:val="clear" w:color="000000" w:fill="FFFFFF"/>
                  <w:hideMark/>
                </w:tcPr>
                <w:p w14:paraId="3859410F"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2497</w:t>
                  </w:r>
                </w:p>
              </w:tc>
              <w:tc>
                <w:tcPr>
                  <w:tcW w:w="991" w:type="dxa"/>
                  <w:shd w:val="clear" w:color="000000" w:fill="FFFFFF"/>
                  <w:hideMark/>
                </w:tcPr>
                <w:p w14:paraId="5321BB9B"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1793</w:t>
                  </w:r>
                </w:p>
              </w:tc>
              <w:tc>
                <w:tcPr>
                  <w:tcW w:w="1135" w:type="dxa"/>
                  <w:shd w:val="clear" w:color="000000" w:fill="FFFFFF"/>
                  <w:hideMark/>
                </w:tcPr>
                <w:p w14:paraId="50271D5F"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4290</w:t>
                  </w:r>
                </w:p>
              </w:tc>
            </w:tr>
            <w:tr w:rsidR="003D4DA7" w:rsidRPr="0091535B" w14:paraId="3FDAC0CC" w14:textId="77777777" w:rsidTr="006A554F">
              <w:trPr>
                <w:trHeight w:val="286"/>
              </w:trPr>
              <w:tc>
                <w:tcPr>
                  <w:tcW w:w="1082" w:type="dxa"/>
                  <w:shd w:val="clear" w:color="auto" w:fill="auto"/>
                  <w:noWrap/>
                  <w:vAlign w:val="bottom"/>
                  <w:hideMark/>
                </w:tcPr>
                <w:p w14:paraId="6D67D970"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2019-20</w:t>
                  </w:r>
                </w:p>
              </w:tc>
              <w:tc>
                <w:tcPr>
                  <w:tcW w:w="1139" w:type="dxa"/>
                  <w:shd w:val="clear" w:color="000000" w:fill="FFFFFF"/>
                  <w:hideMark/>
                </w:tcPr>
                <w:p w14:paraId="440DA250"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4170</w:t>
                  </w:r>
                </w:p>
              </w:tc>
              <w:tc>
                <w:tcPr>
                  <w:tcW w:w="991" w:type="dxa"/>
                  <w:shd w:val="clear" w:color="000000" w:fill="FFFFFF"/>
                  <w:hideMark/>
                </w:tcPr>
                <w:p w14:paraId="5A189E05"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2699</w:t>
                  </w:r>
                </w:p>
              </w:tc>
              <w:tc>
                <w:tcPr>
                  <w:tcW w:w="1135" w:type="dxa"/>
                  <w:shd w:val="clear" w:color="000000" w:fill="FFFFFF"/>
                  <w:hideMark/>
                </w:tcPr>
                <w:p w14:paraId="7D73002D"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6869</w:t>
                  </w:r>
                </w:p>
              </w:tc>
            </w:tr>
            <w:tr w:rsidR="003D4DA7" w:rsidRPr="0091535B" w14:paraId="72409840" w14:textId="77777777" w:rsidTr="006A554F">
              <w:trPr>
                <w:trHeight w:val="286"/>
              </w:trPr>
              <w:tc>
                <w:tcPr>
                  <w:tcW w:w="1082" w:type="dxa"/>
                  <w:shd w:val="clear" w:color="auto" w:fill="auto"/>
                  <w:noWrap/>
                  <w:vAlign w:val="bottom"/>
                  <w:hideMark/>
                </w:tcPr>
                <w:p w14:paraId="46233517"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lastRenderedPageBreak/>
                    <w:t>2020-21</w:t>
                  </w:r>
                </w:p>
              </w:tc>
              <w:tc>
                <w:tcPr>
                  <w:tcW w:w="1139" w:type="dxa"/>
                  <w:shd w:val="clear" w:color="000000" w:fill="FFFFFF"/>
                  <w:hideMark/>
                </w:tcPr>
                <w:p w14:paraId="4FB88B2C"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5140</w:t>
                  </w:r>
                </w:p>
              </w:tc>
              <w:tc>
                <w:tcPr>
                  <w:tcW w:w="991" w:type="dxa"/>
                  <w:shd w:val="clear" w:color="000000" w:fill="FFFFFF"/>
                  <w:hideMark/>
                </w:tcPr>
                <w:p w14:paraId="75BFEC53"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3572</w:t>
                  </w:r>
                </w:p>
              </w:tc>
              <w:tc>
                <w:tcPr>
                  <w:tcW w:w="1135" w:type="dxa"/>
                  <w:shd w:val="clear" w:color="000000" w:fill="FFFFFF"/>
                  <w:hideMark/>
                </w:tcPr>
                <w:p w14:paraId="5EDA2815"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8712</w:t>
                  </w:r>
                </w:p>
              </w:tc>
            </w:tr>
            <w:tr w:rsidR="003D4DA7" w:rsidRPr="0091535B" w14:paraId="7238AA8B" w14:textId="77777777" w:rsidTr="006A554F">
              <w:trPr>
                <w:trHeight w:val="286"/>
              </w:trPr>
              <w:tc>
                <w:tcPr>
                  <w:tcW w:w="1082" w:type="dxa"/>
                  <w:shd w:val="clear" w:color="auto" w:fill="auto"/>
                  <w:noWrap/>
                  <w:vAlign w:val="bottom"/>
                  <w:hideMark/>
                </w:tcPr>
                <w:p w14:paraId="331DBB4C" w14:textId="77777777" w:rsidR="003D4DA7" w:rsidRPr="0091535B" w:rsidRDefault="003D4DA7" w:rsidP="0091535B">
                  <w:pPr>
                    <w:widowControl/>
                    <w:autoSpaceDE/>
                    <w:autoSpaceDN/>
                    <w:spacing w:line="276" w:lineRule="auto"/>
                    <w:jc w:val="center"/>
                    <w:rPr>
                      <w:rFonts w:asciiTheme="majorHAnsi" w:eastAsia="Times New Roman" w:hAnsiTheme="majorHAnsi" w:cstheme="majorHAnsi"/>
                      <w:color w:val="000000"/>
                      <w:kern w:val="0"/>
                      <w:sz w:val="24"/>
                      <w:szCs w:val="24"/>
                      <w:lang w:val="en-IN" w:eastAsia="en-IN"/>
                      <w14:ligatures w14:val="none"/>
                    </w:rPr>
                  </w:pPr>
                  <w:r w:rsidRPr="0091535B">
                    <w:rPr>
                      <w:rFonts w:asciiTheme="majorHAnsi" w:eastAsia="Times New Roman" w:hAnsiTheme="majorHAnsi" w:cstheme="majorHAnsi"/>
                      <w:color w:val="000000"/>
                      <w:kern w:val="0"/>
                      <w:sz w:val="24"/>
                      <w:szCs w:val="24"/>
                      <w:lang w:val="en-IN" w:eastAsia="en-IN"/>
                      <w14:ligatures w14:val="none"/>
                    </w:rPr>
                    <w:t>2021-22</w:t>
                  </w:r>
                </w:p>
              </w:tc>
              <w:tc>
                <w:tcPr>
                  <w:tcW w:w="1139" w:type="dxa"/>
                  <w:shd w:val="clear" w:color="000000" w:fill="FFFFFF"/>
                  <w:hideMark/>
                </w:tcPr>
                <w:p w14:paraId="16A729C1"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6074</w:t>
                  </w:r>
                </w:p>
              </w:tc>
              <w:tc>
                <w:tcPr>
                  <w:tcW w:w="991" w:type="dxa"/>
                  <w:shd w:val="clear" w:color="000000" w:fill="FFFFFF"/>
                  <w:hideMark/>
                </w:tcPr>
                <w:p w14:paraId="25F98E1B"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4267</w:t>
                  </w:r>
                </w:p>
              </w:tc>
              <w:tc>
                <w:tcPr>
                  <w:tcW w:w="1135" w:type="dxa"/>
                  <w:shd w:val="clear" w:color="000000" w:fill="FFFFFF"/>
                  <w:hideMark/>
                </w:tcPr>
                <w:p w14:paraId="71CD761A" w14:textId="77777777" w:rsidR="003D4DA7" w:rsidRPr="0091535B" w:rsidRDefault="003D4DA7" w:rsidP="0091535B">
                  <w:pPr>
                    <w:widowControl/>
                    <w:autoSpaceDE/>
                    <w:autoSpaceDN/>
                    <w:spacing w:line="276" w:lineRule="auto"/>
                    <w:ind w:firstLineChars="100" w:firstLine="240"/>
                    <w:jc w:val="center"/>
                    <w:rPr>
                      <w:rFonts w:asciiTheme="majorHAnsi" w:eastAsia="Times New Roman" w:hAnsiTheme="majorHAnsi" w:cstheme="majorHAnsi"/>
                      <w:color w:val="333333"/>
                      <w:kern w:val="0"/>
                      <w:sz w:val="24"/>
                      <w:szCs w:val="24"/>
                      <w:lang w:val="en-IN" w:eastAsia="en-IN"/>
                      <w14:ligatures w14:val="none"/>
                    </w:rPr>
                  </w:pPr>
                  <w:r w:rsidRPr="0091535B">
                    <w:rPr>
                      <w:rFonts w:asciiTheme="majorHAnsi" w:eastAsia="Times New Roman" w:hAnsiTheme="majorHAnsi" w:cstheme="majorHAnsi"/>
                      <w:color w:val="333333"/>
                      <w:kern w:val="0"/>
                      <w:sz w:val="24"/>
                      <w:szCs w:val="24"/>
                      <w:lang w:val="en-IN" w:eastAsia="en-IN"/>
                      <w14:ligatures w14:val="none"/>
                    </w:rPr>
                    <w:t>10341</w:t>
                  </w:r>
                </w:p>
              </w:tc>
            </w:tr>
          </w:tbl>
          <w:p w14:paraId="147D6385" w14:textId="77777777" w:rsidR="00623AEB" w:rsidRPr="0091535B" w:rsidRDefault="00623AEB" w:rsidP="0091535B">
            <w:pPr>
              <w:pStyle w:val="Heading1"/>
              <w:spacing w:before="138" w:line="276" w:lineRule="auto"/>
              <w:ind w:left="0"/>
              <w:rPr>
                <w:rFonts w:asciiTheme="majorHAnsi" w:hAnsiTheme="majorHAnsi" w:cstheme="majorHAnsi"/>
                <w:u w:val="none"/>
              </w:rPr>
            </w:pPr>
          </w:p>
        </w:tc>
      </w:tr>
    </w:tbl>
    <w:p w14:paraId="53EE2FFC" w14:textId="77777777" w:rsidR="00623AEB" w:rsidRPr="0091535B" w:rsidRDefault="00623AEB" w:rsidP="0091535B">
      <w:pPr>
        <w:pStyle w:val="Heading1"/>
        <w:spacing w:before="138" w:line="276" w:lineRule="auto"/>
        <w:ind w:left="284" w:hanging="283"/>
        <w:rPr>
          <w:rFonts w:asciiTheme="majorHAnsi" w:hAnsiTheme="majorHAnsi" w:cstheme="majorHAnsi"/>
          <w:u w:val="none"/>
        </w:rPr>
      </w:pPr>
    </w:p>
    <w:tbl>
      <w:tblPr>
        <w:tblStyle w:val="TableGrid"/>
        <w:tblW w:w="9780" w:type="dxa"/>
        <w:tblInd w:w="534" w:type="dxa"/>
        <w:tblLayout w:type="fixed"/>
        <w:tblLook w:val="04A0" w:firstRow="1" w:lastRow="0" w:firstColumn="1" w:lastColumn="0" w:noHBand="0" w:noVBand="1"/>
      </w:tblPr>
      <w:tblGrid>
        <w:gridCol w:w="4819"/>
        <w:gridCol w:w="4961"/>
      </w:tblGrid>
      <w:tr w:rsidR="009646B1" w:rsidRPr="0091535B" w14:paraId="7B1D0F13" w14:textId="77777777" w:rsidTr="00E17A7A">
        <w:tc>
          <w:tcPr>
            <w:tcW w:w="4819" w:type="dxa"/>
          </w:tcPr>
          <w:p w14:paraId="73B3C2AA" w14:textId="5AA94C79" w:rsidR="009646B1" w:rsidRPr="0091535B" w:rsidRDefault="00E17A7A"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noProof/>
              </w:rPr>
              <w:drawing>
                <wp:inline distT="0" distB="0" distL="0" distR="0" wp14:anchorId="2BE7AC54" wp14:editId="5539FC1B">
                  <wp:extent cx="2914650" cy="2974975"/>
                  <wp:effectExtent l="0" t="0" r="0" b="0"/>
                  <wp:docPr id="1785922519" name="Chart 1">
                    <a:extLst xmlns:a="http://schemas.openxmlformats.org/drawingml/2006/main">
                      <a:ext uri="{FF2B5EF4-FFF2-40B4-BE49-F238E27FC236}">
                        <a16:creationId xmlns:a16="http://schemas.microsoft.com/office/drawing/2014/main" id="{880AD1FA-72FB-E653-EEC4-CF7CADF123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4961" w:type="dxa"/>
          </w:tcPr>
          <w:p w14:paraId="523FF815" w14:textId="03F17199" w:rsidR="009646B1" w:rsidRPr="0091535B" w:rsidRDefault="00E17A7A"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noProof/>
              </w:rPr>
              <w:drawing>
                <wp:inline distT="0" distB="0" distL="0" distR="0" wp14:anchorId="609FA2AB" wp14:editId="2C898249">
                  <wp:extent cx="3013075" cy="2974975"/>
                  <wp:effectExtent l="0" t="0" r="0" b="0"/>
                  <wp:docPr id="1245746510" name="Chart 1">
                    <a:extLst xmlns:a="http://schemas.openxmlformats.org/drawingml/2006/main">
                      <a:ext uri="{FF2B5EF4-FFF2-40B4-BE49-F238E27FC236}">
                        <a16:creationId xmlns:a16="http://schemas.microsoft.com/office/drawing/2014/main" id="{3D9FBD6E-87CE-64ED-30A9-D32FFB1385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bl>
    <w:p w14:paraId="24D836C1" w14:textId="77777777" w:rsidR="009646B1" w:rsidRPr="0091535B" w:rsidRDefault="009646B1" w:rsidP="0091535B">
      <w:pPr>
        <w:pStyle w:val="Heading1"/>
        <w:spacing w:before="138" w:line="276" w:lineRule="auto"/>
        <w:ind w:left="720"/>
        <w:jc w:val="both"/>
        <w:rPr>
          <w:rFonts w:asciiTheme="majorHAnsi" w:hAnsiTheme="majorHAnsi" w:cstheme="majorHAnsi"/>
          <w:b w:val="0"/>
          <w:bCs w:val="0"/>
          <w:u w:val="none"/>
        </w:rPr>
      </w:pPr>
    </w:p>
    <w:p w14:paraId="15B93E7E" w14:textId="77777777" w:rsidR="008D4945" w:rsidRPr="0091535B" w:rsidRDefault="008D4945" w:rsidP="0091535B">
      <w:pPr>
        <w:pStyle w:val="Heading1"/>
        <w:numPr>
          <w:ilvl w:val="0"/>
          <w:numId w:val="6"/>
        </w:numPr>
        <w:spacing w:before="138" w:line="276" w:lineRule="auto"/>
        <w:jc w:val="both"/>
        <w:rPr>
          <w:rFonts w:asciiTheme="majorHAnsi" w:hAnsiTheme="majorHAnsi" w:cstheme="majorHAnsi"/>
          <w:b w:val="0"/>
          <w:bCs w:val="0"/>
          <w:u w:val="none"/>
        </w:rPr>
      </w:pPr>
      <w:r w:rsidRPr="0091535B">
        <w:rPr>
          <w:rFonts w:asciiTheme="majorHAnsi" w:hAnsiTheme="majorHAnsi" w:cstheme="majorHAnsi"/>
          <w:b w:val="0"/>
          <w:bCs w:val="0"/>
          <w:u w:val="none"/>
        </w:rPr>
        <w:t>Number of SHGs (Self-Help Groups): The table displays the number of SHGs for each financial year, categorized as "New" and "Pre NRLM revived."</w:t>
      </w:r>
    </w:p>
    <w:p w14:paraId="7E9F19F9" w14:textId="0F322DB5" w:rsidR="008D4945" w:rsidRPr="0091535B" w:rsidRDefault="008D4945" w:rsidP="0091535B">
      <w:pPr>
        <w:pStyle w:val="Heading1"/>
        <w:numPr>
          <w:ilvl w:val="0"/>
          <w:numId w:val="6"/>
        </w:numPr>
        <w:spacing w:before="138" w:line="276" w:lineRule="auto"/>
        <w:jc w:val="both"/>
        <w:rPr>
          <w:rFonts w:asciiTheme="majorHAnsi" w:hAnsiTheme="majorHAnsi" w:cstheme="majorHAnsi"/>
          <w:b w:val="0"/>
          <w:bCs w:val="0"/>
          <w:u w:val="none"/>
        </w:rPr>
      </w:pPr>
      <w:r w:rsidRPr="0091535B">
        <w:rPr>
          <w:rFonts w:asciiTheme="majorHAnsi" w:hAnsiTheme="majorHAnsi" w:cstheme="majorHAnsi"/>
          <w:b w:val="0"/>
          <w:bCs w:val="0"/>
          <w:u w:val="none"/>
        </w:rPr>
        <w:t xml:space="preserve">Yearly Trends: Over the years, there </w:t>
      </w:r>
      <w:r w:rsidR="000F6909" w:rsidRPr="0091535B">
        <w:rPr>
          <w:rFonts w:asciiTheme="majorHAnsi" w:hAnsiTheme="majorHAnsi" w:cstheme="majorHAnsi"/>
          <w:b w:val="0"/>
          <w:bCs w:val="0"/>
          <w:u w:val="none"/>
        </w:rPr>
        <w:t>has been</w:t>
      </w:r>
      <w:r w:rsidRPr="0091535B">
        <w:rPr>
          <w:rFonts w:asciiTheme="majorHAnsi" w:hAnsiTheme="majorHAnsi" w:cstheme="majorHAnsi"/>
          <w:b w:val="0"/>
          <w:bCs w:val="0"/>
          <w:u w:val="none"/>
        </w:rPr>
        <w:t xml:space="preserve"> a noticeable fluctuation in the number of SHGs. There are instances of both increases and decreases.</w:t>
      </w:r>
    </w:p>
    <w:p w14:paraId="79F22A0E" w14:textId="6FBF78AB" w:rsidR="008D4945" w:rsidRPr="0091535B" w:rsidRDefault="008D4945" w:rsidP="0091535B">
      <w:pPr>
        <w:pStyle w:val="Heading1"/>
        <w:numPr>
          <w:ilvl w:val="0"/>
          <w:numId w:val="6"/>
        </w:numPr>
        <w:spacing w:before="138" w:line="276" w:lineRule="auto"/>
        <w:jc w:val="both"/>
        <w:rPr>
          <w:rFonts w:asciiTheme="majorHAnsi" w:hAnsiTheme="majorHAnsi" w:cstheme="majorHAnsi"/>
          <w:b w:val="0"/>
          <w:bCs w:val="0"/>
          <w:u w:val="none"/>
        </w:rPr>
      </w:pPr>
      <w:r w:rsidRPr="0091535B">
        <w:rPr>
          <w:rFonts w:asciiTheme="majorHAnsi" w:hAnsiTheme="majorHAnsi" w:cstheme="majorHAnsi"/>
          <w:b w:val="0"/>
          <w:bCs w:val="0"/>
          <w:u w:val="none"/>
        </w:rPr>
        <w:t xml:space="preserve">Cumulative SHGs: The table also provides cumulative data, indicating the total number of SHGs since the beginning of the program. There </w:t>
      </w:r>
      <w:r w:rsidR="00DB0FB5" w:rsidRPr="0091535B">
        <w:rPr>
          <w:rFonts w:asciiTheme="majorHAnsi" w:hAnsiTheme="majorHAnsi" w:cstheme="majorHAnsi"/>
          <w:b w:val="0"/>
          <w:bCs w:val="0"/>
          <w:u w:val="none"/>
        </w:rPr>
        <w:t>has been</w:t>
      </w:r>
      <w:r w:rsidRPr="0091535B">
        <w:rPr>
          <w:rFonts w:asciiTheme="majorHAnsi" w:hAnsiTheme="majorHAnsi" w:cstheme="majorHAnsi"/>
          <w:b w:val="0"/>
          <w:bCs w:val="0"/>
          <w:u w:val="none"/>
        </w:rPr>
        <w:t xml:space="preserve"> a steady increase in cumulative SHGs over the years, with a sharp rise in the financial year 202</w:t>
      </w:r>
      <w:r w:rsidR="005D00CC" w:rsidRPr="0091535B">
        <w:rPr>
          <w:rFonts w:asciiTheme="majorHAnsi" w:hAnsiTheme="majorHAnsi" w:cstheme="majorHAnsi"/>
          <w:b w:val="0"/>
          <w:bCs w:val="0"/>
          <w:u w:val="none"/>
        </w:rPr>
        <w:t>1</w:t>
      </w:r>
      <w:r w:rsidRPr="0091535B">
        <w:rPr>
          <w:rFonts w:asciiTheme="majorHAnsi" w:hAnsiTheme="majorHAnsi" w:cstheme="majorHAnsi"/>
          <w:b w:val="0"/>
          <w:bCs w:val="0"/>
          <w:u w:val="none"/>
        </w:rPr>
        <w:t>-2</w:t>
      </w:r>
      <w:r w:rsidR="005D00CC" w:rsidRPr="0091535B">
        <w:rPr>
          <w:rFonts w:asciiTheme="majorHAnsi" w:hAnsiTheme="majorHAnsi" w:cstheme="majorHAnsi"/>
          <w:b w:val="0"/>
          <w:bCs w:val="0"/>
          <w:u w:val="none"/>
        </w:rPr>
        <w:t>2</w:t>
      </w:r>
      <w:r w:rsidRPr="0091535B">
        <w:rPr>
          <w:rFonts w:asciiTheme="majorHAnsi" w:hAnsiTheme="majorHAnsi" w:cstheme="majorHAnsi"/>
          <w:b w:val="0"/>
          <w:bCs w:val="0"/>
          <w:u w:val="none"/>
        </w:rPr>
        <w:t xml:space="preserve">, reaching a total of </w:t>
      </w:r>
      <w:r w:rsidR="005D00CC" w:rsidRPr="0091535B">
        <w:rPr>
          <w:rFonts w:asciiTheme="majorHAnsi" w:hAnsiTheme="majorHAnsi" w:cstheme="majorHAnsi"/>
          <w:b w:val="0"/>
          <w:bCs w:val="0"/>
          <w:kern w:val="0"/>
          <w:u w:val="none"/>
          <w:lang w:val="en-IN" w:eastAsia="en-IN"/>
          <w14:ligatures w14:val="none"/>
        </w:rPr>
        <w:t>10,341</w:t>
      </w:r>
      <w:r w:rsidR="001F6B4A" w:rsidRPr="0091535B">
        <w:rPr>
          <w:rFonts w:asciiTheme="majorHAnsi" w:hAnsiTheme="majorHAnsi" w:cstheme="majorHAnsi"/>
          <w:b w:val="0"/>
          <w:bCs w:val="0"/>
          <w:kern w:val="0"/>
          <w:u w:val="none"/>
          <w:lang w:val="en-IN" w:eastAsia="en-IN"/>
          <w14:ligatures w14:val="none"/>
        </w:rPr>
        <w:t xml:space="preserve"> </w:t>
      </w:r>
      <w:r w:rsidRPr="0091535B">
        <w:rPr>
          <w:rFonts w:asciiTheme="majorHAnsi" w:hAnsiTheme="majorHAnsi" w:cstheme="majorHAnsi"/>
          <w:b w:val="0"/>
          <w:bCs w:val="0"/>
          <w:u w:val="none"/>
        </w:rPr>
        <w:t>SHGs.</w:t>
      </w:r>
    </w:p>
    <w:p w14:paraId="5A445046" w14:textId="77777777" w:rsidR="008D4945" w:rsidRPr="0091535B" w:rsidRDefault="008D4945" w:rsidP="0091535B">
      <w:pPr>
        <w:pStyle w:val="Heading1"/>
        <w:numPr>
          <w:ilvl w:val="0"/>
          <w:numId w:val="6"/>
        </w:numPr>
        <w:spacing w:before="138" w:line="276" w:lineRule="auto"/>
        <w:jc w:val="both"/>
        <w:rPr>
          <w:rFonts w:asciiTheme="majorHAnsi" w:hAnsiTheme="majorHAnsi" w:cstheme="majorHAnsi"/>
          <w:b w:val="0"/>
          <w:bCs w:val="0"/>
          <w:u w:val="none"/>
        </w:rPr>
      </w:pPr>
      <w:r w:rsidRPr="0091535B">
        <w:rPr>
          <w:rFonts w:asciiTheme="majorHAnsi" w:hAnsiTheme="majorHAnsi" w:cstheme="majorHAnsi"/>
          <w:b w:val="0"/>
          <w:bCs w:val="0"/>
          <w:u w:val="none"/>
        </w:rPr>
        <w:t>Contribution of "</w:t>
      </w:r>
      <w:r w:rsidR="00DB0FB5" w:rsidRPr="0091535B">
        <w:rPr>
          <w:rFonts w:asciiTheme="majorHAnsi" w:hAnsiTheme="majorHAnsi" w:cstheme="majorHAnsi"/>
          <w:b w:val="0"/>
          <w:bCs w:val="0"/>
          <w:u w:val="none"/>
        </w:rPr>
        <w:t>Pre-NRLM-Revived</w:t>
      </w:r>
      <w:r w:rsidRPr="0091535B">
        <w:rPr>
          <w:rFonts w:asciiTheme="majorHAnsi" w:hAnsiTheme="majorHAnsi" w:cstheme="majorHAnsi"/>
          <w:b w:val="0"/>
          <w:bCs w:val="0"/>
          <w:u w:val="none"/>
        </w:rPr>
        <w:t>" SHGs: The "</w:t>
      </w:r>
      <w:r w:rsidR="00DB0FB5" w:rsidRPr="0091535B">
        <w:rPr>
          <w:rFonts w:asciiTheme="majorHAnsi" w:hAnsiTheme="majorHAnsi" w:cstheme="majorHAnsi"/>
          <w:b w:val="0"/>
          <w:bCs w:val="0"/>
          <w:u w:val="none"/>
        </w:rPr>
        <w:t>Pre-NRLM</w:t>
      </w:r>
      <w:r w:rsidRPr="0091535B">
        <w:rPr>
          <w:rFonts w:asciiTheme="majorHAnsi" w:hAnsiTheme="majorHAnsi" w:cstheme="majorHAnsi"/>
          <w:b w:val="0"/>
          <w:bCs w:val="0"/>
          <w:u w:val="none"/>
        </w:rPr>
        <w:t xml:space="preserve"> revived" category represents SHGs that were revitalized as part of the program. While their numbers fluctuate yearly, they contribute significantly to the cumulative count.</w:t>
      </w:r>
    </w:p>
    <w:p w14:paraId="09C86A92" w14:textId="77777777" w:rsidR="008D4945" w:rsidRPr="0091535B" w:rsidRDefault="008D4945" w:rsidP="0091535B">
      <w:pPr>
        <w:pStyle w:val="Heading1"/>
        <w:numPr>
          <w:ilvl w:val="0"/>
          <w:numId w:val="6"/>
        </w:numPr>
        <w:spacing w:before="138" w:line="276" w:lineRule="auto"/>
        <w:jc w:val="both"/>
        <w:rPr>
          <w:rFonts w:asciiTheme="majorHAnsi" w:hAnsiTheme="majorHAnsi" w:cstheme="majorHAnsi"/>
          <w:b w:val="0"/>
          <w:bCs w:val="0"/>
          <w:u w:val="none"/>
        </w:rPr>
      </w:pPr>
      <w:r w:rsidRPr="0091535B">
        <w:rPr>
          <w:rFonts w:asciiTheme="majorHAnsi" w:hAnsiTheme="majorHAnsi" w:cstheme="majorHAnsi"/>
          <w:b w:val="0"/>
          <w:bCs w:val="0"/>
          <w:u w:val="none"/>
        </w:rPr>
        <w:t>Overall Growth: The cumulative total of SHGs has consistently grown, showcasing the program's impact in fostering self-help groups for community development.</w:t>
      </w:r>
    </w:p>
    <w:p w14:paraId="5200C63D" w14:textId="77777777" w:rsidR="00A76E3E" w:rsidRPr="0091535B" w:rsidRDefault="008D4945"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These findings indicate the dynamic nature of SHG formation and revival, reflecting the program's progress and its potential for further expansion and impact.</w:t>
      </w:r>
      <w:r w:rsidR="00F07DE8" w:rsidRPr="0091535B">
        <w:rPr>
          <w:rFonts w:asciiTheme="majorHAnsi" w:hAnsiTheme="majorHAnsi" w:cstheme="majorHAnsi"/>
          <w:b w:val="0"/>
          <w:bCs w:val="0"/>
          <w:u w:val="none"/>
        </w:rPr>
        <w:t xml:space="preserve"> </w:t>
      </w:r>
    </w:p>
    <w:p w14:paraId="02C1F0E0" w14:textId="77777777" w:rsidR="00E24AAB" w:rsidRPr="0091535B" w:rsidRDefault="00B21370" w:rsidP="0091535B">
      <w:pPr>
        <w:pStyle w:val="Heading1"/>
        <w:spacing w:before="138" w:line="276" w:lineRule="auto"/>
        <w:ind w:left="0"/>
        <w:jc w:val="both"/>
        <w:rPr>
          <w:rFonts w:asciiTheme="majorHAnsi" w:hAnsiTheme="majorHAnsi" w:cstheme="majorHAnsi"/>
          <w:u w:val="none"/>
        </w:rPr>
      </w:pPr>
      <w:r w:rsidRPr="0091535B">
        <w:rPr>
          <w:rFonts w:asciiTheme="majorHAnsi" w:hAnsiTheme="majorHAnsi" w:cstheme="majorHAnsi"/>
          <w:u w:val="none"/>
        </w:rPr>
        <w:t xml:space="preserve">Conclusion </w:t>
      </w:r>
    </w:p>
    <w:p w14:paraId="65426544" w14:textId="6F553B67" w:rsidR="00B21370" w:rsidRPr="0091535B" w:rsidRDefault="00B21370"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 xml:space="preserve">The analysis of the data </w:t>
      </w:r>
      <w:r w:rsidR="000F6909" w:rsidRPr="0091535B">
        <w:rPr>
          <w:rFonts w:asciiTheme="majorHAnsi" w:hAnsiTheme="majorHAnsi" w:cstheme="majorHAnsi"/>
          <w:b w:val="0"/>
          <w:bCs w:val="0"/>
          <w:u w:val="none"/>
        </w:rPr>
        <w:t>about</w:t>
      </w:r>
      <w:r w:rsidRPr="0091535B">
        <w:rPr>
          <w:rFonts w:asciiTheme="majorHAnsi" w:hAnsiTheme="majorHAnsi" w:cstheme="majorHAnsi"/>
          <w:b w:val="0"/>
          <w:bCs w:val="0"/>
          <w:u w:val="none"/>
        </w:rPr>
        <w:t xml:space="preserve"> Self-Help Groups (SHGs) reveals several key insights. Firstly, the table illustrates the annual count of SHGs, distinguishing between "New" and "Pre NRLM revived" groups. Notably, it underscores the dynamic nature of SHG formation over time, characterized by fluctuations that encompass both increases and decreases. Moreover, </w:t>
      </w:r>
      <w:r w:rsidRPr="0091535B">
        <w:rPr>
          <w:rFonts w:asciiTheme="majorHAnsi" w:hAnsiTheme="majorHAnsi" w:cstheme="majorHAnsi"/>
          <w:b w:val="0"/>
          <w:bCs w:val="0"/>
          <w:u w:val="none"/>
        </w:rPr>
        <w:lastRenderedPageBreak/>
        <w:t>the cumulative data indicates a consistent upward trajectory in SHG numbers, with a substantial surge in 202</w:t>
      </w:r>
      <w:r w:rsidR="000E1FDD" w:rsidRPr="0091535B">
        <w:rPr>
          <w:rFonts w:asciiTheme="majorHAnsi" w:hAnsiTheme="majorHAnsi" w:cstheme="majorHAnsi"/>
          <w:b w:val="0"/>
          <w:bCs w:val="0"/>
          <w:u w:val="none"/>
        </w:rPr>
        <w:t>1</w:t>
      </w:r>
      <w:r w:rsidRPr="0091535B">
        <w:rPr>
          <w:rFonts w:asciiTheme="majorHAnsi" w:hAnsiTheme="majorHAnsi" w:cstheme="majorHAnsi"/>
          <w:b w:val="0"/>
          <w:bCs w:val="0"/>
          <w:u w:val="none"/>
        </w:rPr>
        <w:t>-2</w:t>
      </w:r>
      <w:r w:rsidR="000E1FDD" w:rsidRPr="0091535B">
        <w:rPr>
          <w:rFonts w:asciiTheme="majorHAnsi" w:hAnsiTheme="majorHAnsi" w:cstheme="majorHAnsi"/>
          <w:b w:val="0"/>
          <w:bCs w:val="0"/>
          <w:u w:val="none"/>
        </w:rPr>
        <w:t>2</w:t>
      </w:r>
      <w:r w:rsidRPr="0091535B">
        <w:rPr>
          <w:rFonts w:asciiTheme="majorHAnsi" w:hAnsiTheme="majorHAnsi" w:cstheme="majorHAnsi"/>
          <w:b w:val="0"/>
          <w:bCs w:val="0"/>
          <w:u w:val="none"/>
        </w:rPr>
        <w:t xml:space="preserve">, bringing the total to an impressive </w:t>
      </w:r>
      <w:r w:rsidR="000E1FDD" w:rsidRPr="0091535B">
        <w:rPr>
          <w:rFonts w:asciiTheme="majorHAnsi" w:hAnsiTheme="majorHAnsi" w:cstheme="majorHAnsi"/>
          <w:b w:val="0"/>
          <w:bCs w:val="0"/>
          <w:kern w:val="0"/>
          <w:u w:val="none"/>
          <w:lang w:val="en-IN" w:eastAsia="en-IN"/>
          <w14:ligatures w14:val="none"/>
        </w:rPr>
        <w:t>10,341</w:t>
      </w:r>
      <w:r w:rsidR="000E1FDD" w:rsidRPr="0091535B">
        <w:rPr>
          <w:rFonts w:asciiTheme="majorHAnsi" w:hAnsiTheme="majorHAnsi" w:cstheme="majorHAnsi"/>
          <w:b w:val="0"/>
          <w:bCs w:val="0"/>
          <w:color w:val="333333"/>
          <w:kern w:val="0"/>
          <w:u w:val="none"/>
          <w:lang w:val="en-IN" w:eastAsia="en-IN"/>
          <w14:ligatures w14:val="none"/>
        </w:rPr>
        <w:t xml:space="preserve"> </w:t>
      </w:r>
      <w:r w:rsidRPr="0091535B">
        <w:rPr>
          <w:rFonts w:asciiTheme="majorHAnsi" w:hAnsiTheme="majorHAnsi" w:cstheme="majorHAnsi"/>
          <w:b w:val="0"/>
          <w:bCs w:val="0"/>
          <w:u w:val="none"/>
        </w:rPr>
        <w:t>SHGs. It's worth acknowledging the substantial contribution of "Pre-NRLM-Revived" SHGs to this cumulative count. This overall growth underscores the program's effectiveness in nurturing self-help groups for community development. Nevertheless, it is imperative to conduct a thorough trend analysis to discern the underlying causes of these fluctuations and the factors behind the recent surge. Such analysis will be instrumental in making informed decisions for the program's future expansion and impact. In sum, these findings highlight the dynamic and promising nature of SHG formation and revitalization, underscoring the program's potential for further growth and positive community influence.</w:t>
      </w:r>
    </w:p>
    <w:p w14:paraId="3F33BBC5" w14:textId="77777777" w:rsidR="0083123F" w:rsidRPr="0091535B" w:rsidRDefault="00B21370" w:rsidP="0091535B">
      <w:pPr>
        <w:pStyle w:val="Heading1"/>
        <w:spacing w:before="138" w:line="276" w:lineRule="auto"/>
        <w:ind w:left="0"/>
        <w:jc w:val="both"/>
        <w:rPr>
          <w:rFonts w:asciiTheme="majorHAnsi" w:hAnsiTheme="majorHAnsi" w:cstheme="majorHAnsi"/>
          <w:u w:val="none"/>
        </w:rPr>
      </w:pPr>
      <w:r w:rsidRPr="0091535B">
        <w:rPr>
          <w:rFonts w:asciiTheme="majorHAnsi" w:hAnsiTheme="majorHAnsi" w:cstheme="majorHAnsi"/>
          <w:u w:val="none"/>
        </w:rPr>
        <w:t>Suggestion</w:t>
      </w:r>
    </w:p>
    <w:p w14:paraId="5C9B6A5B" w14:textId="77B59FC4" w:rsidR="0083123F" w:rsidRPr="0091535B" w:rsidRDefault="008E7DCB"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1</w:t>
      </w:r>
      <w:r w:rsidR="0083123F" w:rsidRPr="0091535B">
        <w:rPr>
          <w:rFonts w:asciiTheme="majorHAnsi" w:hAnsiTheme="majorHAnsi" w:cstheme="majorHAnsi"/>
          <w:b w:val="0"/>
          <w:bCs w:val="0"/>
          <w:u w:val="none"/>
        </w:rPr>
        <w:t>. Targeted Support During Decreases:</w:t>
      </w:r>
    </w:p>
    <w:p w14:paraId="5758C58F" w14:textId="58DF930D" w:rsidR="0083123F" w:rsidRPr="0091535B" w:rsidRDefault="0083123F"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During years when there is a decline in the number of SHGs, consider implementing targeted support programs. These initiatives could involve capacity building, mentorship, or financial incentives to reinvigorate existing SHGs and stimulate the formation of new ones.</w:t>
      </w:r>
    </w:p>
    <w:p w14:paraId="039FEB13" w14:textId="0DBF2BA0" w:rsidR="0083123F" w:rsidRPr="0091535B" w:rsidRDefault="008E7DCB"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2</w:t>
      </w:r>
      <w:r w:rsidR="0083123F" w:rsidRPr="0091535B">
        <w:rPr>
          <w:rFonts w:asciiTheme="majorHAnsi" w:hAnsiTheme="majorHAnsi" w:cstheme="majorHAnsi"/>
          <w:b w:val="0"/>
          <w:bCs w:val="0"/>
          <w:u w:val="none"/>
        </w:rPr>
        <w:t>. Long-Term Sustainability Planning:</w:t>
      </w:r>
    </w:p>
    <w:p w14:paraId="2909EF80" w14:textId="77777777" w:rsidR="0083123F" w:rsidRPr="0091535B" w:rsidRDefault="0083123F"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Develop a comprehensive sustainability plan to ensure the continued growth of SHGs. This plan should focus on financial stability, skill enhancement, and community engagement to guarantee that the SHGs thrive and contribute to community development in the long run.</w:t>
      </w:r>
    </w:p>
    <w:p w14:paraId="7D35D2CB" w14:textId="6CBFF8D2" w:rsidR="0083123F" w:rsidRPr="0091535B" w:rsidRDefault="008E7DCB"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3</w:t>
      </w:r>
      <w:r w:rsidR="0083123F" w:rsidRPr="0091535B">
        <w:rPr>
          <w:rFonts w:asciiTheme="majorHAnsi" w:hAnsiTheme="majorHAnsi" w:cstheme="majorHAnsi"/>
          <w:b w:val="0"/>
          <w:bCs w:val="0"/>
          <w:u w:val="none"/>
        </w:rPr>
        <w:t>. Stakeholder Collaboration for Effective Trend Analysis:</w:t>
      </w:r>
    </w:p>
    <w:p w14:paraId="14E4B906" w14:textId="77777777" w:rsidR="0083123F" w:rsidRPr="0091535B" w:rsidRDefault="0083123F"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Collaborate with stakeholders, including SHG members, community leaders, and development experts, to conduct a thorough trend analysis. This multi-perspective approach will provide a comprehensive understanding of the SHG dynamics, allowing for informed decision-making and the formulation of effective strategies to adapt to evolving trends.</w:t>
      </w:r>
    </w:p>
    <w:p w14:paraId="2FC0FB8D" w14:textId="197F1B14" w:rsidR="0091535B" w:rsidRDefault="0083123F" w:rsidP="0091535B">
      <w:pPr>
        <w:pStyle w:val="Heading1"/>
        <w:spacing w:before="138" w:line="276" w:lineRule="auto"/>
        <w:ind w:left="0"/>
        <w:jc w:val="both"/>
        <w:rPr>
          <w:rFonts w:asciiTheme="majorHAnsi" w:hAnsiTheme="majorHAnsi" w:cstheme="majorHAnsi"/>
          <w:b w:val="0"/>
          <w:bCs w:val="0"/>
          <w:u w:val="none"/>
        </w:rPr>
      </w:pPr>
      <w:r w:rsidRPr="0091535B">
        <w:rPr>
          <w:rFonts w:asciiTheme="majorHAnsi" w:hAnsiTheme="majorHAnsi" w:cstheme="majorHAnsi"/>
          <w:b w:val="0"/>
          <w:bCs w:val="0"/>
          <w:u w:val="none"/>
        </w:rPr>
        <w:t>By implementing these suggestions, the program can maximize the positive impact of SHGs, enhance their sustainability, and contribute significantly to community development and empowerment.</w:t>
      </w:r>
    </w:p>
    <w:p w14:paraId="47A7A94E" w14:textId="77777777" w:rsidR="0091535B" w:rsidRPr="0091535B" w:rsidRDefault="0091535B" w:rsidP="0091535B">
      <w:pPr>
        <w:pStyle w:val="Heading1"/>
        <w:spacing w:before="138" w:line="276" w:lineRule="auto"/>
        <w:ind w:left="0"/>
        <w:jc w:val="both"/>
        <w:rPr>
          <w:rFonts w:asciiTheme="majorHAnsi" w:hAnsiTheme="majorHAnsi" w:cstheme="majorHAnsi"/>
          <w:b w:val="0"/>
          <w:bCs w:val="0"/>
          <w:u w:val="none"/>
        </w:rPr>
      </w:pPr>
    </w:p>
    <w:sdt>
      <w:sdtPr>
        <w:rPr>
          <w:rFonts w:asciiTheme="majorHAnsi" w:eastAsiaTheme="minorHAnsi" w:hAnsiTheme="majorHAnsi" w:cstheme="majorHAnsi"/>
          <w:b w:val="0"/>
          <w:bCs w:val="0"/>
          <w:sz w:val="22"/>
          <w:szCs w:val="22"/>
          <w:u w:val="none"/>
        </w:rPr>
        <w:id w:val="219325923"/>
        <w:docPartObj>
          <w:docPartGallery w:val="Bibliographies"/>
          <w:docPartUnique/>
        </w:docPartObj>
      </w:sdtPr>
      <w:sdtContent>
        <w:p w14:paraId="404FC52F" w14:textId="77777777" w:rsidR="00416014" w:rsidRPr="0091535B" w:rsidRDefault="00416014" w:rsidP="0091535B">
          <w:pPr>
            <w:pStyle w:val="Heading1"/>
            <w:spacing w:line="276" w:lineRule="auto"/>
            <w:rPr>
              <w:rFonts w:asciiTheme="majorHAnsi" w:hAnsiTheme="majorHAnsi" w:cstheme="majorHAnsi"/>
            </w:rPr>
          </w:pPr>
          <w:r w:rsidRPr="0091535B">
            <w:rPr>
              <w:rFonts w:asciiTheme="majorHAnsi" w:hAnsiTheme="majorHAnsi" w:cstheme="majorHAnsi"/>
            </w:rPr>
            <w:t>References</w:t>
          </w:r>
        </w:p>
        <w:sdt>
          <w:sdtPr>
            <w:rPr>
              <w:rFonts w:asciiTheme="majorHAnsi" w:hAnsiTheme="majorHAnsi" w:cstheme="majorHAnsi"/>
              <w:sz w:val="24"/>
              <w:szCs w:val="24"/>
            </w:rPr>
            <w:id w:val="-573587230"/>
            <w:bibliography/>
          </w:sdtPr>
          <w:sdtContent>
            <w:p w14:paraId="4F4C79A9" w14:textId="77777777" w:rsidR="00416014" w:rsidRPr="0091535B" w:rsidRDefault="00416014" w:rsidP="0091535B">
              <w:pPr>
                <w:pStyle w:val="Bibliography"/>
                <w:spacing w:line="276" w:lineRule="auto"/>
                <w:ind w:left="720" w:hanging="720"/>
                <w:rPr>
                  <w:rFonts w:asciiTheme="majorHAnsi" w:hAnsiTheme="majorHAnsi" w:cstheme="majorHAnsi"/>
                  <w:noProof/>
                  <w:kern w:val="0"/>
                  <w:sz w:val="24"/>
                  <w:szCs w:val="24"/>
                  <w14:ligatures w14:val="none"/>
                </w:rPr>
              </w:pPr>
              <w:r w:rsidRPr="0091535B">
                <w:rPr>
                  <w:rFonts w:asciiTheme="majorHAnsi" w:hAnsiTheme="majorHAnsi" w:cstheme="majorHAnsi"/>
                  <w:sz w:val="24"/>
                  <w:szCs w:val="24"/>
                </w:rPr>
                <w:fldChar w:fldCharType="begin"/>
              </w:r>
              <w:r w:rsidRPr="0091535B">
                <w:rPr>
                  <w:rFonts w:asciiTheme="majorHAnsi" w:hAnsiTheme="majorHAnsi" w:cstheme="majorHAnsi"/>
                  <w:sz w:val="24"/>
                  <w:szCs w:val="24"/>
                </w:rPr>
                <w:instrText xml:space="preserve"> BIBLIOGRAPHY </w:instrText>
              </w:r>
              <w:r w:rsidRPr="0091535B">
                <w:rPr>
                  <w:rFonts w:asciiTheme="majorHAnsi" w:hAnsiTheme="majorHAnsi" w:cstheme="majorHAnsi"/>
                  <w:sz w:val="24"/>
                  <w:szCs w:val="24"/>
                </w:rPr>
                <w:fldChar w:fldCharType="separate"/>
              </w:r>
              <w:r w:rsidRPr="0091535B">
                <w:rPr>
                  <w:rFonts w:asciiTheme="majorHAnsi" w:hAnsiTheme="majorHAnsi" w:cstheme="majorHAnsi"/>
                  <w:noProof/>
                  <w:sz w:val="24"/>
                  <w:szCs w:val="24"/>
                </w:rPr>
                <w:t xml:space="preserve">DasGupta, M. (2021, October 20 ). Deendayal Antyodaya Yojana-National Rural Livelihood Mission (DAY-NRLM) and Tribal Livelihood Promotion: An Indian Experience in Pre-post COVID-19 Pandemic Era. In </w:t>
              </w:r>
              <w:r w:rsidRPr="0091535B">
                <w:rPr>
                  <w:rFonts w:asciiTheme="majorHAnsi" w:hAnsiTheme="majorHAnsi" w:cstheme="majorHAnsi"/>
                  <w:i/>
                  <w:iCs/>
                  <w:noProof/>
                  <w:sz w:val="24"/>
                  <w:szCs w:val="24"/>
                </w:rPr>
                <w:t>New Business Models in the Course of Global Crises in South Asia</w:t>
              </w:r>
              <w:r w:rsidRPr="0091535B">
                <w:rPr>
                  <w:rFonts w:asciiTheme="majorHAnsi" w:hAnsiTheme="majorHAnsi" w:cstheme="majorHAnsi"/>
                  <w:noProof/>
                  <w:sz w:val="24"/>
                  <w:szCs w:val="24"/>
                </w:rPr>
                <w:t xml:space="preserve"> (pp. 221–241). Springer, Cham. doi:https://doi.org/10.1007/978-3-030-79926-7_13</w:t>
              </w:r>
            </w:p>
            <w:p w14:paraId="43E41D37" w14:textId="7601AC7A" w:rsidR="00416014" w:rsidRPr="0091535B" w:rsidRDefault="00416014" w:rsidP="0091535B">
              <w:pPr>
                <w:pStyle w:val="Bibliography"/>
                <w:spacing w:line="276" w:lineRule="auto"/>
                <w:ind w:left="720" w:hanging="720"/>
                <w:rPr>
                  <w:rFonts w:asciiTheme="majorHAnsi" w:hAnsiTheme="majorHAnsi" w:cstheme="majorHAnsi"/>
                  <w:noProof/>
                  <w:sz w:val="24"/>
                  <w:szCs w:val="24"/>
                </w:rPr>
              </w:pPr>
              <w:r w:rsidRPr="0091535B">
                <w:rPr>
                  <w:rFonts w:asciiTheme="majorHAnsi" w:hAnsiTheme="majorHAnsi" w:cstheme="majorHAnsi"/>
                  <w:noProof/>
                  <w:sz w:val="24"/>
                  <w:szCs w:val="24"/>
                </w:rPr>
                <w:t xml:space="preserve">Jamaldeen, A., Chatterjee, S., &amp; Alphonsa, S. (2019, Nov 27). Rural </w:t>
              </w:r>
              <w:r w:rsidR="000F6909" w:rsidRPr="0091535B">
                <w:rPr>
                  <w:rFonts w:asciiTheme="majorHAnsi" w:hAnsiTheme="majorHAnsi" w:cstheme="majorHAnsi"/>
                  <w:noProof/>
                  <w:sz w:val="24"/>
                  <w:szCs w:val="24"/>
                </w:rPr>
                <w:t>women’s</w:t>
              </w:r>
              <w:r w:rsidRPr="0091535B">
                <w:rPr>
                  <w:rFonts w:asciiTheme="majorHAnsi" w:hAnsiTheme="majorHAnsi" w:cstheme="majorHAnsi"/>
                  <w:noProof/>
                  <w:sz w:val="24"/>
                  <w:szCs w:val="24"/>
                </w:rPr>
                <w:t xml:space="preserve"> earning through self-employment: an in-depth discussion with cases from India. </w:t>
              </w:r>
              <w:r w:rsidRPr="0091535B">
                <w:rPr>
                  <w:rFonts w:asciiTheme="majorHAnsi" w:hAnsiTheme="majorHAnsi" w:cstheme="majorHAnsi"/>
                  <w:i/>
                  <w:iCs/>
                  <w:noProof/>
                  <w:sz w:val="24"/>
                  <w:szCs w:val="24"/>
                </w:rPr>
                <w:t>South Eastern University of Sri Lanka, University Park, Oluvil, Sri Lanka.</w:t>
              </w:r>
              <w:r w:rsidRPr="0091535B">
                <w:rPr>
                  <w:rFonts w:asciiTheme="majorHAnsi" w:hAnsiTheme="majorHAnsi" w:cstheme="majorHAnsi"/>
                  <w:noProof/>
                  <w:sz w:val="24"/>
                  <w:szCs w:val="24"/>
                </w:rPr>
                <w:t>, 741-751.</w:t>
              </w:r>
            </w:p>
            <w:p w14:paraId="21419223" w14:textId="77777777" w:rsidR="000513B4" w:rsidRPr="0091535B" w:rsidRDefault="00003802" w:rsidP="0091535B">
              <w:pPr>
                <w:spacing w:line="276" w:lineRule="auto"/>
                <w:rPr>
                  <w:rFonts w:asciiTheme="majorHAnsi" w:hAnsiTheme="majorHAnsi" w:cstheme="majorHAnsi"/>
                  <w:sz w:val="24"/>
                  <w:szCs w:val="24"/>
                </w:rPr>
              </w:pPr>
              <w:r w:rsidRPr="0091535B">
                <w:rPr>
                  <w:rFonts w:asciiTheme="majorHAnsi" w:hAnsiTheme="majorHAnsi" w:cstheme="majorHAnsi"/>
                  <w:sz w:val="24"/>
                  <w:szCs w:val="24"/>
                </w:rPr>
                <w:t>https://nrlm.gov.in/SHGFunctioningUnderNRLMAction.do?methodName=showSHGFunctioningNRLM</w:t>
              </w:r>
            </w:p>
            <w:p w14:paraId="6B90034E" w14:textId="77777777" w:rsidR="00F52011" w:rsidRPr="0091535B" w:rsidRDefault="00F52011" w:rsidP="0091535B">
              <w:pPr>
                <w:spacing w:line="276" w:lineRule="auto"/>
                <w:rPr>
                  <w:rFonts w:asciiTheme="majorHAnsi" w:hAnsiTheme="majorHAnsi" w:cstheme="majorHAnsi"/>
                  <w:sz w:val="24"/>
                  <w:szCs w:val="24"/>
                </w:rPr>
              </w:pPr>
              <w:r w:rsidRPr="0091535B">
                <w:rPr>
                  <w:rFonts w:asciiTheme="majorHAnsi" w:hAnsiTheme="majorHAnsi" w:cstheme="majorHAnsi"/>
                  <w:sz w:val="24"/>
                  <w:szCs w:val="24"/>
                </w:rPr>
                <w:t>https://nrlm.gov.in/outerReportAction.do?methodName=showReportMaster</w:t>
              </w:r>
            </w:p>
            <w:p w14:paraId="0EDBC931" w14:textId="77777777" w:rsidR="00F52011" w:rsidRPr="0091535B" w:rsidRDefault="00532C74" w:rsidP="0091535B">
              <w:pPr>
                <w:spacing w:line="276" w:lineRule="auto"/>
                <w:rPr>
                  <w:rFonts w:asciiTheme="majorHAnsi" w:hAnsiTheme="majorHAnsi" w:cstheme="majorHAnsi"/>
                  <w:sz w:val="24"/>
                  <w:szCs w:val="24"/>
                </w:rPr>
              </w:pPr>
              <w:r w:rsidRPr="0091535B">
                <w:rPr>
                  <w:rFonts w:asciiTheme="majorHAnsi" w:hAnsiTheme="majorHAnsi" w:cstheme="majorHAnsi"/>
                  <w:sz w:val="24"/>
                  <w:szCs w:val="24"/>
                </w:rPr>
                <w:lastRenderedPageBreak/>
                <w:t>https://nrlm.gov.in/nrlmbankloanapp/about</w:t>
              </w:r>
            </w:p>
            <w:p w14:paraId="4EBB13B1" w14:textId="77E9DE53" w:rsidR="00416014" w:rsidRPr="000F6BE0" w:rsidRDefault="00416014" w:rsidP="000F6BE0">
              <w:pPr>
                <w:spacing w:line="276" w:lineRule="auto"/>
                <w:rPr>
                  <w:rFonts w:asciiTheme="majorHAnsi" w:hAnsiTheme="majorHAnsi" w:cstheme="majorHAnsi"/>
                  <w:sz w:val="24"/>
                  <w:szCs w:val="24"/>
                </w:rPr>
              </w:pPr>
              <w:r w:rsidRPr="0091535B">
                <w:rPr>
                  <w:rFonts w:asciiTheme="majorHAnsi" w:hAnsiTheme="majorHAnsi" w:cstheme="majorHAnsi"/>
                  <w:b/>
                  <w:bCs/>
                  <w:noProof/>
                  <w:sz w:val="24"/>
                  <w:szCs w:val="24"/>
                </w:rPr>
                <w:fldChar w:fldCharType="end"/>
              </w:r>
            </w:p>
          </w:sdtContent>
        </w:sdt>
      </w:sdtContent>
    </w:sdt>
    <w:sectPr w:rsidR="00416014" w:rsidRPr="000F6B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E42E2"/>
    <w:multiLevelType w:val="hybridMultilevel"/>
    <w:tmpl w:val="4210F184"/>
    <w:lvl w:ilvl="0" w:tplc="4009000F">
      <w:start w:val="1"/>
      <w:numFmt w:val="decimal"/>
      <w:lvlText w:val="%1."/>
      <w:lvlJc w:val="left"/>
      <w:pPr>
        <w:ind w:left="1322" w:hanging="360"/>
      </w:pPr>
      <w:rPr>
        <w:rFonts w:hint="default"/>
        <w:w w:val="100"/>
        <w:lang w:val="en-US" w:eastAsia="en-US" w:bidi="ar-SA"/>
      </w:rPr>
    </w:lvl>
    <w:lvl w:ilvl="1" w:tplc="9320B2D2">
      <w:numFmt w:val="bullet"/>
      <w:lvlText w:val="•"/>
      <w:lvlJc w:val="left"/>
      <w:pPr>
        <w:ind w:left="2127" w:hanging="360"/>
      </w:pPr>
      <w:rPr>
        <w:rFonts w:hint="default"/>
        <w:lang w:val="en-US" w:eastAsia="en-US" w:bidi="ar-SA"/>
      </w:rPr>
    </w:lvl>
    <w:lvl w:ilvl="2" w:tplc="A946581C">
      <w:numFmt w:val="bullet"/>
      <w:lvlText w:val="•"/>
      <w:lvlJc w:val="left"/>
      <w:pPr>
        <w:ind w:left="2934" w:hanging="360"/>
      </w:pPr>
      <w:rPr>
        <w:rFonts w:hint="default"/>
        <w:lang w:val="en-US" w:eastAsia="en-US" w:bidi="ar-SA"/>
      </w:rPr>
    </w:lvl>
    <w:lvl w:ilvl="3" w:tplc="83083DD8">
      <w:numFmt w:val="bullet"/>
      <w:lvlText w:val="•"/>
      <w:lvlJc w:val="left"/>
      <w:pPr>
        <w:ind w:left="3741" w:hanging="360"/>
      </w:pPr>
      <w:rPr>
        <w:rFonts w:hint="default"/>
        <w:lang w:val="en-US" w:eastAsia="en-US" w:bidi="ar-SA"/>
      </w:rPr>
    </w:lvl>
    <w:lvl w:ilvl="4" w:tplc="E55A4A98">
      <w:numFmt w:val="bullet"/>
      <w:lvlText w:val="•"/>
      <w:lvlJc w:val="left"/>
      <w:pPr>
        <w:ind w:left="4548" w:hanging="360"/>
      </w:pPr>
      <w:rPr>
        <w:rFonts w:hint="default"/>
        <w:lang w:val="en-US" w:eastAsia="en-US" w:bidi="ar-SA"/>
      </w:rPr>
    </w:lvl>
    <w:lvl w:ilvl="5" w:tplc="08260394">
      <w:numFmt w:val="bullet"/>
      <w:lvlText w:val="•"/>
      <w:lvlJc w:val="left"/>
      <w:pPr>
        <w:ind w:left="5355" w:hanging="360"/>
      </w:pPr>
      <w:rPr>
        <w:rFonts w:hint="default"/>
        <w:lang w:val="en-US" w:eastAsia="en-US" w:bidi="ar-SA"/>
      </w:rPr>
    </w:lvl>
    <w:lvl w:ilvl="6" w:tplc="BFD280E8">
      <w:numFmt w:val="bullet"/>
      <w:lvlText w:val="•"/>
      <w:lvlJc w:val="left"/>
      <w:pPr>
        <w:ind w:left="6162" w:hanging="360"/>
      </w:pPr>
      <w:rPr>
        <w:rFonts w:hint="default"/>
        <w:lang w:val="en-US" w:eastAsia="en-US" w:bidi="ar-SA"/>
      </w:rPr>
    </w:lvl>
    <w:lvl w:ilvl="7" w:tplc="B1942252">
      <w:numFmt w:val="bullet"/>
      <w:lvlText w:val="•"/>
      <w:lvlJc w:val="left"/>
      <w:pPr>
        <w:ind w:left="6969" w:hanging="360"/>
      </w:pPr>
      <w:rPr>
        <w:rFonts w:hint="default"/>
        <w:lang w:val="en-US" w:eastAsia="en-US" w:bidi="ar-SA"/>
      </w:rPr>
    </w:lvl>
    <w:lvl w:ilvl="8" w:tplc="02747C28">
      <w:numFmt w:val="bullet"/>
      <w:lvlText w:val="•"/>
      <w:lvlJc w:val="left"/>
      <w:pPr>
        <w:ind w:left="7776" w:hanging="360"/>
      </w:pPr>
      <w:rPr>
        <w:rFonts w:hint="default"/>
        <w:lang w:val="en-US" w:eastAsia="en-US" w:bidi="ar-SA"/>
      </w:rPr>
    </w:lvl>
  </w:abstractNum>
  <w:abstractNum w:abstractNumId="1" w15:restartNumberingAfterBreak="0">
    <w:nsid w:val="210B4AFA"/>
    <w:multiLevelType w:val="hybridMultilevel"/>
    <w:tmpl w:val="42EE0D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EA6586"/>
    <w:multiLevelType w:val="hybridMultilevel"/>
    <w:tmpl w:val="12A0D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485462F"/>
    <w:multiLevelType w:val="hybridMultilevel"/>
    <w:tmpl w:val="9E50E4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B2979DD"/>
    <w:multiLevelType w:val="hybridMultilevel"/>
    <w:tmpl w:val="51A4954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76A1610E"/>
    <w:multiLevelType w:val="hybridMultilevel"/>
    <w:tmpl w:val="2ABA84A6"/>
    <w:lvl w:ilvl="0" w:tplc="41AE0806">
      <w:numFmt w:val="bullet"/>
      <w:lvlText w:val=""/>
      <w:lvlJc w:val="left"/>
      <w:pPr>
        <w:ind w:left="1322" w:hanging="257"/>
      </w:pPr>
      <w:rPr>
        <w:rFonts w:ascii="Symbol" w:eastAsia="Symbol" w:hAnsi="Symbol" w:cs="Symbol" w:hint="default"/>
        <w:w w:val="100"/>
        <w:sz w:val="22"/>
        <w:szCs w:val="22"/>
        <w:lang w:val="en-US" w:eastAsia="en-US" w:bidi="ar-SA"/>
      </w:rPr>
    </w:lvl>
    <w:lvl w:ilvl="1" w:tplc="12ACD2DC">
      <w:numFmt w:val="bullet"/>
      <w:lvlText w:val="•"/>
      <w:lvlJc w:val="left"/>
      <w:pPr>
        <w:ind w:left="2127" w:hanging="257"/>
      </w:pPr>
      <w:rPr>
        <w:rFonts w:hint="default"/>
        <w:lang w:val="en-US" w:eastAsia="en-US" w:bidi="ar-SA"/>
      </w:rPr>
    </w:lvl>
    <w:lvl w:ilvl="2" w:tplc="CD74581C">
      <w:numFmt w:val="bullet"/>
      <w:lvlText w:val="•"/>
      <w:lvlJc w:val="left"/>
      <w:pPr>
        <w:ind w:left="2934" w:hanging="257"/>
      </w:pPr>
      <w:rPr>
        <w:rFonts w:hint="default"/>
        <w:lang w:val="en-US" w:eastAsia="en-US" w:bidi="ar-SA"/>
      </w:rPr>
    </w:lvl>
    <w:lvl w:ilvl="3" w:tplc="87624570">
      <w:numFmt w:val="bullet"/>
      <w:lvlText w:val="•"/>
      <w:lvlJc w:val="left"/>
      <w:pPr>
        <w:ind w:left="3741" w:hanging="257"/>
      </w:pPr>
      <w:rPr>
        <w:rFonts w:hint="default"/>
        <w:lang w:val="en-US" w:eastAsia="en-US" w:bidi="ar-SA"/>
      </w:rPr>
    </w:lvl>
    <w:lvl w:ilvl="4" w:tplc="2C7E362A">
      <w:numFmt w:val="bullet"/>
      <w:lvlText w:val="•"/>
      <w:lvlJc w:val="left"/>
      <w:pPr>
        <w:ind w:left="4548" w:hanging="257"/>
      </w:pPr>
      <w:rPr>
        <w:rFonts w:hint="default"/>
        <w:lang w:val="en-US" w:eastAsia="en-US" w:bidi="ar-SA"/>
      </w:rPr>
    </w:lvl>
    <w:lvl w:ilvl="5" w:tplc="353249E4">
      <w:numFmt w:val="bullet"/>
      <w:lvlText w:val="•"/>
      <w:lvlJc w:val="left"/>
      <w:pPr>
        <w:ind w:left="5355" w:hanging="257"/>
      </w:pPr>
      <w:rPr>
        <w:rFonts w:hint="default"/>
        <w:lang w:val="en-US" w:eastAsia="en-US" w:bidi="ar-SA"/>
      </w:rPr>
    </w:lvl>
    <w:lvl w:ilvl="6" w:tplc="36A6FC92">
      <w:numFmt w:val="bullet"/>
      <w:lvlText w:val="•"/>
      <w:lvlJc w:val="left"/>
      <w:pPr>
        <w:ind w:left="6162" w:hanging="257"/>
      </w:pPr>
      <w:rPr>
        <w:rFonts w:hint="default"/>
        <w:lang w:val="en-US" w:eastAsia="en-US" w:bidi="ar-SA"/>
      </w:rPr>
    </w:lvl>
    <w:lvl w:ilvl="7" w:tplc="037CF94C">
      <w:numFmt w:val="bullet"/>
      <w:lvlText w:val="•"/>
      <w:lvlJc w:val="left"/>
      <w:pPr>
        <w:ind w:left="6969" w:hanging="257"/>
      </w:pPr>
      <w:rPr>
        <w:rFonts w:hint="default"/>
        <w:lang w:val="en-US" w:eastAsia="en-US" w:bidi="ar-SA"/>
      </w:rPr>
    </w:lvl>
    <w:lvl w:ilvl="8" w:tplc="647C7066">
      <w:numFmt w:val="bullet"/>
      <w:lvlText w:val="•"/>
      <w:lvlJc w:val="left"/>
      <w:pPr>
        <w:ind w:left="7776" w:hanging="257"/>
      </w:pPr>
      <w:rPr>
        <w:rFonts w:hint="default"/>
        <w:lang w:val="en-US" w:eastAsia="en-US" w:bidi="ar-SA"/>
      </w:rPr>
    </w:lvl>
  </w:abstractNum>
  <w:num w:numId="1" w16cid:durableId="2075463855">
    <w:abstractNumId w:val="2"/>
  </w:num>
  <w:num w:numId="2" w16cid:durableId="125051126">
    <w:abstractNumId w:val="5"/>
  </w:num>
  <w:num w:numId="3" w16cid:durableId="869611356">
    <w:abstractNumId w:val="0"/>
  </w:num>
  <w:num w:numId="4" w16cid:durableId="1833138364">
    <w:abstractNumId w:val="4"/>
  </w:num>
  <w:num w:numId="5" w16cid:durableId="966468632">
    <w:abstractNumId w:val="1"/>
  </w:num>
  <w:num w:numId="6" w16cid:durableId="19472742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7019"/>
    <w:rsid w:val="00000948"/>
    <w:rsid w:val="00003802"/>
    <w:rsid w:val="0001322C"/>
    <w:rsid w:val="00037DD8"/>
    <w:rsid w:val="0004318D"/>
    <w:rsid w:val="000513B4"/>
    <w:rsid w:val="000867E8"/>
    <w:rsid w:val="00087971"/>
    <w:rsid w:val="000B795D"/>
    <w:rsid w:val="000E1E77"/>
    <w:rsid w:val="000E1FDD"/>
    <w:rsid w:val="000F6909"/>
    <w:rsid w:val="000F6BE0"/>
    <w:rsid w:val="00110173"/>
    <w:rsid w:val="00117D1D"/>
    <w:rsid w:val="00167169"/>
    <w:rsid w:val="00173D9C"/>
    <w:rsid w:val="00175087"/>
    <w:rsid w:val="00190870"/>
    <w:rsid w:val="00195A70"/>
    <w:rsid w:val="001A788C"/>
    <w:rsid w:val="001C475F"/>
    <w:rsid w:val="001E1B18"/>
    <w:rsid w:val="001F6B4A"/>
    <w:rsid w:val="00207D83"/>
    <w:rsid w:val="002777E6"/>
    <w:rsid w:val="00294ED6"/>
    <w:rsid w:val="002A71EC"/>
    <w:rsid w:val="002C6F45"/>
    <w:rsid w:val="002C7510"/>
    <w:rsid w:val="002D54D8"/>
    <w:rsid w:val="002F77B5"/>
    <w:rsid w:val="00304078"/>
    <w:rsid w:val="00356192"/>
    <w:rsid w:val="00363E70"/>
    <w:rsid w:val="003767C1"/>
    <w:rsid w:val="003935C3"/>
    <w:rsid w:val="003C756E"/>
    <w:rsid w:val="003D4DA7"/>
    <w:rsid w:val="003D78E6"/>
    <w:rsid w:val="00405323"/>
    <w:rsid w:val="00407267"/>
    <w:rsid w:val="00416014"/>
    <w:rsid w:val="00456102"/>
    <w:rsid w:val="0049370B"/>
    <w:rsid w:val="00515AE6"/>
    <w:rsid w:val="00517C13"/>
    <w:rsid w:val="00532C74"/>
    <w:rsid w:val="00547B58"/>
    <w:rsid w:val="00587944"/>
    <w:rsid w:val="005A4F11"/>
    <w:rsid w:val="005D00CC"/>
    <w:rsid w:val="005E4AD7"/>
    <w:rsid w:val="00607499"/>
    <w:rsid w:val="00610725"/>
    <w:rsid w:val="00623AEB"/>
    <w:rsid w:val="0064161A"/>
    <w:rsid w:val="006940F8"/>
    <w:rsid w:val="00697858"/>
    <w:rsid w:val="006A243B"/>
    <w:rsid w:val="006A554F"/>
    <w:rsid w:val="006B3686"/>
    <w:rsid w:val="00710611"/>
    <w:rsid w:val="00720C16"/>
    <w:rsid w:val="00726870"/>
    <w:rsid w:val="007513F2"/>
    <w:rsid w:val="00785EDE"/>
    <w:rsid w:val="007A568F"/>
    <w:rsid w:val="007E6F4D"/>
    <w:rsid w:val="007F30BF"/>
    <w:rsid w:val="0083123F"/>
    <w:rsid w:val="00870045"/>
    <w:rsid w:val="008D2BF8"/>
    <w:rsid w:val="008D4945"/>
    <w:rsid w:val="008E318F"/>
    <w:rsid w:val="008E7DCB"/>
    <w:rsid w:val="0091535B"/>
    <w:rsid w:val="00922BD0"/>
    <w:rsid w:val="009646B1"/>
    <w:rsid w:val="009906EA"/>
    <w:rsid w:val="009A7444"/>
    <w:rsid w:val="009B73B1"/>
    <w:rsid w:val="009D446F"/>
    <w:rsid w:val="009F1894"/>
    <w:rsid w:val="00A5119E"/>
    <w:rsid w:val="00A57019"/>
    <w:rsid w:val="00A64DC1"/>
    <w:rsid w:val="00A67F67"/>
    <w:rsid w:val="00A70630"/>
    <w:rsid w:val="00A76D92"/>
    <w:rsid w:val="00A76E3E"/>
    <w:rsid w:val="00AA4804"/>
    <w:rsid w:val="00AB1E4F"/>
    <w:rsid w:val="00AD13BE"/>
    <w:rsid w:val="00AF6E76"/>
    <w:rsid w:val="00AF7AFF"/>
    <w:rsid w:val="00B2083C"/>
    <w:rsid w:val="00B21370"/>
    <w:rsid w:val="00B32AA0"/>
    <w:rsid w:val="00B76685"/>
    <w:rsid w:val="00B812A3"/>
    <w:rsid w:val="00B96160"/>
    <w:rsid w:val="00BB1E71"/>
    <w:rsid w:val="00BF4F3F"/>
    <w:rsid w:val="00C300E5"/>
    <w:rsid w:val="00C33FF7"/>
    <w:rsid w:val="00C574D0"/>
    <w:rsid w:val="00C83CF7"/>
    <w:rsid w:val="00C86DC7"/>
    <w:rsid w:val="00CB2220"/>
    <w:rsid w:val="00CC0D0E"/>
    <w:rsid w:val="00CC53F2"/>
    <w:rsid w:val="00D12054"/>
    <w:rsid w:val="00D211E2"/>
    <w:rsid w:val="00D43785"/>
    <w:rsid w:val="00D516D0"/>
    <w:rsid w:val="00D90012"/>
    <w:rsid w:val="00DB0FB5"/>
    <w:rsid w:val="00DB3C44"/>
    <w:rsid w:val="00DC0518"/>
    <w:rsid w:val="00E17A7A"/>
    <w:rsid w:val="00E24AAB"/>
    <w:rsid w:val="00E3027B"/>
    <w:rsid w:val="00E55120"/>
    <w:rsid w:val="00E67C3A"/>
    <w:rsid w:val="00E75D4A"/>
    <w:rsid w:val="00E8714A"/>
    <w:rsid w:val="00EB25A1"/>
    <w:rsid w:val="00EC5B27"/>
    <w:rsid w:val="00EE4717"/>
    <w:rsid w:val="00EF6F57"/>
    <w:rsid w:val="00F07DE8"/>
    <w:rsid w:val="00F10488"/>
    <w:rsid w:val="00F52011"/>
    <w:rsid w:val="00F539A2"/>
    <w:rsid w:val="00F643AE"/>
    <w:rsid w:val="00F86EE3"/>
    <w:rsid w:val="00FB0386"/>
    <w:rsid w:val="00FF2E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D715F"/>
  <w15:chartTrackingRefBased/>
  <w15:docId w15:val="{6DFA9200-863C-4460-854B-D5786F3F0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0"/>
    <w:pPr>
      <w:widowControl w:val="0"/>
      <w:autoSpaceDE w:val="0"/>
      <w:autoSpaceDN w:val="0"/>
      <w:spacing w:after="0" w:line="240" w:lineRule="auto"/>
    </w:pPr>
    <w:rPr>
      <w:rFonts w:ascii="Times New Roman" w:hAnsi="Times New Roman"/>
      <w:lang w:val="en-US"/>
    </w:rPr>
  </w:style>
  <w:style w:type="paragraph" w:styleId="Heading1">
    <w:name w:val="heading 1"/>
    <w:basedOn w:val="Normal"/>
    <w:link w:val="Heading1Char"/>
    <w:uiPriority w:val="9"/>
    <w:qFormat/>
    <w:rsid w:val="00195A70"/>
    <w:pPr>
      <w:ind w:left="1326"/>
      <w:jc w:val="center"/>
      <w:outlineLvl w:val="0"/>
    </w:pPr>
    <w:rPr>
      <w:rFonts w:eastAsia="Times New Roman" w:cs="Times New Roman"/>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195A70"/>
    <w:pPr>
      <w:spacing w:line="275" w:lineRule="exact"/>
      <w:ind w:left="110"/>
    </w:pPr>
    <w:rPr>
      <w:rFonts w:eastAsia="Times New Roman" w:cs="Times New Roman"/>
    </w:rPr>
  </w:style>
  <w:style w:type="character" w:customStyle="1" w:styleId="Heading1Char">
    <w:name w:val="Heading 1 Char"/>
    <w:basedOn w:val="DefaultParagraphFont"/>
    <w:link w:val="Heading1"/>
    <w:uiPriority w:val="9"/>
    <w:rsid w:val="00195A70"/>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195A70"/>
    <w:rPr>
      <w:rFonts w:eastAsia="Times New Roman" w:cs="Times New Roman"/>
      <w:sz w:val="24"/>
      <w:szCs w:val="24"/>
    </w:rPr>
  </w:style>
  <w:style w:type="character" w:customStyle="1" w:styleId="BodyTextChar">
    <w:name w:val="Body Text Char"/>
    <w:basedOn w:val="DefaultParagraphFont"/>
    <w:link w:val="BodyText"/>
    <w:uiPriority w:val="1"/>
    <w:rsid w:val="00195A70"/>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95A70"/>
    <w:pPr>
      <w:ind w:left="684" w:hanging="361"/>
    </w:pPr>
    <w:rPr>
      <w:rFonts w:eastAsia="Times New Roman" w:cs="Times New Roman"/>
    </w:rPr>
  </w:style>
  <w:style w:type="table" w:styleId="TableGrid">
    <w:name w:val="Table Grid"/>
    <w:basedOn w:val="TableNormal"/>
    <w:uiPriority w:val="39"/>
    <w:rsid w:val="00B208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B2083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B208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ibliography">
    <w:name w:val="Bibliography"/>
    <w:basedOn w:val="Normal"/>
    <w:next w:val="Normal"/>
    <w:uiPriority w:val="37"/>
    <w:unhideWhenUsed/>
    <w:rsid w:val="00416014"/>
  </w:style>
  <w:style w:type="paragraph" w:styleId="NoSpacing">
    <w:name w:val="No Spacing"/>
    <w:link w:val="NoSpacingChar"/>
    <w:uiPriority w:val="1"/>
    <w:qFormat/>
    <w:rsid w:val="00D90012"/>
    <w:pPr>
      <w:spacing w:after="0" w:line="240" w:lineRule="auto"/>
    </w:pPr>
    <w:rPr>
      <w:kern w:val="0"/>
      <w:szCs w:val="20"/>
      <w:lang w:bidi="hi-IN"/>
    </w:rPr>
  </w:style>
  <w:style w:type="character" w:customStyle="1" w:styleId="NoSpacingChar">
    <w:name w:val="No Spacing Char"/>
    <w:basedOn w:val="DefaultParagraphFont"/>
    <w:link w:val="NoSpacing"/>
    <w:uiPriority w:val="1"/>
    <w:rsid w:val="00D90012"/>
    <w:rPr>
      <w:kern w:val="0"/>
      <w:szCs w:val="20"/>
      <w:lang w:bidi="hi-IN"/>
    </w:rPr>
  </w:style>
  <w:style w:type="character" w:styleId="Hyperlink">
    <w:name w:val="Hyperlink"/>
    <w:basedOn w:val="DefaultParagraphFont"/>
    <w:uiPriority w:val="99"/>
    <w:unhideWhenUsed/>
    <w:rsid w:val="00D900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956514">
      <w:bodyDiv w:val="1"/>
      <w:marLeft w:val="0"/>
      <w:marRight w:val="0"/>
      <w:marTop w:val="0"/>
      <w:marBottom w:val="0"/>
      <w:divBdr>
        <w:top w:val="none" w:sz="0" w:space="0" w:color="auto"/>
        <w:left w:val="none" w:sz="0" w:space="0" w:color="auto"/>
        <w:bottom w:val="none" w:sz="0" w:space="0" w:color="auto"/>
        <w:right w:val="none" w:sz="0" w:space="0" w:color="auto"/>
      </w:divBdr>
    </w:div>
    <w:div w:id="250088427">
      <w:bodyDiv w:val="1"/>
      <w:marLeft w:val="0"/>
      <w:marRight w:val="0"/>
      <w:marTop w:val="0"/>
      <w:marBottom w:val="0"/>
      <w:divBdr>
        <w:top w:val="none" w:sz="0" w:space="0" w:color="auto"/>
        <w:left w:val="none" w:sz="0" w:space="0" w:color="auto"/>
        <w:bottom w:val="none" w:sz="0" w:space="0" w:color="auto"/>
        <w:right w:val="none" w:sz="0" w:space="0" w:color="auto"/>
      </w:divBdr>
    </w:div>
    <w:div w:id="463961492">
      <w:bodyDiv w:val="1"/>
      <w:marLeft w:val="0"/>
      <w:marRight w:val="0"/>
      <w:marTop w:val="0"/>
      <w:marBottom w:val="0"/>
      <w:divBdr>
        <w:top w:val="none" w:sz="0" w:space="0" w:color="auto"/>
        <w:left w:val="none" w:sz="0" w:space="0" w:color="auto"/>
        <w:bottom w:val="none" w:sz="0" w:space="0" w:color="auto"/>
        <w:right w:val="none" w:sz="0" w:space="0" w:color="auto"/>
      </w:divBdr>
    </w:div>
    <w:div w:id="1013146813">
      <w:bodyDiv w:val="1"/>
      <w:marLeft w:val="0"/>
      <w:marRight w:val="0"/>
      <w:marTop w:val="0"/>
      <w:marBottom w:val="0"/>
      <w:divBdr>
        <w:top w:val="none" w:sz="0" w:space="0" w:color="auto"/>
        <w:left w:val="none" w:sz="0" w:space="0" w:color="auto"/>
        <w:bottom w:val="none" w:sz="0" w:space="0" w:color="auto"/>
        <w:right w:val="none" w:sz="0" w:space="0" w:color="auto"/>
      </w:divBdr>
    </w:div>
    <w:div w:id="1101875278">
      <w:bodyDiv w:val="1"/>
      <w:marLeft w:val="0"/>
      <w:marRight w:val="0"/>
      <w:marTop w:val="0"/>
      <w:marBottom w:val="0"/>
      <w:divBdr>
        <w:top w:val="none" w:sz="0" w:space="0" w:color="auto"/>
        <w:left w:val="none" w:sz="0" w:space="0" w:color="auto"/>
        <w:bottom w:val="none" w:sz="0" w:space="0" w:color="auto"/>
        <w:right w:val="none" w:sz="0" w:space="0" w:color="auto"/>
      </w:divBdr>
    </w:div>
    <w:div w:id="1249078158">
      <w:bodyDiv w:val="1"/>
      <w:marLeft w:val="0"/>
      <w:marRight w:val="0"/>
      <w:marTop w:val="0"/>
      <w:marBottom w:val="0"/>
      <w:divBdr>
        <w:top w:val="none" w:sz="0" w:space="0" w:color="auto"/>
        <w:left w:val="none" w:sz="0" w:space="0" w:color="auto"/>
        <w:bottom w:val="none" w:sz="0" w:space="0" w:color="auto"/>
        <w:right w:val="none" w:sz="0" w:space="0" w:color="auto"/>
      </w:divBdr>
    </w:div>
    <w:div w:id="1269049704">
      <w:bodyDiv w:val="1"/>
      <w:marLeft w:val="0"/>
      <w:marRight w:val="0"/>
      <w:marTop w:val="0"/>
      <w:marBottom w:val="0"/>
      <w:divBdr>
        <w:top w:val="none" w:sz="0" w:space="0" w:color="auto"/>
        <w:left w:val="none" w:sz="0" w:space="0" w:color="auto"/>
        <w:bottom w:val="none" w:sz="0" w:space="0" w:color="auto"/>
        <w:right w:val="none" w:sz="0" w:space="0" w:color="auto"/>
      </w:divBdr>
    </w:div>
    <w:div w:id="1580868097">
      <w:bodyDiv w:val="1"/>
      <w:marLeft w:val="0"/>
      <w:marRight w:val="0"/>
      <w:marTop w:val="0"/>
      <w:marBottom w:val="0"/>
      <w:divBdr>
        <w:top w:val="none" w:sz="0" w:space="0" w:color="auto"/>
        <w:left w:val="none" w:sz="0" w:space="0" w:color="auto"/>
        <w:bottom w:val="none" w:sz="0" w:space="0" w:color="auto"/>
        <w:right w:val="none" w:sz="0" w:space="0" w:color="auto"/>
      </w:divBdr>
    </w:div>
    <w:div w:id="1614943023">
      <w:bodyDiv w:val="1"/>
      <w:marLeft w:val="0"/>
      <w:marRight w:val="0"/>
      <w:marTop w:val="0"/>
      <w:marBottom w:val="0"/>
      <w:divBdr>
        <w:top w:val="none" w:sz="0" w:space="0" w:color="auto"/>
        <w:left w:val="none" w:sz="0" w:space="0" w:color="auto"/>
        <w:bottom w:val="none" w:sz="0" w:space="0" w:color="auto"/>
        <w:right w:val="none" w:sz="0" w:space="0" w:color="auto"/>
      </w:divBdr>
    </w:div>
    <w:div w:id="1634561726">
      <w:bodyDiv w:val="1"/>
      <w:marLeft w:val="0"/>
      <w:marRight w:val="0"/>
      <w:marTop w:val="0"/>
      <w:marBottom w:val="0"/>
      <w:divBdr>
        <w:top w:val="none" w:sz="0" w:space="0" w:color="auto"/>
        <w:left w:val="none" w:sz="0" w:space="0" w:color="auto"/>
        <w:bottom w:val="none" w:sz="0" w:space="0" w:color="auto"/>
        <w:right w:val="none" w:sz="0" w:space="0" w:color="auto"/>
      </w:divBdr>
    </w:div>
    <w:div w:id="20348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PhD%20Documents\pmegp%20data\pmegp%20kvic%2017-18.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hD%20Documents\pmegp%20data\pmegp%20kvic%2017-18.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r>
              <a:rPr lang="en-IN">
                <a:latin typeface="+mj-lt"/>
              </a:rPr>
              <a:t>During Finacial Year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col"/>
        <c:grouping val="clustered"/>
        <c:varyColors val="0"/>
        <c:ser>
          <c:idx val="0"/>
          <c:order val="0"/>
          <c:tx>
            <c:strRef>
              <c:f>'apli forwarded by bank'!$S$279:$S$280</c:f>
              <c:strCache>
                <c:ptCount val="2"/>
                <c:pt idx="0">
                  <c:v>During Financial Year</c:v>
                </c:pt>
                <c:pt idx="1">
                  <c:v>New</c:v>
                </c:pt>
              </c:strCache>
            </c:strRef>
          </c:tx>
          <c:spPr>
            <a:solidFill>
              <a:schemeClr val="accent1"/>
            </a:solidFill>
            <a:ln>
              <a:noFill/>
            </a:ln>
            <a:effectLst/>
          </c:spPr>
          <c:invertIfNegative val="0"/>
          <c:cat>
            <c:strRef>
              <c:f>'apli forwarded by bank'!$R$281:$R$286</c:f>
              <c:strCache>
                <c:ptCount val="6"/>
                <c:pt idx="0">
                  <c:v>2016-17</c:v>
                </c:pt>
                <c:pt idx="1">
                  <c:v>2017-18</c:v>
                </c:pt>
                <c:pt idx="2">
                  <c:v>2018-19</c:v>
                </c:pt>
                <c:pt idx="3">
                  <c:v>2019-20</c:v>
                </c:pt>
                <c:pt idx="4">
                  <c:v>2020-21</c:v>
                </c:pt>
                <c:pt idx="5">
                  <c:v>2021-22</c:v>
                </c:pt>
              </c:strCache>
            </c:strRef>
          </c:cat>
          <c:val>
            <c:numRef>
              <c:f>'apli forwarded by bank'!$S$281:$S$286</c:f>
              <c:numCache>
                <c:formatCode>General</c:formatCode>
                <c:ptCount val="6"/>
                <c:pt idx="0">
                  <c:v>205</c:v>
                </c:pt>
                <c:pt idx="1">
                  <c:v>346</c:v>
                </c:pt>
                <c:pt idx="2">
                  <c:v>1883</c:v>
                </c:pt>
                <c:pt idx="3">
                  <c:v>1673</c:v>
                </c:pt>
                <c:pt idx="4">
                  <c:v>970</c:v>
                </c:pt>
                <c:pt idx="5">
                  <c:v>934</c:v>
                </c:pt>
              </c:numCache>
            </c:numRef>
          </c:val>
          <c:extLst>
            <c:ext xmlns:c16="http://schemas.microsoft.com/office/drawing/2014/chart" uri="{C3380CC4-5D6E-409C-BE32-E72D297353CC}">
              <c16:uniqueId val="{00000000-2C8A-496C-91FB-E1B2A8416D2D}"/>
            </c:ext>
          </c:extLst>
        </c:ser>
        <c:ser>
          <c:idx val="1"/>
          <c:order val="1"/>
          <c:tx>
            <c:strRef>
              <c:f>'apli forwarded by bank'!$T$279:$T$280</c:f>
              <c:strCache>
                <c:ptCount val="2"/>
                <c:pt idx="0">
                  <c:v>During Financial Year</c:v>
                </c:pt>
                <c:pt idx="1">
                  <c:v>Pre NRLM revived</c:v>
                </c:pt>
              </c:strCache>
            </c:strRef>
          </c:tx>
          <c:spPr>
            <a:solidFill>
              <a:schemeClr val="accent2"/>
            </a:solidFill>
            <a:ln>
              <a:noFill/>
            </a:ln>
            <a:effectLst/>
          </c:spPr>
          <c:invertIfNegative val="0"/>
          <c:cat>
            <c:strRef>
              <c:f>'apli forwarded by bank'!$R$281:$R$286</c:f>
              <c:strCache>
                <c:ptCount val="6"/>
                <c:pt idx="0">
                  <c:v>2016-17</c:v>
                </c:pt>
                <c:pt idx="1">
                  <c:v>2017-18</c:v>
                </c:pt>
                <c:pt idx="2">
                  <c:v>2018-19</c:v>
                </c:pt>
                <c:pt idx="3">
                  <c:v>2019-20</c:v>
                </c:pt>
                <c:pt idx="4">
                  <c:v>2020-21</c:v>
                </c:pt>
                <c:pt idx="5">
                  <c:v>2021-22</c:v>
                </c:pt>
              </c:strCache>
            </c:strRef>
          </c:cat>
          <c:val>
            <c:numRef>
              <c:f>'apli forwarded by bank'!$T$281:$T$286</c:f>
              <c:numCache>
                <c:formatCode>General</c:formatCode>
                <c:ptCount val="6"/>
                <c:pt idx="0">
                  <c:v>56</c:v>
                </c:pt>
                <c:pt idx="1">
                  <c:v>162</c:v>
                </c:pt>
                <c:pt idx="2">
                  <c:v>1266</c:v>
                </c:pt>
                <c:pt idx="3">
                  <c:v>906</c:v>
                </c:pt>
                <c:pt idx="4">
                  <c:v>873</c:v>
                </c:pt>
                <c:pt idx="5">
                  <c:v>695</c:v>
                </c:pt>
              </c:numCache>
            </c:numRef>
          </c:val>
          <c:extLst>
            <c:ext xmlns:c16="http://schemas.microsoft.com/office/drawing/2014/chart" uri="{C3380CC4-5D6E-409C-BE32-E72D297353CC}">
              <c16:uniqueId val="{00000001-2C8A-496C-91FB-E1B2A8416D2D}"/>
            </c:ext>
          </c:extLst>
        </c:ser>
        <c:ser>
          <c:idx val="2"/>
          <c:order val="2"/>
          <c:tx>
            <c:strRef>
              <c:f>'apli forwarded by bank'!$U$279:$U$280</c:f>
              <c:strCache>
                <c:ptCount val="2"/>
                <c:pt idx="0">
                  <c:v>During Financial Year</c:v>
                </c:pt>
                <c:pt idx="1">
                  <c:v>Total</c:v>
                </c:pt>
              </c:strCache>
            </c:strRef>
          </c:tx>
          <c:spPr>
            <a:solidFill>
              <a:schemeClr val="accent3"/>
            </a:solidFill>
            <a:ln>
              <a:noFill/>
            </a:ln>
            <a:effectLst/>
          </c:spPr>
          <c:invertIfNegative val="0"/>
          <c:cat>
            <c:strRef>
              <c:f>'apli forwarded by bank'!$R$281:$R$286</c:f>
              <c:strCache>
                <c:ptCount val="6"/>
                <c:pt idx="0">
                  <c:v>2016-17</c:v>
                </c:pt>
                <c:pt idx="1">
                  <c:v>2017-18</c:v>
                </c:pt>
                <c:pt idx="2">
                  <c:v>2018-19</c:v>
                </c:pt>
                <c:pt idx="3">
                  <c:v>2019-20</c:v>
                </c:pt>
                <c:pt idx="4">
                  <c:v>2020-21</c:v>
                </c:pt>
                <c:pt idx="5">
                  <c:v>2021-22</c:v>
                </c:pt>
              </c:strCache>
            </c:strRef>
          </c:cat>
          <c:val>
            <c:numRef>
              <c:f>'apli forwarded by bank'!$U$281:$U$286</c:f>
              <c:numCache>
                <c:formatCode>General</c:formatCode>
                <c:ptCount val="6"/>
                <c:pt idx="0">
                  <c:v>261</c:v>
                </c:pt>
                <c:pt idx="1">
                  <c:v>508</c:v>
                </c:pt>
                <c:pt idx="2">
                  <c:v>3149</c:v>
                </c:pt>
                <c:pt idx="3">
                  <c:v>2579</c:v>
                </c:pt>
                <c:pt idx="4">
                  <c:v>1843</c:v>
                </c:pt>
                <c:pt idx="5">
                  <c:v>1629</c:v>
                </c:pt>
              </c:numCache>
            </c:numRef>
          </c:val>
          <c:extLst>
            <c:ext xmlns:c16="http://schemas.microsoft.com/office/drawing/2014/chart" uri="{C3380CC4-5D6E-409C-BE32-E72D297353CC}">
              <c16:uniqueId val="{00000002-2C8A-496C-91FB-E1B2A8416D2D}"/>
            </c:ext>
          </c:extLst>
        </c:ser>
        <c:dLbls>
          <c:showLegendKey val="0"/>
          <c:showVal val="0"/>
          <c:showCatName val="0"/>
          <c:showSerName val="0"/>
          <c:showPercent val="0"/>
          <c:showBubbleSize val="0"/>
        </c:dLbls>
        <c:gapWidth val="219"/>
        <c:overlap val="-27"/>
        <c:axId val="2027896319"/>
        <c:axId val="1950430015"/>
      </c:barChart>
      <c:catAx>
        <c:axId val="20278963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n-US"/>
          </a:p>
        </c:txPr>
        <c:crossAx val="1950430015"/>
        <c:crosses val="autoZero"/>
        <c:auto val="1"/>
        <c:lblAlgn val="ctr"/>
        <c:lblOffset val="100"/>
        <c:noMultiLvlLbl val="0"/>
      </c:catAx>
      <c:valAx>
        <c:axId val="19504300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202789631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r>
              <a:rPr lang="en-IN">
                <a:latin typeface="+mj-lt"/>
              </a:rPr>
              <a:t>Cumulative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j-lt"/>
              <a:ea typeface="+mn-ea"/>
              <a:cs typeface="+mn-cs"/>
            </a:defRPr>
          </a:pPr>
          <a:endParaRPr lang="en-US"/>
        </a:p>
      </c:txPr>
    </c:title>
    <c:autoTitleDeleted val="0"/>
    <c:plotArea>
      <c:layout/>
      <c:barChart>
        <c:barDir val="col"/>
        <c:grouping val="clustered"/>
        <c:varyColors val="0"/>
        <c:ser>
          <c:idx val="0"/>
          <c:order val="0"/>
          <c:tx>
            <c:strRef>
              <c:f>'apli forwarded by bank'!$X$279:$X$280</c:f>
              <c:strCache>
                <c:ptCount val="2"/>
                <c:pt idx="0">
                  <c:v>Cumulative</c:v>
                </c:pt>
                <c:pt idx="1">
                  <c:v>New</c:v>
                </c:pt>
              </c:strCache>
            </c:strRef>
          </c:tx>
          <c:spPr>
            <a:solidFill>
              <a:schemeClr val="accent1"/>
            </a:solidFill>
            <a:ln>
              <a:noFill/>
            </a:ln>
            <a:effectLst/>
          </c:spPr>
          <c:invertIfNegative val="0"/>
          <c:cat>
            <c:strRef>
              <c:f>'apli forwarded by bank'!$W$281:$W$286</c:f>
              <c:strCache>
                <c:ptCount val="6"/>
                <c:pt idx="0">
                  <c:v>2016-17</c:v>
                </c:pt>
                <c:pt idx="1">
                  <c:v>2017-18</c:v>
                </c:pt>
                <c:pt idx="2">
                  <c:v>2018-19</c:v>
                </c:pt>
                <c:pt idx="3">
                  <c:v>2019-20</c:v>
                </c:pt>
                <c:pt idx="4">
                  <c:v>2020-21</c:v>
                </c:pt>
                <c:pt idx="5">
                  <c:v>2021-22</c:v>
                </c:pt>
              </c:strCache>
            </c:strRef>
          </c:cat>
          <c:val>
            <c:numRef>
              <c:f>'apli forwarded by bank'!$X$281:$X$286</c:f>
              <c:numCache>
                <c:formatCode>General</c:formatCode>
                <c:ptCount val="6"/>
                <c:pt idx="0">
                  <c:v>268</c:v>
                </c:pt>
                <c:pt idx="1">
                  <c:v>614</c:v>
                </c:pt>
                <c:pt idx="2">
                  <c:v>2497</c:v>
                </c:pt>
                <c:pt idx="3">
                  <c:v>4170</c:v>
                </c:pt>
                <c:pt idx="4">
                  <c:v>5140</c:v>
                </c:pt>
                <c:pt idx="5">
                  <c:v>6074</c:v>
                </c:pt>
              </c:numCache>
            </c:numRef>
          </c:val>
          <c:extLst>
            <c:ext xmlns:c16="http://schemas.microsoft.com/office/drawing/2014/chart" uri="{C3380CC4-5D6E-409C-BE32-E72D297353CC}">
              <c16:uniqueId val="{00000000-C522-4BB7-9843-577D20AEEF35}"/>
            </c:ext>
          </c:extLst>
        </c:ser>
        <c:ser>
          <c:idx val="1"/>
          <c:order val="1"/>
          <c:tx>
            <c:strRef>
              <c:f>'apli forwarded by bank'!$Y$279:$Y$280</c:f>
              <c:strCache>
                <c:ptCount val="2"/>
                <c:pt idx="0">
                  <c:v>Cumulative</c:v>
                </c:pt>
                <c:pt idx="1">
                  <c:v>Pre NRLM revived</c:v>
                </c:pt>
              </c:strCache>
            </c:strRef>
          </c:tx>
          <c:spPr>
            <a:solidFill>
              <a:schemeClr val="accent2"/>
            </a:solidFill>
            <a:ln>
              <a:noFill/>
            </a:ln>
            <a:effectLst/>
          </c:spPr>
          <c:invertIfNegative val="0"/>
          <c:cat>
            <c:strRef>
              <c:f>'apli forwarded by bank'!$W$281:$W$286</c:f>
              <c:strCache>
                <c:ptCount val="6"/>
                <c:pt idx="0">
                  <c:v>2016-17</c:v>
                </c:pt>
                <c:pt idx="1">
                  <c:v>2017-18</c:v>
                </c:pt>
                <c:pt idx="2">
                  <c:v>2018-19</c:v>
                </c:pt>
                <c:pt idx="3">
                  <c:v>2019-20</c:v>
                </c:pt>
                <c:pt idx="4">
                  <c:v>2020-21</c:v>
                </c:pt>
                <c:pt idx="5">
                  <c:v>2021-22</c:v>
                </c:pt>
              </c:strCache>
            </c:strRef>
          </c:cat>
          <c:val>
            <c:numRef>
              <c:f>'apli forwarded by bank'!$Y$281:$Y$286</c:f>
              <c:numCache>
                <c:formatCode>General</c:formatCode>
                <c:ptCount val="6"/>
                <c:pt idx="0">
                  <c:v>365</c:v>
                </c:pt>
                <c:pt idx="1">
                  <c:v>527</c:v>
                </c:pt>
                <c:pt idx="2">
                  <c:v>1793</c:v>
                </c:pt>
                <c:pt idx="3">
                  <c:v>2699</c:v>
                </c:pt>
                <c:pt idx="4">
                  <c:v>3572</c:v>
                </c:pt>
                <c:pt idx="5">
                  <c:v>4267</c:v>
                </c:pt>
              </c:numCache>
            </c:numRef>
          </c:val>
          <c:extLst>
            <c:ext xmlns:c16="http://schemas.microsoft.com/office/drawing/2014/chart" uri="{C3380CC4-5D6E-409C-BE32-E72D297353CC}">
              <c16:uniqueId val="{00000001-C522-4BB7-9843-577D20AEEF35}"/>
            </c:ext>
          </c:extLst>
        </c:ser>
        <c:ser>
          <c:idx val="2"/>
          <c:order val="2"/>
          <c:tx>
            <c:strRef>
              <c:f>'apli forwarded by bank'!$Z$279:$Z$280</c:f>
              <c:strCache>
                <c:ptCount val="2"/>
                <c:pt idx="0">
                  <c:v>Cumulative</c:v>
                </c:pt>
                <c:pt idx="1">
                  <c:v>total</c:v>
                </c:pt>
              </c:strCache>
            </c:strRef>
          </c:tx>
          <c:spPr>
            <a:solidFill>
              <a:schemeClr val="accent3"/>
            </a:solidFill>
            <a:ln>
              <a:noFill/>
            </a:ln>
            <a:effectLst/>
          </c:spPr>
          <c:invertIfNegative val="0"/>
          <c:cat>
            <c:strRef>
              <c:f>'apli forwarded by bank'!$W$281:$W$286</c:f>
              <c:strCache>
                <c:ptCount val="6"/>
                <c:pt idx="0">
                  <c:v>2016-17</c:v>
                </c:pt>
                <c:pt idx="1">
                  <c:v>2017-18</c:v>
                </c:pt>
                <c:pt idx="2">
                  <c:v>2018-19</c:v>
                </c:pt>
                <c:pt idx="3">
                  <c:v>2019-20</c:v>
                </c:pt>
                <c:pt idx="4">
                  <c:v>2020-21</c:v>
                </c:pt>
                <c:pt idx="5">
                  <c:v>2021-22</c:v>
                </c:pt>
              </c:strCache>
            </c:strRef>
          </c:cat>
          <c:val>
            <c:numRef>
              <c:f>'apli forwarded by bank'!$Z$281:$Z$286</c:f>
              <c:numCache>
                <c:formatCode>General</c:formatCode>
                <c:ptCount val="6"/>
                <c:pt idx="0">
                  <c:v>633</c:v>
                </c:pt>
                <c:pt idx="1">
                  <c:v>1141</c:v>
                </c:pt>
                <c:pt idx="2">
                  <c:v>4290</c:v>
                </c:pt>
                <c:pt idx="3">
                  <c:v>6869</c:v>
                </c:pt>
                <c:pt idx="4">
                  <c:v>8712</c:v>
                </c:pt>
                <c:pt idx="5">
                  <c:v>10341</c:v>
                </c:pt>
              </c:numCache>
            </c:numRef>
          </c:val>
          <c:extLst>
            <c:ext xmlns:c16="http://schemas.microsoft.com/office/drawing/2014/chart" uri="{C3380CC4-5D6E-409C-BE32-E72D297353CC}">
              <c16:uniqueId val="{00000002-C522-4BB7-9843-577D20AEEF35}"/>
            </c:ext>
          </c:extLst>
        </c:ser>
        <c:dLbls>
          <c:showLegendKey val="0"/>
          <c:showVal val="0"/>
          <c:showCatName val="0"/>
          <c:showSerName val="0"/>
          <c:showPercent val="0"/>
          <c:showBubbleSize val="0"/>
        </c:dLbls>
        <c:gapWidth val="219"/>
        <c:overlap val="-27"/>
        <c:axId val="2023950271"/>
        <c:axId val="1768942543"/>
      </c:barChart>
      <c:catAx>
        <c:axId val="2023950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mj-lt"/>
                <a:ea typeface="+mn-ea"/>
                <a:cs typeface="+mn-cs"/>
              </a:defRPr>
            </a:pPr>
            <a:endParaRPr lang="en-US"/>
          </a:p>
        </c:txPr>
        <c:crossAx val="1768942543"/>
        <c:crosses val="autoZero"/>
        <c:auto val="1"/>
        <c:lblAlgn val="ctr"/>
        <c:lblOffset val="100"/>
        <c:noMultiLvlLbl val="0"/>
      </c:catAx>
      <c:valAx>
        <c:axId val="1768942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crossAx val="2023950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Das21</b:Tag>
    <b:SourceType>BookSection</b:SourceType>
    <b:Guid>{DCD2C67A-27EF-4E54-BA43-B402BBAC149A}</b:Guid>
    <b:Author>
      <b:Author>
        <b:NameList>
          <b:Person>
            <b:Last>DasGupta</b:Last>
            <b:First>Manidipa</b:First>
          </b:Person>
        </b:NameList>
      </b:Author>
    </b:Author>
    <b:Title>Deendayal Antyodaya Yojana-National Rural Livelihood Mission (DAY-NRLM) and Tribal Livelihood Promotion: An Indian Experience in Pre-post COVID-19 Pandemic Era</b:Title>
    <b:JournalName>New Business Models in the Course of Global Crises in South Asia</b:JournalName>
    <b:Year>2021</b:Year>
    <b:Pages>221–241</b:Pages>
    <b:BookTitle>New Business Models in the Course of Global Crises in South Asia</b:BookTitle>
    <b:Publisher>Springer, Cham</b:Publisher>
    <b:Month>October</b:Month>
    <b:Day>20 </b:Day>
    <b:YearAccessed> 2021</b:YearAccessed>
    <b:MonthAccessed>October</b:MonthAccessed>
    <b:DayAccessed>20 </b:DayAccessed>
    <b:DOI>https://doi.org/10.1007/978-3-030-79926-7_13</b:DOI>
    <b:RefOrder>1</b:RefOrder>
  </b:Source>
  <b:Source>
    <b:Tag>Jam19</b:Tag>
    <b:SourceType>JournalArticle</b:SourceType>
    <b:Guid>{1C7E73C4-1F8C-4543-99AE-CF5581F6EC3D}</b:Guid>
    <b:Title>Rural womens’ earning through self-employment: an in-depth discussion with cases from India</b:Title>
    <b:Year>2019</b:Year>
    <b:Pages>741-751</b:Pages>
    <b:Author>
      <b:Author>
        <b:NameList>
          <b:Person>
            <b:Last>Jamaldeen</b:Last>
            <b:First>A.</b:First>
          </b:Person>
          <b:Person>
            <b:Last>Chatterjee</b:Last>
            <b:First>S.</b:First>
          </b:Person>
          <b:Person>
            <b:Last>Alphonsa</b:Last>
            <b:First>S.</b:First>
          </b:Person>
        </b:NameList>
      </b:Author>
    </b:Author>
    <b:JournalName>South Eastern University of Sri Lanka, University Park, Oluvil, Sri Lanka.</b:JournalName>
    <b:Month>Nov</b:Month>
    <b:Day>27</b:Day>
    <b:RefOrder>2</b:RefOrder>
  </b:Source>
</b:Sources>
</file>

<file path=customXml/itemProps1.xml><?xml version="1.0" encoding="utf-8"?>
<ds:datastoreItem xmlns:ds="http://schemas.openxmlformats.org/officeDocument/2006/customXml" ds:itemID="{5E3D0BAB-C418-4608-A876-9A6A13BA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8</Pages>
  <Words>2496</Words>
  <Characters>14229</Characters>
  <Application>Microsoft Office Word</Application>
  <DocSecurity>0</DocSecurity>
  <Lines>118</Lines>
  <Paragraphs>33</Paragraphs>
  <ScaleCrop>false</ScaleCrop>
  <HeadingPairs>
    <vt:vector size="4" baseType="variant">
      <vt:variant>
        <vt:lpstr>Title</vt:lpstr>
      </vt:variant>
      <vt:variant>
        <vt:i4>1</vt:i4>
      </vt:variant>
      <vt:variant>
        <vt:lpstr>Headings</vt:lpstr>
      </vt:variant>
      <vt:variant>
        <vt:i4>38</vt:i4>
      </vt:variant>
    </vt:vector>
  </HeadingPairs>
  <TitlesOfParts>
    <vt:vector size="39" baseType="lpstr">
      <vt:lpstr/>
      <vt:lpstr>Research Methodology</vt:lpstr>
      <vt:lpstr>1. Research Type: This study adopts a descriptive research approach.</vt:lpstr>
      <vt:lpstr>2. Study Area: The study focuses on District Raigarh, situated in Chhattisgarh.</vt:lpstr>
      <vt:lpstr>3. Data Source: Secondary data is utilized for this research, sourced from the N</vt:lpstr>
      <vt:lpstr>4. Statistical Analysis: The analysis will primarily involve the use of tables a</vt:lpstr>
      <vt:lpstr/>
      <vt:lpstr>Study Limitations:</vt:lpstr>
      <vt:lpstr>• The study relies on data spanning from 2017-18 to 2021-22.</vt:lpstr>
      <vt:lpstr>• The research is specific to the state of Chhattisgarh.</vt:lpstr>
      <vt:lpstr>• District Raigarh is the chosen focal point.</vt:lpstr>
      <vt:lpstr>• Data originates from DAY-NRLM schemes.</vt:lpstr>
      <vt:lpstr>• Data extraction is based on information from the NRLM website (nrlm.gov.in).</vt:lpstr>
      <vt:lpstr>• The study confronts constraints in terms of available financial resources, tim</vt:lpstr>
      <vt:lpstr>Findings:</vt:lpstr>
      <vt:lpstr/>
      <vt:lpstr>Total SHGs promoted under Day-NRLM</vt:lpstr>
      <vt:lpstr/>
      <vt:lpstr/>
      <vt:lpstr/>
      <vt:lpstr>Number of SHGs (Self-Help Groups): The table displays the number of SHGs for eac</vt:lpstr>
      <vt:lpstr>Yearly Trends: Over the years, there is a noticeable fluctuation in the number o</vt:lpstr>
      <vt:lpstr>Cumulative SHGs: The table also provides cumulative data, indicating the total n</vt:lpstr>
      <vt:lpstr>Contribution of "Pre-NRLM-Revived" SHGs: The "Pre-NRLM revived" category represe</vt:lpstr>
      <vt:lpstr>Overall Growth: The cumulative total of SHGs has consistently grown, showcasing </vt:lpstr>
      <vt:lpstr>Trend Analysis: It is essential to analyze the reasons behind the fluctuations a</vt:lpstr>
      <vt:lpstr>These findings indicate the dynamic nature of SHG formation and revival, reflect</vt:lpstr>
      <vt:lpstr>Conclusion </vt:lpstr>
      <vt:lpstr>The analysis of the data pertaining to Self-Help Groups (SHGs) reveals several k</vt:lpstr>
      <vt:lpstr>Suggestion</vt:lpstr>
      <vt:lpstr>1. Targeted Support During Decreases:</vt:lpstr>
      <vt:lpstr>During years when there is a decline in the number of SHGs, consider implementin</vt:lpstr>
      <vt:lpstr>2. Long-Term Sustainability Planning:</vt:lpstr>
      <vt:lpstr>Develop a comprehensive sustainability plan to ensure the continued growth of SH</vt:lpstr>
      <vt:lpstr>3. Stakeholder Collaboration for Effective Trend Analysis:</vt:lpstr>
      <vt:lpstr>Collaborate with stakeholders, including SHG members, community leaders, and dev</vt:lpstr>
      <vt:lpstr>By implementing these suggestions, the program can maximize the positive impact </vt:lpstr>
      <vt:lpstr>&lt;References</vt:lpstr>
      <vt:lpstr/>
    </vt:vector>
  </TitlesOfParts>
  <Company/>
  <LinksUpToDate>false</LinksUpToDate>
  <CharactersWithSpaces>16692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DEEPSHIKHA PATEL</cp:lastModifiedBy>
  <cp:revision>27</cp:revision>
  <dcterms:created xsi:type="dcterms:W3CDTF">2023-10-02T15:54:00Z</dcterms:created>
  <dcterms:modified xsi:type="dcterms:W3CDTF">2024-10-02T13:34:00Z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a5133c1a-b9ab-49a4-9abc-8390164aef71</vt:lpwstr>
  </property>
</Properties>
</file>