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2B89" w14:textId="24521838" w:rsidR="00C00449" w:rsidRPr="009D3282" w:rsidRDefault="00A96028" w:rsidP="00EC4336">
      <w:pPr>
        <w:spacing w:after="0" w:line="360" w:lineRule="auto"/>
        <w:jc w:val="center"/>
        <w:rPr>
          <w:rFonts w:ascii="Times New Roman" w:hAnsi="Times New Roman" w:cs="Times New Roman"/>
          <w:b/>
          <w:bCs/>
          <w:sz w:val="28"/>
          <w:szCs w:val="28"/>
        </w:rPr>
      </w:pPr>
      <w:r w:rsidRPr="009D3282">
        <w:rPr>
          <w:rFonts w:ascii="Times New Roman" w:hAnsi="Times New Roman" w:cs="Times New Roman"/>
          <w:b/>
          <w:bCs/>
          <w:sz w:val="28"/>
          <w:szCs w:val="28"/>
        </w:rPr>
        <w:t>“Capital</w:t>
      </w:r>
      <w:r w:rsidR="00C00449" w:rsidRPr="009D3282">
        <w:rPr>
          <w:rFonts w:ascii="Times New Roman" w:hAnsi="Times New Roman" w:cs="Times New Roman"/>
          <w:b/>
          <w:bCs/>
          <w:sz w:val="28"/>
          <w:szCs w:val="28"/>
        </w:rPr>
        <w:t xml:space="preserve"> Adequacy and NPA Resilience in Public Sector Banks</w:t>
      </w:r>
      <w:r w:rsidRPr="009D3282">
        <w:rPr>
          <w:rFonts w:ascii="Times New Roman" w:hAnsi="Times New Roman" w:cs="Times New Roman"/>
          <w:b/>
          <w:bCs/>
          <w:sz w:val="28"/>
          <w:szCs w:val="28"/>
        </w:rPr>
        <w:t>”</w:t>
      </w:r>
    </w:p>
    <w:p w14:paraId="3C94DACC" w14:textId="1E5A3A0C" w:rsidR="00C00449" w:rsidRDefault="00C00449" w:rsidP="00EC4336">
      <w:pPr>
        <w:spacing w:after="0" w:line="360" w:lineRule="auto"/>
        <w:jc w:val="both"/>
        <w:rPr>
          <w:rFonts w:ascii="Times New Roman" w:hAnsi="Times New Roman" w:cs="Times New Roman"/>
          <w:b/>
          <w:bCs/>
          <w:sz w:val="24"/>
          <w:szCs w:val="24"/>
        </w:rPr>
      </w:pPr>
    </w:p>
    <w:p w14:paraId="76C544C8" w14:textId="4882D1A5" w:rsidR="00A96028" w:rsidRDefault="00AF7DED" w:rsidP="00EC4336">
      <w:pPr>
        <w:spacing w:after="0" w:line="360" w:lineRule="auto"/>
        <w:jc w:val="both"/>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EA407CA" wp14:editId="711F8361">
                <wp:simplePos x="0" y="0"/>
                <wp:positionH relativeFrom="column">
                  <wp:posOffset>3299460</wp:posOffset>
                </wp:positionH>
                <wp:positionV relativeFrom="paragraph">
                  <wp:posOffset>160020</wp:posOffset>
                </wp:positionV>
                <wp:extent cx="2583180" cy="1882140"/>
                <wp:effectExtent l="0" t="0" r="7620" b="3810"/>
                <wp:wrapNone/>
                <wp:docPr id="1413823045" name="Text Box 1"/>
                <wp:cNvGraphicFramePr/>
                <a:graphic xmlns:a="http://schemas.openxmlformats.org/drawingml/2006/main">
                  <a:graphicData uri="http://schemas.microsoft.com/office/word/2010/wordprocessingShape">
                    <wps:wsp>
                      <wps:cNvSpPr txBox="1"/>
                      <wps:spPr>
                        <a:xfrm>
                          <a:off x="0" y="0"/>
                          <a:ext cx="2583180" cy="1882140"/>
                        </a:xfrm>
                        <a:prstGeom prst="rect">
                          <a:avLst/>
                        </a:prstGeom>
                        <a:solidFill>
                          <a:schemeClr val="lt1"/>
                        </a:solidFill>
                        <a:ln w="6350">
                          <a:noFill/>
                        </a:ln>
                      </wps:spPr>
                      <wps:txbx>
                        <w:txbxContent>
                          <w:p w14:paraId="1B40936F" w14:textId="273233B9" w:rsidR="00AF7DED" w:rsidRPr="00AF7DED" w:rsidRDefault="00AF7DED">
                            <w:pPr>
                              <w:rPr>
                                <w:rFonts w:ascii="Times New Roman" w:hAnsi="Times New Roman" w:cs="Times New Roman"/>
                                <w:sz w:val="24"/>
                                <w:szCs w:val="24"/>
                                <w:lang w:val="en-US"/>
                              </w:rPr>
                            </w:pPr>
                            <w:r w:rsidRPr="00AF7DED">
                              <w:rPr>
                                <w:rFonts w:ascii="Times New Roman" w:hAnsi="Times New Roman" w:cs="Times New Roman"/>
                                <w:sz w:val="24"/>
                                <w:szCs w:val="24"/>
                                <w:lang w:val="en-US"/>
                              </w:rPr>
                              <w:t>Dr. S. BASKARAN</w:t>
                            </w:r>
                          </w:p>
                          <w:p w14:paraId="5D39E35F" w14:textId="754B40E3" w:rsidR="00AF7DED" w:rsidRPr="00AF7DED" w:rsidRDefault="00AF7DED">
                            <w:pPr>
                              <w:rPr>
                                <w:rFonts w:ascii="Times New Roman" w:hAnsi="Times New Roman" w:cs="Times New Roman"/>
                                <w:sz w:val="24"/>
                                <w:szCs w:val="24"/>
                                <w:lang w:val="en-US"/>
                              </w:rPr>
                            </w:pPr>
                            <w:r w:rsidRPr="00AF7DED">
                              <w:rPr>
                                <w:rFonts w:ascii="Times New Roman" w:hAnsi="Times New Roman" w:cs="Times New Roman"/>
                                <w:sz w:val="24"/>
                                <w:szCs w:val="24"/>
                                <w:lang w:val="en-US"/>
                              </w:rPr>
                              <w:t>Professor and HOD</w:t>
                            </w:r>
                          </w:p>
                          <w:p w14:paraId="3B83AC8B" w14:textId="61001ABF" w:rsidR="00AF7DED" w:rsidRPr="00AF7DED" w:rsidRDefault="00AF7DED">
                            <w:pPr>
                              <w:rPr>
                                <w:rFonts w:ascii="Times New Roman" w:hAnsi="Times New Roman" w:cs="Times New Roman"/>
                                <w:sz w:val="24"/>
                                <w:szCs w:val="24"/>
                                <w:lang w:val="en-US"/>
                              </w:rPr>
                            </w:pPr>
                            <w:r w:rsidRPr="00AF7DED">
                              <w:rPr>
                                <w:rFonts w:ascii="Times New Roman" w:hAnsi="Times New Roman" w:cs="Times New Roman"/>
                                <w:sz w:val="24"/>
                                <w:szCs w:val="24"/>
                                <w:lang w:val="en-US"/>
                              </w:rPr>
                              <w:t>Department of MBA</w:t>
                            </w:r>
                            <w:r>
                              <w:rPr>
                                <w:rFonts w:ascii="Times New Roman" w:hAnsi="Times New Roman" w:cs="Times New Roman"/>
                                <w:sz w:val="24"/>
                                <w:szCs w:val="24"/>
                                <w:lang w:val="en-US"/>
                              </w:rPr>
                              <w:t>,</w:t>
                            </w:r>
                          </w:p>
                          <w:p w14:paraId="43B027BD" w14:textId="77777777" w:rsidR="00AF7DED" w:rsidRPr="00AF7DED" w:rsidRDefault="00AF7DED" w:rsidP="00AF7DED">
                            <w:pPr>
                              <w:spacing w:after="0" w:line="360" w:lineRule="auto"/>
                              <w:jc w:val="both"/>
                              <w:rPr>
                                <w:rFonts w:ascii="Times New Roman" w:hAnsi="Times New Roman" w:cs="Times New Roman"/>
                                <w:sz w:val="24"/>
                                <w:szCs w:val="24"/>
                              </w:rPr>
                            </w:pPr>
                            <w:r w:rsidRPr="00AF7DED">
                              <w:rPr>
                                <w:rFonts w:ascii="Times New Roman" w:hAnsi="Times New Roman" w:cs="Times New Roman"/>
                                <w:sz w:val="24"/>
                                <w:szCs w:val="24"/>
                              </w:rPr>
                              <w:t>Dr. Ambedkar Institute of Technology</w:t>
                            </w:r>
                          </w:p>
                          <w:p w14:paraId="57F15AA5" w14:textId="77777777" w:rsidR="00AF7DED" w:rsidRDefault="00AF7DED" w:rsidP="00AF7DED">
                            <w:pPr>
                              <w:spacing w:after="0" w:line="360" w:lineRule="auto"/>
                              <w:jc w:val="both"/>
                              <w:rPr>
                                <w:rFonts w:ascii="Times New Roman" w:hAnsi="Times New Roman" w:cs="Times New Roman"/>
                                <w:sz w:val="24"/>
                                <w:szCs w:val="24"/>
                              </w:rPr>
                            </w:pPr>
                            <w:r w:rsidRPr="00AF7DED">
                              <w:rPr>
                                <w:rFonts w:ascii="Times New Roman" w:hAnsi="Times New Roman" w:cs="Times New Roman"/>
                                <w:sz w:val="24"/>
                                <w:szCs w:val="24"/>
                              </w:rPr>
                              <w:t>Bengaluru-560056, Karnataka, India</w:t>
                            </w:r>
                          </w:p>
                          <w:p w14:paraId="55848D04" w14:textId="57B33CD4" w:rsidR="00880E07" w:rsidRPr="00AF7DED" w:rsidRDefault="002268D3" w:rsidP="00AF7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ID- </w:t>
                            </w:r>
                            <w:r w:rsidR="00880E07">
                              <w:rPr>
                                <w:rFonts w:ascii="Times New Roman" w:hAnsi="Times New Roman" w:cs="Times New Roman"/>
                                <w:sz w:val="24"/>
                                <w:szCs w:val="24"/>
                              </w:rPr>
                              <w:t>rsbkaran@gmai.com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A407CA" id="_x0000_t202" coordsize="21600,21600" o:spt="202" path="m,l,21600r21600,l21600,xe">
                <v:stroke joinstyle="miter"/>
                <v:path gradientshapeok="t" o:connecttype="rect"/>
              </v:shapetype>
              <v:shape id="Text Box 1" o:spid="_x0000_s1026" type="#_x0000_t202" style="position:absolute;left:0;text-align:left;margin-left:259.8pt;margin-top:12.6pt;width:203.4pt;height:14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" fillcolor="white [3201]" stroked="f" strokeweight=".5pt">
                <v:textbox>
                  <w:txbxContent>
                    <w:p w14:paraId="1B40936F" w14:textId="273233B9" w:rsidR="00AF7DED" w:rsidRPr="00AF7DED" w:rsidRDefault="00AF7DED">
                      <w:pPr>
                        <w:rPr>
                          <w:rFonts w:ascii="Times New Roman" w:hAnsi="Times New Roman" w:cs="Times New Roman"/>
                          <w:sz w:val="24"/>
                          <w:szCs w:val="24"/>
                          <w:lang w:val="en-US"/>
                        </w:rPr>
                      </w:pPr>
                      <w:r w:rsidRPr="00AF7DED">
                        <w:rPr>
                          <w:rFonts w:ascii="Times New Roman" w:hAnsi="Times New Roman" w:cs="Times New Roman"/>
                          <w:sz w:val="24"/>
                          <w:szCs w:val="24"/>
                          <w:lang w:val="en-US"/>
                        </w:rPr>
                        <w:t>Dr. S. BASKARAN</w:t>
                      </w:r>
                    </w:p>
                    <w:p w14:paraId="5D39E35F" w14:textId="754B40E3" w:rsidR="00AF7DED" w:rsidRPr="00AF7DED" w:rsidRDefault="00AF7DED">
                      <w:pPr>
                        <w:rPr>
                          <w:rFonts w:ascii="Times New Roman" w:hAnsi="Times New Roman" w:cs="Times New Roman"/>
                          <w:sz w:val="24"/>
                          <w:szCs w:val="24"/>
                          <w:lang w:val="en-US"/>
                        </w:rPr>
                      </w:pPr>
                      <w:r w:rsidRPr="00AF7DED">
                        <w:rPr>
                          <w:rFonts w:ascii="Times New Roman" w:hAnsi="Times New Roman" w:cs="Times New Roman"/>
                          <w:sz w:val="24"/>
                          <w:szCs w:val="24"/>
                          <w:lang w:val="en-US"/>
                        </w:rPr>
                        <w:t>Professor and HOD</w:t>
                      </w:r>
                    </w:p>
                    <w:p w14:paraId="3B83AC8B" w14:textId="61001ABF" w:rsidR="00AF7DED" w:rsidRPr="00AF7DED" w:rsidRDefault="00AF7DED">
                      <w:pPr>
                        <w:rPr>
                          <w:rFonts w:ascii="Times New Roman" w:hAnsi="Times New Roman" w:cs="Times New Roman"/>
                          <w:sz w:val="24"/>
                          <w:szCs w:val="24"/>
                          <w:lang w:val="en-US"/>
                        </w:rPr>
                      </w:pPr>
                      <w:r w:rsidRPr="00AF7DED">
                        <w:rPr>
                          <w:rFonts w:ascii="Times New Roman" w:hAnsi="Times New Roman" w:cs="Times New Roman"/>
                          <w:sz w:val="24"/>
                          <w:szCs w:val="24"/>
                          <w:lang w:val="en-US"/>
                        </w:rPr>
                        <w:t>Department of MBA</w:t>
                      </w:r>
                      <w:r>
                        <w:rPr>
                          <w:rFonts w:ascii="Times New Roman" w:hAnsi="Times New Roman" w:cs="Times New Roman"/>
                          <w:sz w:val="24"/>
                          <w:szCs w:val="24"/>
                          <w:lang w:val="en-US"/>
                        </w:rPr>
                        <w:t>,</w:t>
                      </w:r>
                    </w:p>
                    <w:p w14:paraId="43B027BD" w14:textId="77777777" w:rsidR="00AF7DED" w:rsidRPr="00AF7DED" w:rsidRDefault="00AF7DED" w:rsidP="00AF7DED">
                      <w:pPr>
                        <w:spacing w:after="0" w:line="360" w:lineRule="auto"/>
                        <w:jc w:val="both"/>
                        <w:rPr>
                          <w:rFonts w:ascii="Times New Roman" w:hAnsi="Times New Roman" w:cs="Times New Roman"/>
                          <w:sz w:val="24"/>
                          <w:szCs w:val="24"/>
                        </w:rPr>
                      </w:pPr>
                      <w:r w:rsidRPr="00AF7DED">
                        <w:rPr>
                          <w:rFonts w:ascii="Times New Roman" w:hAnsi="Times New Roman" w:cs="Times New Roman"/>
                          <w:sz w:val="24"/>
                          <w:szCs w:val="24"/>
                        </w:rPr>
                        <w:t>Dr. Ambedkar Institute of Technology</w:t>
                      </w:r>
                    </w:p>
                    <w:p w14:paraId="57F15AA5" w14:textId="77777777" w:rsidR="00AF7DED" w:rsidRDefault="00AF7DED" w:rsidP="00AF7DED">
                      <w:pPr>
                        <w:spacing w:after="0" w:line="360" w:lineRule="auto"/>
                        <w:jc w:val="both"/>
                        <w:rPr>
                          <w:rFonts w:ascii="Times New Roman" w:hAnsi="Times New Roman" w:cs="Times New Roman"/>
                          <w:sz w:val="24"/>
                          <w:szCs w:val="24"/>
                        </w:rPr>
                      </w:pPr>
                      <w:r w:rsidRPr="00AF7DED">
                        <w:rPr>
                          <w:rFonts w:ascii="Times New Roman" w:hAnsi="Times New Roman" w:cs="Times New Roman"/>
                          <w:sz w:val="24"/>
                          <w:szCs w:val="24"/>
                        </w:rPr>
                        <w:t>Bengaluru-560056, Karnataka, India</w:t>
                      </w:r>
                    </w:p>
                    <w:p w14:paraId="55848D04" w14:textId="57B33CD4" w:rsidR="00880E07" w:rsidRPr="00AF7DED" w:rsidRDefault="002268D3" w:rsidP="00AF7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ID</w:t>
                      </w:r>
                      <w:r>
                        <w:rPr>
                          <w:rFonts w:ascii="Times New Roman" w:hAnsi="Times New Roman" w:cs="Times New Roman"/>
                          <w:sz w:val="24"/>
                          <w:szCs w:val="24"/>
                        </w:rPr>
                        <w:t xml:space="preserve">- </w:t>
                      </w:r>
                      <w:r w:rsidR="00880E07">
                        <w:rPr>
                          <w:rFonts w:ascii="Times New Roman" w:hAnsi="Times New Roman" w:cs="Times New Roman"/>
                          <w:sz w:val="24"/>
                          <w:szCs w:val="24"/>
                        </w:rPr>
                        <w:t>rsbkaran@gmai.com</w:t>
                      </w:r>
                    </w:p>
                  </w:txbxContent>
                </v:textbox>
              </v:shape>
            </w:pict>
          </mc:Fallback>
        </mc:AlternateContent>
      </w:r>
    </w:p>
    <w:p w14:paraId="77746AE9" w14:textId="64A9287B" w:rsidR="00A96028" w:rsidRPr="00A96028" w:rsidRDefault="00A96028" w:rsidP="00EC4336">
      <w:pPr>
        <w:spacing w:after="0" w:line="360" w:lineRule="auto"/>
        <w:jc w:val="both"/>
        <w:rPr>
          <w:rFonts w:ascii="Times New Roman" w:hAnsi="Times New Roman" w:cs="Times New Roman"/>
          <w:sz w:val="24"/>
          <w:szCs w:val="24"/>
        </w:rPr>
      </w:pPr>
      <w:r w:rsidRPr="00A96028">
        <w:rPr>
          <w:rFonts w:ascii="Times New Roman" w:hAnsi="Times New Roman" w:cs="Times New Roman"/>
          <w:sz w:val="24"/>
          <w:szCs w:val="24"/>
        </w:rPr>
        <w:t>Mr. VIKAS KUMAR SHETTY</w:t>
      </w:r>
    </w:p>
    <w:p w14:paraId="499A6D20" w14:textId="550EEC95" w:rsidR="00A96028" w:rsidRPr="00A96028" w:rsidRDefault="00A96028" w:rsidP="00EC4336">
      <w:pPr>
        <w:spacing w:after="0" w:line="360" w:lineRule="auto"/>
        <w:jc w:val="both"/>
        <w:rPr>
          <w:rFonts w:ascii="Times New Roman" w:hAnsi="Times New Roman" w:cs="Times New Roman"/>
          <w:sz w:val="24"/>
          <w:szCs w:val="24"/>
        </w:rPr>
      </w:pPr>
      <w:r w:rsidRPr="00A96028">
        <w:rPr>
          <w:rFonts w:ascii="Times New Roman" w:hAnsi="Times New Roman" w:cs="Times New Roman"/>
          <w:sz w:val="24"/>
          <w:szCs w:val="24"/>
        </w:rPr>
        <w:t>Student</w:t>
      </w:r>
    </w:p>
    <w:p w14:paraId="12388E25" w14:textId="6E41AF30" w:rsidR="00A96028" w:rsidRDefault="00A96028" w:rsidP="00EC4336">
      <w:pPr>
        <w:spacing w:after="0" w:line="360" w:lineRule="auto"/>
        <w:jc w:val="both"/>
        <w:rPr>
          <w:rFonts w:ascii="Times New Roman" w:hAnsi="Times New Roman" w:cs="Times New Roman"/>
          <w:sz w:val="24"/>
          <w:szCs w:val="24"/>
        </w:rPr>
      </w:pPr>
      <w:r w:rsidRPr="00A96028">
        <w:rPr>
          <w:rFonts w:ascii="Times New Roman" w:hAnsi="Times New Roman" w:cs="Times New Roman"/>
          <w:sz w:val="24"/>
          <w:szCs w:val="24"/>
        </w:rPr>
        <w:t>Department of MBA,</w:t>
      </w:r>
    </w:p>
    <w:p w14:paraId="0E7E7C3F" w14:textId="6701F448" w:rsidR="00A96028" w:rsidRDefault="00A96028" w:rsidP="00EC43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 Ambedkar Institute of Technology</w:t>
      </w:r>
    </w:p>
    <w:p w14:paraId="5802F59E" w14:textId="033E4209" w:rsidR="00A96028" w:rsidRDefault="00A96028" w:rsidP="00EC43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Bengaluru-560056, Karnataka, India</w:t>
      </w:r>
    </w:p>
    <w:p w14:paraId="1B84FC81" w14:textId="56025674" w:rsidR="00AF7DED" w:rsidRPr="00A96028" w:rsidRDefault="00AF7DED" w:rsidP="00EC43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E-mail ID-vikasshettyygr@gmail.com</w:t>
      </w:r>
    </w:p>
    <w:p w14:paraId="21A10CB3" w14:textId="77777777" w:rsidR="00A96028" w:rsidRPr="00EC4336" w:rsidRDefault="00A96028" w:rsidP="00EC4336">
      <w:pPr>
        <w:spacing w:after="0" w:line="360" w:lineRule="auto"/>
        <w:jc w:val="both"/>
        <w:rPr>
          <w:rFonts w:ascii="Times New Roman" w:hAnsi="Times New Roman" w:cs="Times New Roman"/>
          <w:b/>
          <w:bCs/>
          <w:sz w:val="24"/>
          <w:szCs w:val="24"/>
        </w:rPr>
      </w:pPr>
    </w:p>
    <w:p w14:paraId="02874C86" w14:textId="57679A3C" w:rsidR="00705519" w:rsidRPr="009D3282" w:rsidRDefault="00C00449" w:rsidP="00EC4336">
      <w:pPr>
        <w:spacing w:after="0" w:line="360" w:lineRule="auto"/>
        <w:jc w:val="both"/>
        <w:rPr>
          <w:rFonts w:ascii="Times New Roman" w:hAnsi="Times New Roman" w:cs="Times New Roman"/>
          <w:b/>
          <w:bCs/>
          <w:sz w:val="28"/>
          <w:szCs w:val="28"/>
        </w:rPr>
      </w:pPr>
      <w:r w:rsidRPr="009D3282">
        <w:rPr>
          <w:rFonts w:ascii="Times New Roman" w:hAnsi="Times New Roman" w:cs="Times New Roman"/>
          <w:b/>
          <w:bCs/>
          <w:sz w:val="28"/>
          <w:szCs w:val="28"/>
        </w:rPr>
        <w:t>Abstract</w:t>
      </w:r>
      <w:r w:rsidR="00705519" w:rsidRPr="009D3282">
        <w:rPr>
          <w:rFonts w:ascii="Times New Roman" w:hAnsi="Times New Roman" w:cs="Times New Roman"/>
          <w:b/>
          <w:bCs/>
          <w:sz w:val="28"/>
          <w:szCs w:val="28"/>
        </w:rPr>
        <w:t>:</w:t>
      </w:r>
    </w:p>
    <w:p w14:paraId="7AF3651A" w14:textId="2F0EFB99" w:rsidR="00C40434" w:rsidRDefault="008D706D" w:rsidP="00EC4336">
      <w:pPr>
        <w:spacing w:after="0" w:line="360" w:lineRule="auto"/>
        <w:jc w:val="both"/>
        <w:rPr>
          <w:rFonts w:ascii="Times New Roman" w:hAnsi="Times New Roman" w:cs="Times New Roman"/>
          <w:sz w:val="24"/>
          <w:szCs w:val="24"/>
        </w:rPr>
      </w:pPr>
      <w:r w:rsidRPr="008D706D">
        <w:rPr>
          <w:rFonts w:ascii="Times New Roman" w:hAnsi="Times New Roman" w:cs="Times New Roman"/>
          <w:sz w:val="24"/>
          <w:szCs w:val="24"/>
        </w:rPr>
        <w:t>This empirical study explores the pivotal relationship between capital adequacy and Non-Performing Asset (NPA) resilience within India's public sector banks. It investigates the influence of capital adequacy levels on these banks' capacity to effectively manage NPAs. Through an analysis of key NPA indicators and capital adequacy ratios, this research highlights the significance of a robust capital foundation in fortifying the financial well-being of public sector banks. Higher capital adequacy ratios are linked to enhanced NPA resilience. These findings bear substantial relevance for banking strategies and regulatory policies, underscoring the imperative of well-capitalized foundations for ensuring financial stability. In a persistently challenging NPA landscape, this study offers valuable insights to inform decision-making for banks and regulatory bodies, promoting financial resilience.</w:t>
      </w:r>
    </w:p>
    <w:p w14:paraId="71CA07E4" w14:textId="77777777" w:rsidR="009D28E3" w:rsidRDefault="009D28E3" w:rsidP="00EC4336">
      <w:pPr>
        <w:spacing w:after="0" w:line="360" w:lineRule="auto"/>
        <w:jc w:val="both"/>
        <w:rPr>
          <w:rFonts w:ascii="Times New Roman" w:hAnsi="Times New Roman" w:cs="Times New Roman"/>
          <w:sz w:val="24"/>
          <w:szCs w:val="24"/>
        </w:rPr>
      </w:pPr>
    </w:p>
    <w:p w14:paraId="1B58A336" w14:textId="36A0F587" w:rsidR="001A3908" w:rsidRDefault="009D28E3" w:rsidP="009D28E3">
      <w:pPr>
        <w:spacing w:after="0" w:line="360" w:lineRule="auto"/>
        <w:jc w:val="both"/>
        <w:rPr>
          <w:rFonts w:ascii="Times New Roman" w:hAnsi="Times New Roman" w:cs="Times New Roman"/>
          <w:sz w:val="24"/>
          <w:szCs w:val="24"/>
        </w:rPr>
      </w:pPr>
      <w:r w:rsidRPr="009D3282">
        <w:rPr>
          <w:rFonts w:ascii="Times New Roman" w:hAnsi="Times New Roman" w:cs="Times New Roman"/>
          <w:b/>
          <w:bCs/>
          <w:sz w:val="28"/>
          <w:szCs w:val="28"/>
        </w:rPr>
        <w:t>Keywords:</w:t>
      </w:r>
      <w:r>
        <w:rPr>
          <w:rFonts w:ascii="Times New Roman" w:hAnsi="Times New Roman" w:cs="Times New Roman"/>
          <w:b/>
          <w:bCs/>
          <w:sz w:val="24"/>
          <w:szCs w:val="24"/>
        </w:rPr>
        <w:t xml:space="preserve"> </w:t>
      </w:r>
      <w:r w:rsidRPr="009D28E3">
        <w:rPr>
          <w:rFonts w:ascii="Times New Roman" w:hAnsi="Times New Roman" w:cs="Times New Roman"/>
          <w:sz w:val="24"/>
          <w:szCs w:val="24"/>
        </w:rPr>
        <w:t>Capital Adequacy Ratio</w:t>
      </w:r>
      <w:r>
        <w:rPr>
          <w:rFonts w:ascii="Times New Roman" w:hAnsi="Times New Roman" w:cs="Times New Roman"/>
          <w:sz w:val="24"/>
          <w:szCs w:val="24"/>
        </w:rPr>
        <w:t xml:space="preserve">, </w:t>
      </w:r>
      <w:r w:rsidRPr="009D28E3">
        <w:rPr>
          <w:rFonts w:ascii="Times New Roman" w:hAnsi="Times New Roman" w:cs="Times New Roman"/>
          <w:sz w:val="24"/>
          <w:szCs w:val="24"/>
        </w:rPr>
        <w:t>Non-Performing Assets</w:t>
      </w:r>
      <w:r>
        <w:rPr>
          <w:rFonts w:ascii="Times New Roman" w:hAnsi="Times New Roman" w:cs="Times New Roman"/>
          <w:sz w:val="24"/>
          <w:szCs w:val="24"/>
        </w:rPr>
        <w:t xml:space="preserve">, </w:t>
      </w:r>
      <w:r w:rsidRPr="009D28E3">
        <w:rPr>
          <w:rFonts w:ascii="Times New Roman" w:hAnsi="Times New Roman" w:cs="Times New Roman"/>
          <w:sz w:val="24"/>
          <w:szCs w:val="24"/>
        </w:rPr>
        <w:t>Public Sector Banks</w:t>
      </w:r>
      <w:r>
        <w:rPr>
          <w:rFonts w:ascii="Times New Roman" w:hAnsi="Times New Roman" w:cs="Times New Roman"/>
          <w:sz w:val="24"/>
          <w:szCs w:val="24"/>
        </w:rPr>
        <w:t xml:space="preserve">, </w:t>
      </w:r>
      <w:r w:rsidRPr="009D28E3">
        <w:rPr>
          <w:rFonts w:ascii="Times New Roman" w:hAnsi="Times New Roman" w:cs="Times New Roman"/>
          <w:sz w:val="24"/>
          <w:szCs w:val="24"/>
        </w:rPr>
        <w:t>Asset Quality</w:t>
      </w:r>
      <w:r>
        <w:rPr>
          <w:rFonts w:ascii="Times New Roman" w:hAnsi="Times New Roman" w:cs="Times New Roman"/>
          <w:sz w:val="24"/>
          <w:szCs w:val="24"/>
        </w:rPr>
        <w:t xml:space="preserve">, </w:t>
      </w:r>
      <w:r w:rsidRPr="009D28E3">
        <w:rPr>
          <w:rFonts w:ascii="Times New Roman" w:hAnsi="Times New Roman" w:cs="Times New Roman"/>
          <w:sz w:val="24"/>
          <w:szCs w:val="24"/>
        </w:rPr>
        <w:t>Financial Resilience</w:t>
      </w:r>
      <w:r>
        <w:rPr>
          <w:rFonts w:ascii="Times New Roman" w:hAnsi="Times New Roman" w:cs="Times New Roman"/>
          <w:sz w:val="24"/>
          <w:szCs w:val="24"/>
        </w:rPr>
        <w:t xml:space="preserve">, Capital strength, Banking Performance, Financial </w:t>
      </w:r>
      <w:r w:rsidR="008D706D">
        <w:rPr>
          <w:rFonts w:ascii="Times New Roman" w:hAnsi="Times New Roman" w:cs="Times New Roman"/>
          <w:sz w:val="24"/>
          <w:szCs w:val="24"/>
        </w:rPr>
        <w:t>Indicators</w:t>
      </w:r>
      <w:r>
        <w:rPr>
          <w:rFonts w:ascii="Times New Roman" w:hAnsi="Times New Roman" w:cs="Times New Roman"/>
          <w:sz w:val="24"/>
          <w:szCs w:val="24"/>
        </w:rPr>
        <w:t>.</w:t>
      </w:r>
    </w:p>
    <w:p w14:paraId="330C91BA" w14:textId="77777777" w:rsidR="009D28E3" w:rsidRPr="009D3282" w:rsidRDefault="009D28E3" w:rsidP="009D28E3">
      <w:pPr>
        <w:spacing w:after="0" w:line="360" w:lineRule="auto"/>
        <w:jc w:val="both"/>
        <w:rPr>
          <w:rFonts w:ascii="Times New Roman" w:hAnsi="Times New Roman" w:cs="Times New Roman"/>
          <w:sz w:val="28"/>
          <w:szCs w:val="28"/>
        </w:rPr>
      </w:pPr>
    </w:p>
    <w:p w14:paraId="14F5BFF1" w14:textId="41D4625A" w:rsidR="00C00449" w:rsidRPr="009D3282" w:rsidRDefault="00AB13EC" w:rsidP="00EC4336">
      <w:pPr>
        <w:spacing w:after="0" w:line="360" w:lineRule="auto"/>
        <w:jc w:val="both"/>
        <w:rPr>
          <w:rFonts w:ascii="Times New Roman" w:hAnsi="Times New Roman" w:cs="Times New Roman"/>
          <w:b/>
          <w:bCs/>
          <w:sz w:val="28"/>
          <w:szCs w:val="28"/>
        </w:rPr>
      </w:pPr>
      <w:r w:rsidRPr="009D3282">
        <w:rPr>
          <w:rFonts w:ascii="Times New Roman" w:hAnsi="Times New Roman" w:cs="Times New Roman"/>
          <w:b/>
          <w:bCs/>
          <w:sz w:val="28"/>
          <w:szCs w:val="28"/>
        </w:rPr>
        <w:t>I.</w:t>
      </w:r>
      <w:r w:rsidR="00462D59" w:rsidRPr="009D3282">
        <w:rPr>
          <w:rFonts w:ascii="Times New Roman" w:hAnsi="Times New Roman" w:cs="Times New Roman"/>
          <w:b/>
          <w:bCs/>
          <w:sz w:val="28"/>
          <w:szCs w:val="28"/>
        </w:rPr>
        <w:t xml:space="preserve"> </w:t>
      </w:r>
      <w:r w:rsidR="00C00449" w:rsidRPr="009D3282">
        <w:rPr>
          <w:rFonts w:ascii="Times New Roman" w:hAnsi="Times New Roman" w:cs="Times New Roman"/>
          <w:b/>
          <w:bCs/>
          <w:sz w:val="28"/>
          <w:szCs w:val="28"/>
        </w:rPr>
        <w:t>Introduction</w:t>
      </w:r>
    </w:p>
    <w:p w14:paraId="2EAE2946" w14:textId="68A72D25" w:rsidR="00C00449" w:rsidRPr="00EC4336" w:rsidRDefault="00F45D6A" w:rsidP="00EC4336">
      <w:pPr>
        <w:spacing w:after="0" w:line="360" w:lineRule="auto"/>
        <w:jc w:val="both"/>
        <w:rPr>
          <w:rFonts w:ascii="Times New Roman" w:hAnsi="Times New Roman" w:cs="Times New Roman"/>
          <w:sz w:val="24"/>
          <w:szCs w:val="24"/>
        </w:rPr>
      </w:pPr>
      <w:r w:rsidRPr="00EC4336">
        <w:rPr>
          <w:rFonts w:ascii="Times New Roman" w:hAnsi="Times New Roman" w:cs="Times New Roman"/>
          <w:sz w:val="24"/>
          <w:szCs w:val="24"/>
        </w:rPr>
        <w:t>India's banking sector is the backbone of its economic stability and growth, serving as the primary channel for capital allocation and financial intermediation. Within this critical landscape, the prudent management of Non-Performing Assets stands as a central challenge and priority. NPAs, often comprising loans that have ceased to generate interest income or repayments, can erode a bank's capital base, compromise financial stability, and hinder its ability to support economic growth. As such, understanding the dynamics of NPA management is paramount.</w:t>
      </w:r>
    </w:p>
    <w:p w14:paraId="03631480" w14:textId="77777777" w:rsidR="00FA74BA" w:rsidRPr="00EC4336" w:rsidRDefault="00FA74BA" w:rsidP="00EC4336">
      <w:pPr>
        <w:spacing w:after="0" w:line="360" w:lineRule="auto"/>
        <w:jc w:val="both"/>
        <w:rPr>
          <w:rFonts w:ascii="Times New Roman" w:hAnsi="Times New Roman" w:cs="Times New Roman"/>
          <w:sz w:val="12"/>
          <w:szCs w:val="12"/>
        </w:rPr>
      </w:pPr>
    </w:p>
    <w:p w14:paraId="5AE5AC49" w14:textId="7D5A661F" w:rsidR="00F45D6A" w:rsidRPr="00EC4336" w:rsidRDefault="00F45D6A" w:rsidP="00EC4336">
      <w:pPr>
        <w:spacing w:after="0" w:line="360" w:lineRule="auto"/>
        <w:jc w:val="both"/>
        <w:rPr>
          <w:rFonts w:ascii="Times New Roman" w:hAnsi="Times New Roman" w:cs="Times New Roman"/>
          <w:sz w:val="24"/>
          <w:szCs w:val="24"/>
        </w:rPr>
      </w:pPr>
      <w:r w:rsidRPr="00EC4336">
        <w:rPr>
          <w:rFonts w:ascii="Times New Roman" w:hAnsi="Times New Roman" w:cs="Times New Roman"/>
          <w:sz w:val="24"/>
          <w:szCs w:val="24"/>
        </w:rPr>
        <w:t xml:space="preserve">Central to this challenge is the idea of "capital adequacy," which essentially means how much financial cushion a bank has to handle losses, including those caused by loans that borrowers aren't paying back. It's like having savings to cover unexpected expenses without risking the bank's stability or the money of its customers. The Reserve Bank of India (RBI) regulates this through something called "Capital Adequacy Ratios" (CAR), which ensure banks have enough financial strength based on the risks they take. </w:t>
      </w:r>
    </w:p>
    <w:p w14:paraId="038AA078" w14:textId="77777777" w:rsidR="00FA74BA" w:rsidRPr="00EC4336" w:rsidRDefault="00FA74BA" w:rsidP="00EC4336">
      <w:pPr>
        <w:spacing w:after="0" w:line="360" w:lineRule="auto"/>
        <w:jc w:val="both"/>
        <w:rPr>
          <w:rFonts w:ascii="Times New Roman" w:hAnsi="Times New Roman" w:cs="Times New Roman"/>
          <w:sz w:val="12"/>
          <w:szCs w:val="12"/>
        </w:rPr>
      </w:pPr>
    </w:p>
    <w:p w14:paraId="295B54A6" w14:textId="4ADFD4C3" w:rsidR="001A3908" w:rsidRDefault="008D706D" w:rsidP="00EC4336">
      <w:pPr>
        <w:spacing w:after="0" w:line="360" w:lineRule="auto"/>
        <w:jc w:val="both"/>
        <w:rPr>
          <w:rFonts w:ascii="Times New Roman" w:hAnsi="Times New Roman" w:cs="Times New Roman"/>
          <w:sz w:val="24"/>
          <w:szCs w:val="24"/>
        </w:rPr>
      </w:pPr>
      <w:r w:rsidRPr="008D706D">
        <w:rPr>
          <w:rFonts w:ascii="Times New Roman" w:hAnsi="Times New Roman" w:cs="Times New Roman"/>
          <w:sz w:val="24"/>
          <w:szCs w:val="24"/>
        </w:rPr>
        <w:t>This empirical research seeks to address this critical gap by shedding light on how capital adequacy shapes the ability of public sector banks to effectively manage and withstand NPA challenges. Through meticulous examination of key NPA indicators and CAR, this study aims to provide insights into the central role of a robust capital foundation in preserving the financial health of public banks.</w:t>
      </w:r>
    </w:p>
    <w:p w14:paraId="36E4FBAB" w14:textId="77777777" w:rsidR="008D706D" w:rsidRDefault="008D706D" w:rsidP="00EC4336">
      <w:pPr>
        <w:spacing w:after="0" w:line="360" w:lineRule="auto"/>
        <w:jc w:val="both"/>
        <w:rPr>
          <w:rFonts w:ascii="Times New Roman" w:hAnsi="Times New Roman" w:cs="Times New Roman"/>
          <w:b/>
          <w:bCs/>
          <w:sz w:val="24"/>
          <w:szCs w:val="24"/>
        </w:rPr>
      </w:pPr>
    </w:p>
    <w:p w14:paraId="6C429D2A" w14:textId="3E92035E" w:rsidR="009D28E3" w:rsidRPr="009D3282" w:rsidRDefault="009D28E3" w:rsidP="009D28E3">
      <w:pPr>
        <w:spacing w:after="0" w:line="360" w:lineRule="auto"/>
        <w:jc w:val="both"/>
        <w:rPr>
          <w:rFonts w:ascii="Times New Roman" w:hAnsi="Times New Roman" w:cs="Times New Roman"/>
          <w:b/>
          <w:bCs/>
          <w:sz w:val="28"/>
          <w:szCs w:val="28"/>
        </w:rPr>
      </w:pPr>
      <w:r w:rsidRPr="009D3282">
        <w:rPr>
          <w:rFonts w:ascii="Times New Roman" w:hAnsi="Times New Roman" w:cs="Times New Roman"/>
          <w:b/>
          <w:bCs/>
          <w:sz w:val="28"/>
          <w:szCs w:val="28"/>
        </w:rPr>
        <w:t xml:space="preserve">II. </w:t>
      </w:r>
      <w:r w:rsidR="005F487E" w:rsidRPr="005F487E">
        <w:rPr>
          <w:rFonts w:ascii="Times New Roman" w:hAnsi="Times New Roman" w:cs="Times New Roman"/>
          <w:b/>
          <w:bCs/>
          <w:sz w:val="28"/>
          <w:szCs w:val="28"/>
        </w:rPr>
        <w:t>Review of Literature and Research Gap</w:t>
      </w:r>
    </w:p>
    <w:p w14:paraId="62B7940F" w14:textId="5253B3CA" w:rsidR="009D28E3" w:rsidRDefault="009D28E3" w:rsidP="003C783F">
      <w:pPr>
        <w:spacing w:after="0" w:line="360" w:lineRule="auto"/>
        <w:jc w:val="both"/>
        <w:rPr>
          <w:rFonts w:ascii="Times New Roman" w:hAnsi="Times New Roman" w:cs="Times New Roman"/>
          <w:sz w:val="24"/>
          <w:szCs w:val="24"/>
        </w:rPr>
      </w:pPr>
      <w:r w:rsidRPr="003C783F">
        <w:rPr>
          <w:rFonts w:ascii="Times New Roman" w:hAnsi="Times New Roman" w:cs="Times New Roman"/>
          <w:sz w:val="24"/>
          <w:szCs w:val="24"/>
        </w:rPr>
        <w:t>Mital and Mital (2012) compared the NPA management practices of SBI and other PSBs, finding that SBI's approach was more efficient with lower NPAs and better recovery rates. They also noted SBI's transparency and accountability in NPA management.</w:t>
      </w:r>
      <w:r w:rsidR="003C783F" w:rsidRPr="003C783F">
        <w:rPr>
          <w:rFonts w:ascii="Times New Roman" w:hAnsi="Times New Roman" w:cs="Times New Roman"/>
          <w:sz w:val="24"/>
          <w:szCs w:val="24"/>
        </w:rPr>
        <w:t xml:space="preserve"> </w:t>
      </w:r>
      <w:r w:rsidRPr="003C783F">
        <w:rPr>
          <w:rFonts w:ascii="Times New Roman" w:hAnsi="Times New Roman" w:cs="Times New Roman"/>
          <w:sz w:val="24"/>
          <w:szCs w:val="24"/>
        </w:rPr>
        <w:t>Namitha (2017) conducted a comparative analysis of NPAs in PSBs and Pvt. banks, noting that PSBs had higher NPAs, posing a significant challenge to India's banking sector stability.</w:t>
      </w:r>
      <w:r w:rsidR="003C783F" w:rsidRPr="003C783F">
        <w:rPr>
          <w:rFonts w:ascii="Times New Roman" w:hAnsi="Times New Roman" w:cs="Times New Roman"/>
          <w:sz w:val="24"/>
          <w:szCs w:val="24"/>
        </w:rPr>
        <w:t xml:space="preserve"> </w:t>
      </w:r>
      <w:r w:rsidRPr="003C783F">
        <w:rPr>
          <w:rFonts w:ascii="Times New Roman" w:hAnsi="Times New Roman" w:cs="Times New Roman"/>
          <w:sz w:val="24"/>
          <w:szCs w:val="24"/>
        </w:rPr>
        <w:t>Gupta and Bhushan (2017) emphasized timely identification and provisioning of NPAs and effective credit risk management in their comparative study of PSBs and Pvt. sector banks.</w:t>
      </w:r>
      <w:r w:rsidR="003C783F" w:rsidRPr="003C783F">
        <w:rPr>
          <w:rFonts w:ascii="Times New Roman" w:hAnsi="Times New Roman" w:cs="Times New Roman"/>
          <w:sz w:val="24"/>
          <w:szCs w:val="24"/>
        </w:rPr>
        <w:t xml:space="preserve"> </w:t>
      </w:r>
      <w:r w:rsidRPr="003C783F">
        <w:rPr>
          <w:rFonts w:ascii="Times New Roman" w:hAnsi="Times New Roman" w:cs="Times New Roman"/>
          <w:sz w:val="24"/>
          <w:szCs w:val="24"/>
        </w:rPr>
        <w:t>Sharma and Arora (2019) identified economic downturns, inadequate credit assessment, and fraud as major NPA contributors, urging stricter credit monitoring, risk management, and recovery mechanisms.</w:t>
      </w:r>
      <w:r w:rsidR="003C783F" w:rsidRPr="003C783F">
        <w:rPr>
          <w:rFonts w:ascii="Times New Roman" w:hAnsi="Times New Roman" w:cs="Times New Roman"/>
          <w:sz w:val="24"/>
          <w:szCs w:val="24"/>
        </w:rPr>
        <w:t xml:space="preserve"> </w:t>
      </w:r>
      <w:r w:rsidRPr="003C783F">
        <w:rPr>
          <w:rFonts w:ascii="Times New Roman" w:hAnsi="Times New Roman" w:cs="Times New Roman"/>
          <w:sz w:val="24"/>
          <w:szCs w:val="24"/>
        </w:rPr>
        <w:t>Rajak (2018) delved into the significant NPA problem in SBI, citing causes such as poor corporate governance, lending practices, and political intervention, which pose a risk to India's financial stability.</w:t>
      </w:r>
      <w:r w:rsidR="003C783F" w:rsidRPr="003C783F">
        <w:rPr>
          <w:rFonts w:ascii="Times New Roman" w:hAnsi="Times New Roman" w:cs="Times New Roman"/>
          <w:sz w:val="24"/>
          <w:szCs w:val="24"/>
        </w:rPr>
        <w:t xml:space="preserve"> </w:t>
      </w:r>
      <w:r w:rsidRPr="003C783F">
        <w:rPr>
          <w:rFonts w:ascii="Times New Roman" w:hAnsi="Times New Roman" w:cs="Times New Roman"/>
          <w:sz w:val="24"/>
          <w:szCs w:val="24"/>
        </w:rPr>
        <w:t>Pathak (2020) focused on SBI's NPA levels compared to other PSBs, highlighting SBI's lower NPA ratio and better recovery performance.</w:t>
      </w:r>
    </w:p>
    <w:p w14:paraId="12C0658C" w14:textId="77777777" w:rsidR="005F487E" w:rsidRPr="005F487E" w:rsidRDefault="005F487E" w:rsidP="005F487E">
      <w:pPr>
        <w:spacing w:after="0" w:line="360" w:lineRule="auto"/>
        <w:jc w:val="both"/>
        <w:rPr>
          <w:rFonts w:ascii="Times New Roman" w:hAnsi="Times New Roman" w:cs="Times New Roman"/>
          <w:sz w:val="10"/>
          <w:szCs w:val="10"/>
        </w:rPr>
      </w:pPr>
    </w:p>
    <w:p w14:paraId="603E4A84" w14:textId="50BD8C69" w:rsidR="005F487E" w:rsidRPr="00EC4336" w:rsidRDefault="005F487E" w:rsidP="005F487E">
      <w:pPr>
        <w:spacing w:after="0" w:line="360" w:lineRule="auto"/>
        <w:jc w:val="both"/>
        <w:rPr>
          <w:rFonts w:ascii="Times New Roman" w:hAnsi="Times New Roman" w:cs="Times New Roman"/>
          <w:sz w:val="24"/>
          <w:szCs w:val="24"/>
        </w:rPr>
      </w:pPr>
      <w:r w:rsidRPr="00EC4336">
        <w:rPr>
          <w:rFonts w:ascii="Times New Roman" w:hAnsi="Times New Roman" w:cs="Times New Roman"/>
          <w:sz w:val="24"/>
          <w:szCs w:val="24"/>
        </w:rPr>
        <w:t xml:space="preserve">The existing literature on 'Capital Adequacy and NPA Resilience in Public Banks' predominantly focuses on individual components, such as capital adequacy or NPA management, in isolation. There is a noticeable research gap in comprehensive studies that systematically analyze the interrelationships between capital adequacy and NPA resilience in the context of public banks, providing a holistic understanding of how these factors mutually </w:t>
      </w:r>
      <w:r w:rsidRPr="00EC4336">
        <w:rPr>
          <w:rFonts w:ascii="Times New Roman" w:hAnsi="Times New Roman" w:cs="Times New Roman"/>
          <w:sz w:val="24"/>
          <w:szCs w:val="24"/>
        </w:rPr>
        <w:lastRenderedPageBreak/>
        <w:t>influence each other and contribute to the overall financial stability and sustainability of public banking institutions.</w:t>
      </w:r>
    </w:p>
    <w:p w14:paraId="32E54F98" w14:textId="77777777" w:rsidR="009D28E3" w:rsidRPr="009D28E3" w:rsidRDefault="009D28E3" w:rsidP="009D28E3">
      <w:pPr>
        <w:spacing w:after="0" w:line="360" w:lineRule="auto"/>
        <w:jc w:val="both"/>
        <w:rPr>
          <w:rFonts w:ascii="Times New Roman" w:hAnsi="Times New Roman" w:cs="Times New Roman"/>
          <w:sz w:val="24"/>
          <w:szCs w:val="24"/>
        </w:rPr>
      </w:pPr>
    </w:p>
    <w:p w14:paraId="33265E55" w14:textId="7CF93FDE" w:rsidR="00C5599C" w:rsidRDefault="009D28E3" w:rsidP="00C5599C">
      <w:pPr>
        <w:spacing w:line="360" w:lineRule="auto"/>
        <w:jc w:val="both"/>
        <w:rPr>
          <w:rFonts w:ascii="Times New Roman" w:hAnsi="Times New Roman" w:cs="Times New Roman"/>
          <w:b/>
          <w:bCs/>
          <w:sz w:val="28"/>
          <w:szCs w:val="28"/>
        </w:rPr>
      </w:pPr>
      <w:r w:rsidRPr="009D3282">
        <w:rPr>
          <w:rFonts w:ascii="Times New Roman" w:hAnsi="Times New Roman" w:cs="Times New Roman"/>
          <w:b/>
          <w:bCs/>
          <w:sz w:val="28"/>
          <w:szCs w:val="28"/>
        </w:rPr>
        <w:t>I</w:t>
      </w:r>
      <w:r w:rsidR="004153EC">
        <w:rPr>
          <w:rFonts w:ascii="Times New Roman" w:hAnsi="Times New Roman" w:cs="Times New Roman"/>
          <w:b/>
          <w:bCs/>
          <w:sz w:val="28"/>
          <w:szCs w:val="28"/>
        </w:rPr>
        <w:t>II</w:t>
      </w:r>
      <w:r w:rsidRPr="009D3282">
        <w:rPr>
          <w:rFonts w:ascii="Times New Roman" w:hAnsi="Times New Roman" w:cs="Times New Roman"/>
          <w:b/>
          <w:bCs/>
          <w:sz w:val="28"/>
          <w:szCs w:val="28"/>
        </w:rPr>
        <w:t>.</w:t>
      </w:r>
      <w:r w:rsidR="0001764B" w:rsidRPr="009D3282">
        <w:rPr>
          <w:rFonts w:ascii="Times New Roman" w:hAnsi="Times New Roman" w:cs="Times New Roman"/>
          <w:b/>
          <w:bCs/>
          <w:sz w:val="28"/>
          <w:szCs w:val="28"/>
        </w:rPr>
        <w:t xml:space="preserve"> </w:t>
      </w:r>
      <w:r w:rsidR="00BD55A9" w:rsidRPr="009D3282">
        <w:rPr>
          <w:rFonts w:ascii="Times New Roman" w:hAnsi="Times New Roman" w:cs="Times New Roman"/>
          <w:b/>
          <w:bCs/>
          <w:sz w:val="28"/>
          <w:szCs w:val="28"/>
        </w:rPr>
        <w:t xml:space="preserve">Need </w:t>
      </w:r>
      <w:r w:rsidR="00C5599C">
        <w:rPr>
          <w:rFonts w:ascii="Times New Roman" w:hAnsi="Times New Roman" w:cs="Times New Roman"/>
          <w:b/>
          <w:bCs/>
          <w:sz w:val="28"/>
          <w:szCs w:val="28"/>
        </w:rPr>
        <w:t>and Scope of</w:t>
      </w:r>
      <w:r w:rsidR="00BD55A9" w:rsidRPr="009D3282">
        <w:rPr>
          <w:rFonts w:ascii="Times New Roman" w:hAnsi="Times New Roman" w:cs="Times New Roman"/>
          <w:b/>
          <w:bCs/>
          <w:sz w:val="28"/>
          <w:szCs w:val="28"/>
        </w:rPr>
        <w:t xml:space="preserve"> the study</w:t>
      </w:r>
    </w:p>
    <w:p w14:paraId="698C5848" w14:textId="77777777" w:rsidR="004153EC" w:rsidRDefault="00C5599C" w:rsidP="004153EC">
      <w:pPr>
        <w:spacing w:after="0" w:line="360" w:lineRule="auto"/>
        <w:jc w:val="both"/>
        <w:rPr>
          <w:rFonts w:ascii="Times New Roman" w:hAnsi="Times New Roman" w:cs="Times New Roman"/>
          <w:sz w:val="24"/>
          <w:szCs w:val="24"/>
        </w:rPr>
      </w:pPr>
      <w:r w:rsidRPr="00C5599C">
        <w:rPr>
          <w:rFonts w:ascii="Times New Roman" w:hAnsi="Times New Roman" w:cs="Times New Roman"/>
          <w:sz w:val="24"/>
          <w:szCs w:val="24"/>
        </w:rPr>
        <w:t xml:space="preserve">This study addresses the critical need for a comprehensive understanding of NPA management practices in Indian Public Sector </w:t>
      </w:r>
      <w:r w:rsidR="005F487E" w:rsidRPr="00C5599C">
        <w:rPr>
          <w:rFonts w:ascii="Times New Roman" w:hAnsi="Times New Roman" w:cs="Times New Roman"/>
          <w:sz w:val="24"/>
          <w:szCs w:val="24"/>
        </w:rPr>
        <w:t>Banks.</w:t>
      </w:r>
      <w:r w:rsidRPr="00C5599C">
        <w:rPr>
          <w:rFonts w:ascii="Times New Roman" w:hAnsi="Times New Roman" w:cs="Times New Roman"/>
          <w:sz w:val="24"/>
          <w:szCs w:val="24"/>
        </w:rPr>
        <w:t xml:space="preserve"> It aims to achieve this by conducting a comparative analysis across all PSBs operating in India, focusing on the time period from 2020-2021 to 2022-2023. This research delves into successful NPA management strategies while also evaluating the significant financial impact of NPAs on profitability, asset quality, and lending activities. The study's broad scope covers all relevant PSBs and utilizes data from official sources like the RBI website, annual reports of PSBs, and other reliable publications to provide comprehensive insights into NPA management practices in the Indian public banking sector.</w:t>
      </w:r>
    </w:p>
    <w:p w14:paraId="5BA3952A" w14:textId="77777777" w:rsidR="004153EC" w:rsidRDefault="004153EC" w:rsidP="004153EC">
      <w:pPr>
        <w:spacing w:after="0" w:line="360" w:lineRule="auto"/>
        <w:jc w:val="both"/>
        <w:rPr>
          <w:rFonts w:ascii="Times New Roman" w:hAnsi="Times New Roman" w:cs="Times New Roman"/>
          <w:sz w:val="24"/>
          <w:szCs w:val="24"/>
        </w:rPr>
      </w:pPr>
    </w:p>
    <w:p w14:paraId="3D807322" w14:textId="65D64E72" w:rsidR="0034269D" w:rsidRPr="004153EC" w:rsidRDefault="004153EC" w:rsidP="004153EC">
      <w:pPr>
        <w:spacing w:after="0" w:line="360" w:lineRule="auto"/>
        <w:jc w:val="both"/>
        <w:rPr>
          <w:rFonts w:ascii="Times New Roman" w:hAnsi="Times New Roman" w:cs="Times New Roman"/>
          <w:sz w:val="24"/>
          <w:szCs w:val="24"/>
        </w:rPr>
      </w:pPr>
      <w:r>
        <w:rPr>
          <w:rFonts w:ascii="Times New Roman" w:hAnsi="Times New Roman" w:cs="Times New Roman"/>
          <w:b/>
          <w:bCs/>
          <w:sz w:val="28"/>
          <w:szCs w:val="28"/>
        </w:rPr>
        <w:t>I</w:t>
      </w:r>
      <w:r w:rsidR="009D28E3" w:rsidRPr="009D3282">
        <w:rPr>
          <w:rFonts w:ascii="Times New Roman" w:hAnsi="Times New Roman" w:cs="Times New Roman"/>
          <w:b/>
          <w:bCs/>
          <w:sz w:val="28"/>
          <w:szCs w:val="28"/>
        </w:rPr>
        <w:t xml:space="preserve">V. </w:t>
      </w:r>
      <w:r w:rsidR="0034269D" w:rsidRPr="009D3282">
        <w:rPr>
          <w:rFonts w:ascii="Times New Roman" w:hAnsi="Times New Roman" w:cs="Times New Roman"/>
          <w:b/>
          <w:bCs/>
          <w:sz w:val="28"/>
          <w:szCs w:val="28"/>
        </w:rPr>
        <w:t>Objectives of the Study</w:t>
      </w:r>
    </w:p>
    <w:p w14:paraId="53812A1E" w14:textId="0DB1A354" w:rsidR="002268D3" w:rsidRPr="002268D3" w:rsidRDefault="002268D3" w:rsidP="002268D3">
      <w:pPr>
        <w:pStyle w:val="ListParagraph"/>
        <w:numPr>
          <w:ilvl w:val="0"/>
          <w:numId w:val="19"/>
        </w:numPr>
        <w:spacing w:after="0" w:line="360" w:lineRule="auto"/>
        <w:jc w:val="both"/>
        <w:rPr>
          <w:rFonts w:ascii="Times New Roman" w:hAnsi="Times New Roman" w:cs="Times New Roman"/>
          <w:sz w:val="24"/>
          <w:szCs w:val="24"/>
        </w:rPr>
      </w:pPr>
      <w:r w:rsidRPr="002268D3">
        <w:rPr>
          <w:rFonts w:ascii="Times New Roman" w:hAnsi="Times New Roman" w:cs="Times New Roman"/>
          <w:sz w:val="24"/>
          <w:szCs w:val="24"/>
        </w:rPr>
        <w:t>To conduct a comprehensive Capital Adequacy Analysis by examining the capital adequacy ratios of public banks, ensuring compliance with regulatory standards, and assessing their capacity to absorb potential losses.</w:t>
      </w:r>
    </w:p>
    <w:p w14:paraId="09D8EA4C" w14:textId="77777777" w:rsidR="002268D3" w:rsidRDefault="002268D3" w:rsidP="002268D3">
      <w:pPr>
        <w:pStyle w:val="ListParagraph"/>
        <w:numPr>
          <w:ilvl w:val="0"/>
          <w:numId w:val="19"/>
        </w:numPr>
        <w:spacing w:after="0" w:line="360" w:lineRule="auto"/>
        <w:jc w:val="both"/>
        <w:rPr>
          <w:rFonts w:ascii="Times New Roman" w:hAnsi="Times New Roman" w:cs="Times New Roman"/>
          <w:sz w:val="24"/>
          <w:szCs w:val="24"/>
        </w:rPr>
      </w:pPr>
      <w:r w:rsidRPr="002268D3">
        <w:rPr>
          <w:rFonts w:ascii="Times New Roman" w:hAnsi="Times New Roman" w:cs="Times New Roman"/>
          <w:sz w:val="24"/>
          <w:szCs w:val="24"/>
        </w:rPr>
        <w:t>To perform a Comparative Evaluation by conducting a thorough comparative analysis of NPA management practices and capital adequacy across various public banks, with the goal of identifying best practices and areas for improvement.</w:t>
      </w:r>
    </w:p>
    <w:p w14:paraId="4725A87E" w14:textId="77E43BD9" w:rsidR="002268D3" w:rsidRDefault="002268D3" w:rsidP="002268D3">
      <w:pPr>
        <w:pStyle w:val="ListParagraph"/>
        <w:numPr>
          <w:ilvl w:val="0"/>
          <w:numId w:val="19"/>
        </w:numPr>
        <w:spacing w:after="0" w:line="360" w:lineRule="auto"/>
        <w:jc w:val="both"/>
        <w:rPr>
          <w:rFonts w:ascii="Times New Roman" w:hAnsi="Times New Roman" w:cs="Times New Roman"/>
          <w:sz w:val="24"/>
          <w:szCs w:val="24"/>
        </w:rPr>
      </w:pPr>
      <w:r w:rsidRPr="002268D3">
        <w:rPr>
          <w:rFonts w:ascii="Times New Roman" w:hAnsi="Times New Roman" w:cs="Times New Roman"/>
          <w:sz w:val="24"/>
          <w:szCs w:val="24"/>
        </w:rPr>
        <w:t>To conduct a Financial Impact Assessment to measure the financial consequences of NPAs on public banks, encompassing an evaluation of their profitability, asset quality, and lending capacity.</w:t>
      </w:r>
    </w:p>
    <w:p w14:paraId="73E84817" w14:textId="77777777" w:rsidR="002268D3" w:rsidRPr="002268D3" w:rsidRDefault="002268D3" w:rsidP="002268D3">
      <w:pPr>
        <w:spacing w:after="0" w:line="360" w:lineRule="auto"/>
        <w:jc w:val="both"/>
        <w:rPr>
          <w:rFonts w:ascii="Times New Roman" w:hAnsi="Times New Roman" w:cs="Times New Roman"/>
          <w:sz w:val="24"/>
          <w:szCs w:val="24"/>
        </w:rPr>
      </w:pPr>
    </w:p>
    <w:p w14:paraId="434BE2C7" w14:textId="617C8EC2" w:rsidR="00AF7DED" w:rsidRPr="009D3282" w:rsidRDefault="004153EC" w:rsidP="00AF7DED">
      <w:pPr>
        <w:spacing w:after="0" w:line="360" w:lineRule="auto"/>
        <w:jc w:val="both"/>
        <w:rPr>
          <w:rFonts w:ascii="Times New Roman" w:hAnsi="Times New Roman" w:cs="Times New Roman"/>
          <w:b/>
          <w:bCs/>
          <w:sz w:val="28"/>
          <w:szCs w:val="28"/>
        </w:rPr>
      </w:pPr>
      <w:r w:rsidRPr="004153EC">
        <w:rPr>
          <w:rFonts w:ascii="Times New Roman" w:hAnsi="Times New Roman" w:cs="Times New Roman"/>
          <w:b/>
          <w:bCs/>
          <w:sz w:val="28"/>
          <w:szCs w:val="28"/>
        </w:rPr>
        <w:t>V</w:t>
      </w:r>
      <w:r>
        <w:rPr>
          <w:rFonts w:ascii="Times New Roman" w:hAnsi="Times New Roman" w:cs="Times New Roman"/>
          <w:b/>
          <w:bCs/>
          <w:sz w:val="24"/>
          <w:szCs w:val="24"/>
        </w:rPr>
        <w:t xml:space="preserve">. </w:t>
      </w:r>
      <w:r w:rsidR="00AF7DED" w:rsidRPr="009D3282">
        <w:rPr>
          <w:rFonts w:ascii="Times New Roman" w:hAnsi="Times New Roman" w:cs="Times New Roman"/>
          <w:b/>
          <w:bCs/>
          <w:sz w:val="28"/>
          <w:szCs w:val="28"/>
        </w:rPr>
        <w:t xml:space="preserve"> Hypothesis for the study</w:t>
      </w:r>
    </w:p>
    <w:p w14:paraId="22CB754B" w14:textId="77777777" w:rsidR="00AF7DED" w:rsidRDefault="00AF7DED" w:rsidP="00AF7DED">
      <w:pPr>
        <w:spacing w:after="0" w:line="360" w:lineRule="auto"/>
        <w:jc w:val="both"/>
        <w:rPr>
          <w:rFonts w:ascii="Times New Roman" w:hAnsi="Times New Roman" w:cs="Times New Roman"/>
          <w:sz w:val="24"/>
          <w:szCs w:val="24"/>
        </w:rPr>
      </w:pPr>
      <w:r w:rsidRPr="00AF7DED">
        <w:rPr>
          <w:rFonts w:ascii="Times New Roman" w:hAnsi="Times New Roman" w:cs="Times New Roman"/>
          <w:sz w:val="24"/>
          <w:szCs w:val="24"/>
        </w:rPr>
        <w:t>Hypothesis 1: There is a significant negative correlation between the Capital Adequacy Ratio and the Gross NPA Ratio for all the banks studied, indicating that banks with higher capital adequacy tend to have lower Gross NPA ratios.</w:t>
      </w:r>
    </w:p>
    <w:p w14:paraId="02642043" w14:textId="77777777" w:rsidR="00DE2157" w:rsidRPr="00DE2157" w:rsidRDefault="00DE2157" w:rsidP="00AF7DED">
      <w:pPr>
        <w:spacing w:after="0" w:line="360" w:lineRule="auto"/>
        <w:jc w:val="both"/>
        <w:rPr>
          <w:rFonts w:ascii="Times New Roman" w:hAnsi="Times New Roman" w:cs="Times New Roman"/>
          <w:sz w:val="12"/>
          <w:szCs w:val="12"/>
        </w:rPr>
      </w:pPr>
    </w:p>
    <w:p w14:paraId="7EE8DC34" w14:textId="725F87BF" w:rsidR="00AF7DED" w:rsidRDefault="00AF7DED" w:rsidP="00AF7DED">
      <w:pPr>
        <w:spacing w:after="0" w:line="360" w:lineRule="auto"/>
        <w:jc w:val="both"/>
        <w:rPr>
          <w:rFonts w:ascii="Times New Roman" w:hAnsi="Times New Roman" w:cs="Times New Roman"/>
          <w:sz w:val="24"/>
          <w:szCs w:val="24"/>
        </w:rPr>
      </w:pPr>
      <w:r w:rsidRPr="00AF7DED">
        <w:rPr>
          <w:rFonts w:ascii="Times New Roman" w:hAnsi="Times New Roman" w:cs="Times New Roman"/>
          <w:sz w:val="24"/>
          <w:szCs w:val="24"/>
        </w:rPr>
        <w:t>Hypothesis 2: Analysing Asset Quality Categories in 12 PSBs.</w:t>
      </w:r>
    </w:p>
    <w:p w14:paraId="2E60E2D2" w14:textId="77777777" w:rsidR="004153EC" w:rsidRDefault="004153EC" w:rsidP="00AF7DED">
      <w:pPr>
        <w:spacing w:after="0" w:line="360" w:lineRule="auto"/>
        <w:jc w:val="both"/>
        <w:rPr>
          <w:rFonts w:ascii="Times New Roman" w:hAnsi="Times New Roman" w:cs="Times New Roman"/>
          <w:sz w:val="24"/>
          <w:szCs w:val="24"/>
        </w:rPr>
      </w:pPr>
    </w:p>
    <w:p w14:paraId="1C06CDE3" w14:textId="77777777" w:rsidR="004153EC" w:rsidRDefault="004153EC" w:rsidP="00AF7DED">
      <w:pPr>
        <w:spacing w:after="0" w:line="360" w:lineRule="auto"/>
        <w:jc w:val="both"/>
        <w:rPr>
          <w:rFonts w:ascii="Times New Roman" w:hAnsi="Times New Roman" w:cs="Times New Roman"/>
          <w:sz w:val="24"/>
          <w:szCs w:val="24"/>
        </w:rPr>
      </w:pPr>
    </w:p>
    <w:p w14:paraId="68A3A9F0" w14:textId="77777777" w:rsidR="004153EC" w:rsidRDefault="004153EC" w:rsidP="00AF7DED">
      <w:pPr>
        <w:spacing w:after="0" w:line="360" w:lineRule="auto"/>
        <w:jc w:val="both"/>
        <w:rPr>
          <w:rFonts w:ascii="Times New Roman" w:hAnsi="Times New Roman" w:cs="Times New Roman"/>
          <w:sz w:val="24"/>
          <w:szCs w:val="24"/>
        </w:rPr>
      </w:pPr>
    </w:p>
    <w:p w14:paraId="2DF5DBB5" w14:textId="77777777" w:rsidR="0001764B" w:rsidRPr="00DE2157" w:rsidRDefault="0001764B" w:rsidP="00EC4336">
      <w:pPr>
        <w:spacing w:after="0" w:line="360" w:lineRule="auto"/>
        <w:jc w:val="both"/>
        <w:rPr>
          <w:rFonts w:ascii="Times New Roman" w:hAnsi="Times New Roman" w:cs="Times New Roman"/>
          <w:b/>
          <w:bCs/>
          <w:sz w:val="24"/>
          <w:szCs w:val="24"/>
        </w:rPr>
      </w:pPr>
    </w:p>
    <w:p w14:paraId="051235E2" w14:textId="7AF8582B" w:rsidR="004738AB" w:rsidRPr="004153EC" w:rsidRDefault="005F487E" w:rsidP="004153EC">
      <w:pPr>
        <w:pStyle w:val="ListParagraph"/>
        <w:numPr>
          <w:ilvl w:val="0"/>
          <w:numId w:val="18"/>
        </w:numPr>
        <w:spacing w:line="360" w:lineRule="auto"/>
        <w:jc w:val="both"/>
        <w:rPr>
          <w:rFonts w:ascii="Times New Roman" w:hAnsi="Times New Roman" w:cs="Times New Roman"/>
          <w:b/>
          <w:bCs/>
          <w:sz w:val="28"/>
          <w:szCs w:val="28"/>
        </w:rPr>
      </w:pPr>
      <w:r w:rsidRPr="004153EC">
        <w:rPr>
          <w:rFonts w:ascii="Times New Roman" w:hAnsi="Times New Roman" w:cs="Times New Roman"/>
          <w:b/>
          <w:bCs/>
          <w:sz w:val="28"/>
          <w:szCs w:val="28"/>
        </w:rPr>
        <w:t>R</w:t>
      </w:r>
      <w:r w:rsidR="004738AB" w:rsidRPr="004153EC">
        <w:rPr>
          <w:rFonts w:ascii="Times New Roman" w:hAnsi="Times New Roman" w:cs="Times New Roman"/>
          <w:b/>
          <w:bCs/>
          <w:sz w:val="28"/>
          <w:szCs w:val="28"/>
        </w:rPr>
        <w:t>esearch</w:t>
      </w:r>
      <w:r w:rsidRPr="004153EC">
        <w:rPr>
          <w:rFonts w:ascii="Times New Roman" w:hAnsi="Times New Roman" w:cs="Times New Roman"/>
          <w:b/>
          <w:bCs/>
          <w:sz w:val="28"/>
          <w:szCs w:val="28"/>
        </w:rPr>
        <w:t xml:space="preserve"> Design</w:t>
      </w:r>
    </w:p>
    <w:p w14:paraId="790B8EAE" w14:textId="13C02842" w:rsidR="005F487E" w:rsidRPr="005F487E" w:rsidRDefault="005F487E" w:rsidP="005F487E">
      <w:pPr>
        <w:spacing w:line="360" w:lineRule="auto"/>
        <w:jc w:val="both"/>
        <w:rPr>
          <w:rFonts w:ascii="Times New Roman" w:hAnsi="Times New Roman" w:cs="Times New Roman"/>
          <w:sz w:val="28"/>
          <w:szCs w:val="28"/>
        </w:rPr>
      </w:pPr>
      <w:r w:rsidRPr="005F487E">
        <w:rPr>
          <w:rFonts w:ascii="Times New Roman" w:hAnsi="Times New Roman" w:cs="Times New Roman"/>
          <w:sz w:val="28"/>
          <w:szCs w:val="28"/>
        </w:rPr>
        <w:t xml:space="preserve">In this quantitative research study, data for </w:t>
      </w:r>
      <w:r w:rsidR="004153EC" w:rsidRPr="005F487E">
        <w:rPr>
          <w:rFonts w:ascii="Times New Roman" w:hAnsi="Times New Roman" w:cs="Times New Roman"/>
          <w:sz w:val="28"/>
          <w:szCs w:val="28"/>
        </w:rPr>
        <w:t>analysing</w:t>
      </w:r>
      <w:r w:rsidRPr="005F487E">
        <w:rPr>
          <w:rFonts w:ascii="Times New Roman" w:hAnsi="Times New Roman" w:cs="Times New Roman"/>
          <w:sz w:val="28"/>
          <w:szCs w:val="28"/>
        </w:rPr>
        <w:t xml:space="preserve"> capital adequacy and NPA resilience in public banks was sourced primarily from Research Papers and Studies, Annual Reports from Official Websites of Public Sector Banks, and RBI's official website. The research population includes all Public Sector Banks (PSBs) in India, such as SBI, PNB, BOB, and others, with the sampling unit being the NPA data of each individual PSB within this population. Employing a census or complete enumeration method, the study comprehensively covers data from all public sector banks in India, ensuring the inclusion of all banks. As of July 2023, the analysis incorporated a total of 12 PSBs to provide a comprehensive understanding of the research subject.</w:t>
      </w:r>
    </w:p>
    <w:p w14:paraId="6BA0C56D" w14:textId="77777777" w:rsidR="005F487E" w:rsidRPr="002761E0" w:rsidRDefault="005F487E" w:rsidP="0001764B">
      <w:pPr>
        <w:spacing w:after="0" w:line="360" w:lineRule="auto"/>
        <w:jc w:val="both"/>
        <w:rPr>
          <w:rFonts w:ascii="Times New Roman" w:hAnsi="Times New Roman" w:cs="Times New Roman"/>
          <w:b/>
          <w:bCs/>
          <w:sz w:val="18"/>
          <w:szCs w:val="18"/>
        </w:rPr>
      </w:pPr>
    </w:p>
    <w:p w14:paraId="4AAA4C81" w14:textId="2335E6DA" w:rsidR="0001764B" w:rsidRPr="004153EC" w:rsidRDefault="0001764B" w:rsidP="004153EC">
      <w:pPr>
        <w:pStyle w:val="ListParagraph"/>
        <w:numPr>
          <w:ilvl w:val="0"/>
          <w:numId w:val="18"/>
        </w:numPr>
        <w:spacing w:after="0" w:line="360" w:lineRule="auto"/>
        <w:jc w:val="both"/>
        <w:rPr>
          <w:rFonts w:ascii="Times New Roman" w:hAnsi="Times New Roman" w:cs="Times New Roman"/>
          <w:sz w:val="28"/>
          <w:szCs w:val="28"/>
        </w:rPr>
      </w:pPr>
      <w:r w:rsidRPr="004153EC">
        <w:rPr>
          <w:rFonts w:ascii="Times New Roman" w:hAnsi="Times New Roman" w:cs="Times New Roman"/>
          <w:b/>
          <w:bCs/>
          <w:sz w:val="28"/>
          <w:szCs w:val="28"/>
        </w:rPr>
        <w:t xml:space="preserve">Data </w:t>
      </w:r>
      <w:r w:rsidR="00895993" w:rsidRPr="004153EC">
        <w:rPr>
          <w:rFonts w:ascii="Times New Roman" w:hAnsi="Times New Roman" w:cs="Times New Roman"/>
          <w:b/>
          <w:bCs/>
          <w:sz w:val="28"/>
          <w:szCs w:val="28"/>
        </w:rPr>
        <w:t>analysis</w:t>
      </w:r>
      <w:r w:rsidR="005F487E" w:rsidRPr="004153EC">
        <w:rPr>
          <w:rFonts w:ascii="Times New Roman" w:hAnsi="Times New Roman" w:cs="Times New Roman"/>
          <w:b/>
          <w:bCs/>
          <w:sz w:val="28"/>
          <w:szCs w:val="28"/>
        </w:rPr>
        <w:t xml:space="preserve"> and Interpretation:</w:t>
      </w:r>
    </w:p>
    <w:tbl>
      <w:tblPr>
        <w:tblpPr w:leftFromText="180" w:rightFromText="180" w:vertAnchor="text" w:horzAnchor="margin" w:tblpY="1419"/>
        <w:tblW w:w="9067" w:type="dxa"/>
        <w:tblLook w:val="04A0" w:firstRow="1" w:lastRow="0" w:firstColumn="1" w:lastColumn="0" w:noHBand="0" w:noVBand="1"/>
      </w:tblPr>
      <w:tblGrid>
        <w:gridCol w:w="1942"/>
        <w:gridCol w:w="4338"/>
        <w:gridCol w:w="2787"/>
      </w:tblGrid>
      <w:tr w:rsidR="00AF7DED" w:rsidRPr="00EC4336" w14:paraId="3495B07B" w14:textId="77777777" w:rsidTr="002761E0">
        <w:trPr>
          <w:trHeight w:val="704"/>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71C4E" w14:textId="77777777" w:rsidR="00AF7DED" w:rsidRPr="00EC4336" w:rsidRDefault="00AF7DED" w:rsidP="00AF7DE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t>State Bank of India</w:t>
            </w:r>
          </w:p>
        </w:tc>
      </w:tr>
      <w:tr w:rsidR="00AF7DED" w:rsidRPr="00EC4336" w14:paraId="673D1443" w14:textId="77777777" w:rsidTr="000A4665">
        <w:trPr>
          <w:trHeight w:val="832"/>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6DA037D9" w14:textId="77777777" w:rsidR="00AF7DED" w:rsidRPr="00EC4336" w:rsidRDefault="00AF7DED" w:rsidP="00AF7DE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t>Year</w:t>
            </w:r>
          </w:p>
        </w:tc>
        <w:tc>
          <w:tcPr>
            <w:tcW w:w="4338" w:type="dxa"/>
            <w:tcBorders>
              <w:top w:val="nil"/>
              <w:left w:val="nil"/>
              <w:bottom w:val="single" w:sz="4" w:space="0" w:color="auto"/>
              <w:right w:val="single" w:sz="4" w:space="0" w:color="auto"/>
            </w:tcBorders>
            <w:shd w:val="clear" w:color="auto" w:fill="auto"/>
            <w:vAlign w:val="center"/>
            <w:hideMark/>
          </w:tcPr>
          <w:p w14:paraId="368B5F84" w14:textId="77777777" w:rsidR="00AF7DED" w:rsidRPr="00EC4336" w:rsidRDefault="00AF7DED" w:rsidP="00AF7DE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t>Capital Adequacy Ratio</w:t>
            </w:r>
          </w:p>
        </w:tc>
        <w:tc>
          <w:tcPr>
            <w:tcW w:w="2787" w:type="dxa"/>
            <w:tcBorders>
              <w:top w:val="nil"/>
              <w:left w:val="nil"/>
              <w:bottom w:val="single" w:sz="4" w:space="0" w:color="auto"/>
              <w:right w:val="single" w:sz="4" w:space="0" w:color="auto"/>
            </w:tcBorders>
            <w:shd w:val="clear" w:color="auto" w:fill="auto"/>
            <w:vAlign w:val="center"/>
            <w:hideMark/>
          </w:tcPr>
          <w:p w14:paraId="1BDC2325" w14:textId="77777777" w:rsidR="00AF7DED" w:rsidRPr="00EC4336" w:rsidRDefault="00AF7DED" w:rsidP="00AF7DED">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t>Gross NPA</w:t>
            </w:r>
          </w:p>
        </w:tc>
      </w:tr>
      <w:tr w:rsidR="00AF7DED" w:rsidRPr="00EC4336" w14:paraId="275F5913" w14:textId="77777777" w:rsidTr="000A4665">
        <w:trPr>
          <w:trHeight w:val="703"/>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14:paraId="2D3F35AB" w14:textId="77777777" w:rsidR="00AF7DED" w:rsidRPr="00EC4336" w:rsidRDefault="00AF7DED" w:rsidP="00AF7DED">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2023</w:t>
            </w:r>
          </w:p>
        </w:tc>
        <w:tc>
          <w:tcPr>
            <w:tcW w:w="4338" w:type="dxa"/>
            <w:tcBorders>
              <w:top w:val="nil"/>
              <w:left w:val="nil"/>
              <w:bottom w:val="single" w:sz="4" w:space="0" w:color="auto"/>
              <w:right w:val="single" w:sz="4" w:space="0" w:color="auto"/>
            </w:tcBorders>
            <w:shd w:val="clear" w:color="auto" w:fill="auto"/>
            <w:noWrap/>
            <w:vAlign w:val="bottom"/>
            <w:hideMark/>
          </w:tcPr>
          <w:p w14:paraId="6CFAA71A" w14:textId="77777777" w:rsidR="00AF7DED" w:rsidRPr="00EC4336" w:rsidRDefault="00AF7DED" w:rsidP="00AF7DED">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14.68</w:t>
            </w:r>
          </w:p>
        </w:tc>
        <w:tc>
          <w:tcPr>
            <w:tcW w:w="2787" w:type="dxa"/>
            <w:tcBorders>
              <w:top w:val="nil"/>
              <w:left w:val="nil"/>
              <w:bottom w:val="single" w:sz="4" w:space="0" w:color="auto"/>
              <w:right w:val="single" w:sz="4" w:space="0" w:color="auto"/>
            </w:tcBorders>
            <w:shd w:val="clear" w:color="auto" w:fill="auto"/>
            <w:noWrap/>
            <w:vAlign w:val="bottom"/>
            <w:hideMark/>
          </w:tcPr>
          <w:p w14:paraId="66E9834F" w14:textId="77777777" w:rsidR="00AF7DED" w:rsidRPr="00EC4336" w:rsidRDefault="00AF7DED" w:rsidP="00AF7DED">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2.78</w:t>
            </w:r>
          </w:p>
        </w:tc>
      </w:tr>
      <w:tr w:rsidR="00AF7DED" w:rsidRPr="00EC4336" w14:paraId="502B18DB" w14:textId="77777777" w:rsidTr="000A4665">
        <w:trPr>
          <w:trHeight w:val="698"/>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14:paraId="0FE8EC8C" w14:textId="77777777" w:rsidR="00AF7DED" w:rsidRPr="00EC4336" w:rsidRDefault="00AF7DED" w:rsidP="00AF7DED">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2022</w:t>
            </w:r>
          </w:p>
        </w:tc>
        <w:tc>
          <w:tcPr>
            <w:tcW w:w="4338" w:type="dxa"/>
            <w:tcBorders>
              <w:top w:val="nil"/>
              <w:left w:val="nil"/>
              <w:bottom w:val="single" w:sz="4" w:space="0" w:color="auto"/>
              <w:right w:val="single" w:sz="4" w:space="0" w:color="auto"/>
            </w:tcBorders>
            <w:shd w:val="clear" w:color="auto" w:fill="auto"/>
            <w:noWrap/>
            <w:vAlign w:val="bottom"/>
            <w:hideMark/>
          </w:tcPr>
          <w:p w14:paraId="75C764A3" w14:textId="5469069F" w:rsidR="00AF7DED" w:rsidRPr="00EC4336" w:rsidRDefault="00AF7DED" w:rsidP="00AF7DED">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13.83</w:t>
            </w:r>
          </w:p>
        </w:tc>
        <w:tc>
          <w:tcPr>
            <w:tcW w:w="2787" w:type="dxa"/>
            <w:tcBorders>
              <w:top w:val="nil"/>
              <w:left w:val="nil"/>
              <w:bottom w:val="single" w:sz="4" w:space="0" w:color="auto"/>
              <w:right w:val="single" w:sz="4" w:space="0" w:color="auto"/>
            </w:tcBorders>
            <w:shd w:val="clear" w:color="auto" w:fill="auto"/>
            <w:noWrap/>
            <w:vAlign w:val="bottom"/>
            <w:hideMark/>
          </w:tcPr>
          <w:p w14:paraId="7D6CC0BD" w14:textId="77777777" w:rsidR="00AF7DED" w:rsidRPr="00EC4336" w:rsidRDefault="00AF7DED" w:rsidP="00AF7DED">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3.97</w:t>
            </w:r>
          </w:p>
        </w:tc>
      </w:tr>
      <w:tr w:rsidR="00AF7DED" w:rsidRPr="00EC4336" w14:paraId="7FC53DEB" w14:textId="77777777" w:rsidTr="000A4665">
        <w:trPr>
          <w:trHeight w:val="708"/>
        </w:trPr>
        <w:tc>
          <w:tcPr>
            <w:tcW w:w="1942" w:type="dxa"/>
            <w:tcBorders>
              <w:top w:val="nil"/>
              <w:left w:val="single" w:sz="4" w:space="0" w:color="auto"/>
              <w:bottom w:val="single" w:sz="4" w:space="0" w:color="auto"/>
              <w:right w:val="single" w:sz="4" w:space="0" w:color="auto"/>
            </w:tcBorders>
            <w:shd w:val="clear" w:color="auto" w:fill="auto"/>
            <w:noWrap/>
            <w:vAlign w:val="bottom"/>
            <w:hideMark/>
          </w:tcPr>
          <w:p w14:paraId="20656FB0" w14:textId="252EB46C" w:rsidR="00AF7DED" w:rsidRPr="00EC4336" w:rsidRDefault="00AF7DED" w:rsidP="00AF7DED">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2021</w:t>
            </w:r>
          </w:p>
        </w:tc>
        <w:tc>
          <w:tcPr>
            <w:tcW w:w="4338" w:type="dxa"/>
            <w:tcBorders>
              <w:top w:val="nil"/>
              <w:left w:val="nil"/>
              <w:bottom w:val="single" w:sz="4" w:space="0" w:color="auto"/>
              <w:right w:val="single" w:sz="4" w:space="0" w:color="auto"/>
            </w:tcBorders>
            <w:shd w:val="clear" w:color="auto" w:fill="auto"/>
            <w:noWrap/>
            <w:vAlign w:val="bottom"/>
            <w:hideMark/>
          </w:tcPr>
          <w:p w14:paraId="6E7A7C84" w14:textId="77777777" w:rsidR="00AF7DED" w:rsidRPr="00EC4336" w:rsidRDefault="00AF7DED" w:rsidP="00AF7DED">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13.74</w:t>
            </w:r>
          </w:p>
        </w:tc>
        <w:tc>
          <w:tcPr>
            <w:tcW w:w="2787" w:type="dxa"/>
            <w:tcBorders>
              <w:top w:val="nil"/>
              <w:left w:val="nil"/>
              <w:bottom w:val="single" w:sz="4" w:space="0" w:color="auto"/>
              <w:right w:val="single" w:sz="4" w:space="0" w:color="auto"/>
            </w:tcBorders>
            <w:shd w:val="clear" w:color="auto" w:fill="auto"/>
            <w:noWrap/>
            <w:vAlign w:val="bottom"/>
            <w:hideMark/>
          </w:tcPr>
          <w:p w14:paraId="6C07BC07" w14:textId="77777777" w:rsidR="00AF7DED" w:rsidRPr="00EC4336" w:rsidRDefault="00AF7DED" w:rsidP="00AF7DED">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4.98</w:t>
            </w:r>
          </w:p>
        </w:tc>
      </w:tr>
    </w:tbl>
    <w:p w14:paraId="7F653C4A" w14:textId="60BF7421" w:rsidR="00763F08" w:rsidRPr="00EC4336" w:rsidRDefault="00763F08" w:rsidP="00EC4336">
      <w:pPr>
        <w:spacing w:line="360" w:lineRule="auto"/>
        <w:jc w:val="both"/>
        <w:rPr>
          <w:rFonts w:ascii="Times New Roman" w:hAnsi="Times New Roman" w:cs="Times New Roman"/>
          <w:b/>
          <w:bCs/>
          <w:sz w:val="24"/>
          <w:szCs w:val="24"/>
        </w:rPr>
      </w:pPr>
      <w:r w:rsidRPr="00EC4336">
        <w:rPr>
          <w:rFonts w:ascii="Times New Roman" w:hAnsi="Times New Roman" w:cs="Times New Roman"/>
          <w:b/>
          <w:bCs/>
          <w:sz w:val="24"/>
          <w:szCs w:val="24"/>
        </w:rPr>
        <w:t xml:space="preserve">Hypothesis </w:t>
      </w:r>
      <w:r w:rsidR="00FF22DB" w:rsidRPr="00EC4336">
        <w:rPr>
          <w:rFonts w:ascii="Times New Roman" w:hAnsi="Times New Roman" w:cs="Times New Roman"/>
          <w:b/>
          <w:bCs/>
          <w:sz w:val="24"/>
          <w:szCs w:val="24"/>
        </w:rPr>
        <w:t>1</w:t>
      </w:r>
      <w:r w:rsidRPr="00EC4336">
        <w:rPr>
          <w:rFonts w:ascii="Times New Roman" w:hAnsi="Times New Roman" w:cs="Times New Roman"/>
          <w:b/>
          <w:bCs/>
          <w:sz w:val="24"/>
          <w:szCs w:val="24"/>
        </w:rPr>
        <w:t xml:space="preserve">: </w:t>
      </w:r>
      <w:bookmarkStart w:id="0" w:name="_Hlk141312258"/>
      <w:r w:rsidRPr="00EC4336">
        <w:rPr>
          <w:rFonts w:ascii="Times New Roman" w:hAnsi="Times New Roman" w:cs="Times New Roman"/>
          <w:b/>
          <w:bCs/>
          <w:sz w:val="24"/>
          <w:szCs w:val="24"/>
        </w:rPr>
        <w:t xml:space="preserve">There is a significant negative correlation between the Capital Adequacy Ratio and the Gross </w:t>
      </w:r>
      <w:bookmarkEnd w:id="0"/>
      <w:r w:rsidR="002761E0" w:rsidRPr="00EC4336">
        <w:rPr>
          <w:rFonts w:ascii="Times New Roman" w:hAnsi="Times New Roman" w:cs="Times New Roman"/>
          <w:b/>
          <w:bCs/>
          <w:sz w:val="24"/>
          <w:szCs w:val="24"/>
        </w:rPr>
        <w:t>NPA ratio</w:t>
      </w:r>
      <w:r w:rsidRPr="00EC4336">
        <w:rPr>
          <w:rFonts w:ascii="Times New Roman" w:hAnsi="Times New Roman" w:cs="Times New Roman"/>
          <w:b/>
          <w:bCs/>
          <w:sz w:val="24"/>
          <w:szCs w:val="24"/>
        </w:rPr>
        <w:t xml:space="preserve"> for all the </w:t>
      </w:r>
      <w:r w:rsidR="002761E0" w:rsidRPr="00EC4336">
        <w:rPr>
          <w:rFonts w:ascii="Times New Roman" w:hAnsi="Times New Roman" w:cs="Times New Roman"/>
          <w:b/>
          <w:bCs/>
          <w:sz w:val="24"/>
          <w:szCs w:val="24"/>
        </w:rPr>
        <w:t>banks,</w:t>
      </w:r>
      <w:r w:rsidRPr="00EC4336">
        <w:rPr>
          <w:rFonts w:ascii="Times New Roman" w:hAnsi="Times New Roman" w:cs="Times New Roman"/>
          <w:b/>
          <w:bCs/>
          <w:sz w:val="24"/>
          <w:szCs w:val="24"/>
        </w:rPr>
        <w:t xml:space="preserve"> indicating that banks with higher capital adequacy tend to have lower Gross NPA ratios.</w:t>
      </w:r>
    </w:p>
    <w:p w14:paraId="7FD7AC62" w14:textId="4F64C4E4" w:rsidR="002761E0" w:rsidRPr="009D3282" w:rsidRDefault="002761E0" w:rsidP="009D3282">
      <w:pPr>
        <w:spacing w:line="360" w:lineRule="auto"/>
        <w:jc w:val="both"/>
        <w:rPr>
          <w:rFonts w:ascii="Times New Roman" w:hAnsi="Times New Roman" w:cs="Times New Roman"/>
          <w:b/>
          <w:bCs/>
          <w:sz w:val="24"/>
          <w:szCs w:val="24"/>
        </w:rPr>
      </w:pPr>
    </w:p>
    <w:tbl>
      <w:tblPr>
        <w:tblpPr w:leftFromText="180" w:rightFromText="180" w:vertAnchor="text" w:horzAnchor="margin" w:tblpY="5263"/>
        <w:tblW w:w="9067" w:type="dxa"/>
        <w:tblLook w:val="04A0" w:firstRow="1" w:lastRow="0" w:firstColumn="1" w:lastColumn="0" w:noHBand="0" w:noVBand="1"/>
      </w:tblPr>
      <w:tblGrid>
        <w:gridCol w:w="1921"/>
        <w:gridCol w:w="3886"/>
        <w:gridCol w:w="3260"/>
      </w:tblGrid>
      <w:tr w:rsidR="002761E0" w:rsidRPr="00EC4336" w14:paraId="57770278" w14:textId="77777777" w:rsidTr="000A4665">
        <w:trPr>
          <w:trHeight w:val="699"/>
        </w:trPr>
        <w:tc>
          <w:tcPr>
            <w:tcW w:w="90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884AF" w14:textId="10FC7404" w:rsidR="002761E0" w:rsidRPr="00EC4336" w:rsidRDefault="002761E0" w:rsidP="000A4665">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lastRenderedPageBreak/>
              <w:t>Other Public Sector Banks (Excluding SBI)</w:t>
            </w:r>
          </w:p>
        </w:tc>
      </w:tr>
      <w:tr w:rsidR="002761E0" w:rsidRPr="00EC4336" w14:paraId="49457BE2" w14:textId="77777777" w:rsidTr="000A4665">
        <w:trPr>
          <w:trHeight w:val="701"/>
        </w:trPr>
        <w:tc>
          <w:tcPr>
            <w:tcW w:w="1921" w:type="dxa"/>
            <w:tcBorders>
              <w:top w:val="nil"/>
              <w:left w:val="single" w:sz="4" w:space="0" w:color="auto"/>
              <w:bottom w:val="single" w:sz="4" w:space="0" w:color="auto"/>
              <w:right w:val="single" w:sz="4" w:space="0" w:color="auto"/>
            </w:tcBorders>
            <w:shd w:val="clear" w:color="auto" w:fill="auto"/>
            <w:noWrap/>
            <w:vAlign w:val="center"/>
            <w:hideMark/>
          </w:tcPr>
          <w:p w14:paraId="0BA687B8" w14:textId="77777777" w:rsidR="002761E0" w:rsidRPr="00EC4336" w:rsidRDefault="002761E0" w:rsidP="000A4665">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t>Year</w:t>
            </w:r>
          </w:p>
        </w:tc>
        <w:tc>
          <w:tcPr>
            <w:tcW w:w="3886" w:type="dxa"/>
            <w:tcBorders>
              <w:top w:val="nil"/>
              <w:left w:val="nil"/>
              <w:bottom w:val="single" w:sz="4" w:space="0" w:color="auto"/>
              <w:right w:val="single" w:sz="4" w:space="0" w:color="auto"/>
            </w:tcBorders>
            <w:shd w:val="clear" w:color="auto" w:fill="auto"/>
            <w:vAlign w:val="center"/>
            <w:hideMark/>
          </w:tcPr>
          <w:p w14:paraId="0EB15452" w14:textId="77777777" w:rsidR="002761E0" w:rsidRPr="00EC4336" w:rsidRDefault="002761E0" w:rsidP="000A4665">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t>Average Capital Adequacy Ratio</w:t>
            </w:r>
          </w:p>
        </w:tc>
        <w:tc>
          <w:tcPr>
            <w:tcW w:w="3260" w:type="dxa"/>
            <w:tcBorders>
              <w:top w:val="nil"/>
              <w:left w:val="nil"/>
              <w:bottom w:val="single" w:sz="4" w:space="0" w:color="auto"/>
              <w:right w:val="single" w:sz="4" w:space="0" w:color="auto"/>
            </w:tcBorders>
            <w:shd w:val="clear" w:color="auto" w:fill="auto"/>
            <w:vAlign w:val="center"/>
            <w:hideMark/>
          </w:tcPr>
          <w:p w14:paraId="43FC834A" w14:textId="286B872F" w:rsidR="002761E0" w:rsidRPr="00EC4336" w:rsidRDefault="002761E0" w:rsidP="000A4665">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t>Average Gross NPA</w:t>
            </w:r>
          </w:p>
        </w:tc>
      </w:tr>
      <w:tr w:rsidR="002761E0" w:rsidRPr="00EC4336" w14:paraId="000E9F70" w14:textId="77777777" w:rsidTr="000A4665">
        <w:trPr>
          <w:trHeight w:val="556"/>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09AE6A51" w14:textId="3CF5FEFF" w:rsidR="002761E0" w:rsidRPr="00EC4336" w:rsidRDefault="002761E0" w:rsidP="000A4665">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2023</w:t>
            </w:r>
          </w:p>
        </w:tc>
        <w:tc>
          <w:tcPr>
            <w:tcW w:w="3886" w:type="dxa"/>
            <w:tcBorders>
              <w:top w:val="nil"/>
              <w:left w:val="nil"/>
              <w:bottom w:val="single" w:sz="4" w:space="0" w:color="auto"/>
              <w:right w:val="single" w:sz="4" w:space="0" w:color="auto"/>
            </w:tcBorders>
            <w:shd w:val="clear" w:color="auto" w:fill="auto"/>
            <w:noWrap/>
            <w:vAlign w:val="bottom"/>
            <w:hideMark/>
          </w:tcPr>
          <w:p w14:paraId="03315768" w14:textId="77777777" w:rsidR="002761E0" w:rsidRPr="00EC4336" w:rsidRDefault="002761E0" w:rsidP="000A4665">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16.21</w:t>
            </w:r>
          </w:p>
        </w:tc>
        <w:tc>
          <w:tcPr>
            <w:tcW w:w="3260" w:type="dxa"/>
            <w:tcBorders>
              <w:top w:val="nil"/>
              <w:left w:val="nil"/>
              <w:bottom w:val="single" w:sz="4" w:space="0" w:color="auto"/>
              <w:right w:val="single" w:sz="4" w:space="0" w:color="auto"/>
            </w:tcBorders>
            <w:shd w:val="clear" w:color="auto" w:fill="auto"/>
            <w:noWrap/>
            <w:vAlign w:val="bottom"/>
            <w:hideMark/>
          </w:tcPr>
          <w:p w14:paraId="16F2EA2E" w14:textId="64AE1E13" w:rsidR="002761E0" w:rsidRPr="00EC4336" w:rsidRDefault="002761E0" w:rsidP="000A4665">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6.25</w:t>
            </w:r>
          </w:p>
        </w:tc>
      </w:tr>
      <w:tr w:rsidR="002761E0" w:rsidRPr="00EC4336" w14:paraId="30D3BA6E" w14:textId="77777777" w:rsidTr="000A4665">
        <w:trPr>
          <w:trHeight w:val="536"/>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C07430F" w14:textId="6950C4A9" w:rsidR="002761E0" w:rsidRPr="00EC4336" w:rsidRDefault="002761E0" w:rsidP="000A4665">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2022</w:t>
            </w:r>
          </w:p>
        </w:tc>
        <w:tc>
          <w:tcPr>
            <w:tcW w:w="3886" w:type="dxa"/>
            <w:tcBorders>
              <w:top w:val="nil"/>
              <w:left w:val="nil"/>
              <w:bottom w:val="single" w:sz="4" w:space="0" w:color="auto"/>
              <w:right w:val="single" w:sz="4" w:space="0" w:color="auto"/>
            </w:tcBorders>
            <w:shd w:val="clear" w:color="auto" w:fill="auto"/>
            <w:noWrap/>
            <w:vAlign w:val="bottom"/>
            <w:hideMark/>
          </w:tcPr>
          <w:p w14:paraId="4DA47935" w14:textId="77777777" w:rsidR="002761E0" w:rsidRPr="00EC4336" w:rsidRDefault="002761E0" w:rsidP="000A4665">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15.35</w:t>
            </w:r>
          </w:p>
        </w:tc>
        <w:tc>
          <w:tcPr>
            <w:tcW w:w="3260" w:type="dxa"/>
            <w:tcBorders>
              <w:top w:val="nil"/>
              <w:left w:val="nil"/>
              <w:bottom w:val="single" w:sz="4" w:space="0" w:color="auto"/>
              <w:right w:val="single" w:sz="4" w:space="0" w:color="auto"/>
            </w:tcBorders>
            <w:shd w:val="clear" w:color="auto" w:fill="auto"/>
            <w:noWrap/>
            <w:vAlign w:val="bottom"/>
            <w:hideMark/>
          </w:tcPr>
          <w:p w14:paraId="39CAB6CD" w14:textId="4222FDA2" w:rsidR="002761E0" w:rsidRPr="00EC4336" w:rsidRDefault="002761E0" w:rsidP="000A4665">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9.47</w:t>
            </w:r>
          </w:p>
        </w:tc>
      </w:tr>
      <w:tr w:rsidR="002761E0" w:rsidRPr="00EC4336" w14:paraId="59E902D3" w14:textId="77777777" w:rsidTr="000A4665">
        <w:trPr>
          <w:trHeight w:val="658"/>
        </w:trPr>
        <w:tc>
          <w:tcPr>
            <w:tcW w:w="1921" w:type="dxa"/>
            <w:tcBorders>
              <w:top w:val="nil"/>
              <w:left w:val="single" w:sz="4" w:space="0" w:color="auto"/>
              <w:bottom w:val="single" w:sz="4" w:space="0" w:color="auto"/>
              <w:right w:val="single" w:sz="4" w:space="0" w:color="auto"/>
            </w:tcBorders>
            <w:shd w:val="clear" w:color="auto" w:fill="auto"/>
            <w:noWrap/>
            <w:vAlign w:val="bottom"/>
            <w:hideMark/>
          </w:tcPr>
          <w:p w14:paraId="45A3CD46" w14:textId="1FF484E7" w:rsidR="002761E0" w:rsidRPr="00EC4336" w:rsidRDefault="002761E0" w:rsidP="000A4665">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2021</w:t>
            </w:r>
          </w:p>
        </w:tc>
        <w:tc>
          <w:tcPr>
            <w:tcW w:w="3886" w:type="dxa"/>
            <w:tcBorders>
              <w:top w:val="nil"/>
              <w:left w:val="nil"/>
              <w:bottom w:val="single" w:sz="4" w:space="0" w:color="auto"/>
              <w:right w:val="single" w:sz="4" w:space="0" w:color="auto"/>
            </w:tcBorders>
            <w:shd w:val="clear" w:color="auto" w:fill="auto"/>
            <w:noWrap/>
            <w:vAlign w:val="bottom"/>
            <w:hideMark/>
          </w:tcPr>
          <w:p w14:paraId="3806E2ED" w14:textId="77777777" w:rsidR="002761E0" w:rsidRPr="00EC4336" w:rsidRDefault="002761E0" w:rsidP="000A4665">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14.61</w:t>
            </w:r>
          </w:p>
        </w:tc>
        <w:tc>
          <w:tcPr>
            <w:tcW w:w="3260" w:type="dxa"/>
            <w:tcBorders>
              <w:top w:val="nil"/>
              <w:left w:val="nil"/>
              <w:bottom w:val="single" w:sz="4" w:space="0" w:color="auto"/>
              <w:right w:val="single" w:sz="4" w:space="0" w:color="auto"/>
            </w:tcBorders>
            <w:shd w:val="clear" w:color="auto" w:fill="auto"/>
            <w:noWrap/>
            <w:vAlign w:val="bottom"/>
            <w:hideMark/>
          </w:tcPr>
          <w:p w14:paraId="7B3C7888" w14:textId="38536414" w:rsidR="002761E0" w:rsidRPr="00EC4336" w:rsidRDefault="002761E0" w:rsidP="000A4665">
            <w:pPr>
              <w:spacing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11.65</w:t>
            </w:r>
          </w:p>
        </w:tc>
      </w:tr>
    </w:tbl>
    <w:p w14:paraId="2384F686" w14:textId="02A2E645" w:rsidR="00895993" w:rsidRDefault="002268D3" w:rsidP="00895993">
      <w:pPr>
        <w:tabs>
          <w:tab w:val="left" w:pos="2498"/>
        </w:tabs>
        <w:spacing w:line="360" w:lineRule="auto"/>
        <w:jc w:val="both"/>
        <w:rPr>
          <w:rFonts w:ascii="Times New Roman" w:hAnsi="Times New Roman" w:cs="Times New Roman"/>
          <w:b/>
          <w:bCs/>
          <w:sz w:val="24"/>
          <w:szCs w:val="24"/>
        </w:rPr>
      </w:pPr>
      <w:r w:rsidRPr="00EC4336">
        <w:rPr>
          <w:rFonts w:ascii="Times New Roman" w:hAnsi="Times New Roman" w:cs="Times New Roman"/>
          <w:noProof/>
          <w:sz w:val="24"/>
          <w:szCs w:val="24"/>
        </w:rPr>
        <w:drawing>
          <wp:anchor distT="0" distB="0" distL="114300" distR="114300" simplePos="0" relativeHeight="251666432" behindDoc="0" locked="0" layoutInCell="1" allowOverlap="1" wp14:anchorId="3E688CDB" wp14:editId="3E9390D3">
            <wp:simplePos x="0" y="0"/>
            <wp:positionH relativeFrom="column">
              <wp:posOffset>0</wp:posOffset>
            </wp:positionH>
            <wp:positionV relativeFrom="paragraph">
              <wp:posOffset>0</wp:posOffset>
            </wp:positionV>
            <wp:extent cx="5730240" cy="3019425"/>
            <wp:effectExtent l="0" t="0" r="3810" b="9525"/>
            <wp:wrapSquare wrapText="bothSides"/>
            <wp:docPr id="1953408598" name="Chart 1">
              <a:extLst xmlns:a="http://schemas.openxmlformats.org/drawingml/2006/main">
                <a:ext uri="{FF2B5EF4-FFF2-40B4-BE49-F238E27FC236}">
                  <a16:creationId xmlns:a16="http://schemas.microsoft.com/office/drawing/2014/main" id="{5E682E14-F118-432D-4785-631DF84887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395EB454" w14:textId="46225F65" w:rsidR="004153EC" w:rsidRPr="002268D3" w:rsidRDefault="002268D3" w:rsidP="00895993">
      <w:pPr>
        <w:tabs>
          <w:tab w:val="left" w:pos="2498"/>
        </w:tabs>
        <w:spacing w:line="360" w:lineRule="auto"/>
        <w:jc w:val="both"/>
        <w:rPr>
          <w:rFonts w:ascii="Times New Roman" w:hAnsi="Times New Roman" w:cs="Times New Roman"/>
          <w:noProof/>
          <w:sz w:val="24"/>
          <w:szCs w:val="24"/>
        </w:rPr>
      </w:pPr>
      <w:r w:rsidRPr="00EC4336">
        <w:rPr>
          <w:rFonts w:ascii="Times New Roman" w:hAnsi="Times New Roman" w:cs="Times New Roman"/>
          <w:noProof/>
          <w:sz w:val="24"/>
          <w:szCs w:val="24"/>
        </w:rPr>
        <w:drawing>
          <wp:anchor distT="0" distB="0" distL="114300" distR="114300" simplePos="0" relativeHeight="251668480" behindDoc="0" locked="0" layoutInCell="1" allowOverlap="1" wp14:anchorId="08E36017" wp14:editId="15EA084F">
            <wp:simplePos x="0" y="0"/>
            <wp:positionH relativeFrom="column">
              <wp:posOffset>0</wp:posOffset>
            </wp:positionH>
            <wp:positionV relativeFrom="paragraph">
              <wp:posOffset>2383790</wp:posOffset>
            </wp:positionV>
            <wp:extent cx="5684520" cy="3057525"/>
            <wp:effectExtent l="0" t="0" r="11430" b="9525"/>
            <wp:wrapTopAndBottom/>
            <wp:docPr id="1468168138" name="Chart 1">
              <a:extLst xmlns:a="http://schemas.openxmlformats.org/drawingml/2006/main">
                <a:ext uri="{FF2B5EF4-FFF2-40B4-BE49-F238E27FC236}">
                  <a16:creationId xmlns:a16="http://schemas.microsoft.com/office/drawing/2014/main" id="{D0421E6B-70AB-D26B-B664-BD5EDA28DB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A5B59E8" w14:textId="143AC7D1" w:rsidR="00763F08" w:rsidRPr="00895993" w:rsidRDefault="00763F08" w:rsidP="00895993">
      <w:pPr>
        <w:tabs>
          <w:tab w:val="left" w:pos="2498"/>
        </w:tabs>
        <w:spacing w:line="360" w:lineRule="auto"/>
        <w:jc w:val="both"/>
        <w:rPr>
          <w:rFonts w:ascii="Times New Roman" w:hAnsi="Times New Roman" w:cs="Times New Roman"/>
          <w:sz w:val="24"/>
          <w:szCs w:val="24"/>
        </w:rPr>
      </w:pPr>
      <w:r w:rsidRPr="00EC4336">
        <w:rPr>
          <w:rFonts w:ascii="Times New Roman" w:hAnsi="Times New Roman" w:cs="Times New Roman"/>
          <w:b/>
          <w:bCs/>
          <w:sz w:val="24"/>
          <w:szCs w:val="24"/>
        </w:rPr>
        <w:lastRenderedPageBreak/>
        <w:t>INTERPRETATION</w:t>
      </w:r>
    </w:p>
    <w:p w14:paraId="0D94CFD5" w14:textId="5C9B6B2C" w:rsidR="00763F08" w:rsidRPr="00EC4336" w:rsidRDefault="00763F08" w:rsidP="00EC4336">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From the above table and graph, the study shows that, there is a negative correlation between the Capital Adequacy Ratio and the Gross NPA to Gross Advances ratio for both SBI and other Public Sector Banks. This supports Hypothesis, suggesting that banks with higher capital adequacy tend to have lower Gross NPA ratios.</w:t>
      </w:r>
    </w:p>
    <w:p w14:paraId="7B65227F" w14:textId="50F0414A" w:rsidR="004153EC" w:rsidRDefault="00763F08" w:rsidP="00EC4336">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For SBI, as the Capital Adequacy Ratio increases from 13.74% in 2021 to 14.68% in 2023, the Gross NPA to Gross Advances ratio consistently decreases from 4.98% in 2021 to 2.78% in 2023. Similarly, for OPSBs, as the Capital Adequacy Ratio increases from 14.61% in 2021 to 16.21% in 2023, the Gross NPA to Gross Advances ratio declines from 11.65% in 2021 to 6.25% in 2023.</w:t>
      </w:r>
    </w:p>
    <w:p w14:paraId="100278B9" w14:textId="54B0544E" w:rsidR="00A96028" w:rsidRDefault="00763F08" w:rsidP="00EC4336">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The comparison between SBI and OPSBs reveals interesting insights. The data shows that OPSBs generally have higher Capital Adequacy Ratios than SBI across the years, with an average CAR of according to RBI is approximately 12% for PSBs and around 10% for Private Sector Banks. This higher average CAR among OPSBs corresponds to their lower Gross NPA to Gross Advances ratios, which tend to be lower than those of SBI, supporting Hypothesis. The findings suggest that banks within OPSBs maintain more robust capital positions compared to both SBI and the overall PSBs, enabling them to effectively manage non-performing assets and reduce the incidence of Gross NPA.</w:t>
      </w:r>
    </w:p>
    <w:p w14:paraId="3D0F5A60" w14:textId="77777777" w:rsidR="001D3144" w:rsidRDefault="001D3144" w:rsidP="00EC4336">
      <w:pPr>
        <w:spacing w:line="360" w:lineRule="auto"/>
        <w:jc w:val="both"/>
        <w:rPr>
          <w:rFonts w:ascii="Times New Roman" w:hAnsi="Times New Roman" w:cs="Times New Roman"/>
          <w:sz w:val="24"/>
          <w:szCs w:val="24"/>
        </w:rPr>
      </w:pPr>
    </w:p>
    <w:p w14:paraId="353DA9F8" w14:textId="0EFFFD19" w:rsidR="002761E0" w:rsidRPr="002761E0" w:rsidRDefault="002761E0" w:rsidP="00EC4336">
      <w:pPr>
        <w:spacing w:line="360" w:lineRule="auto"/>
        <w:jc w:val="both"/>
        <w:rPr>
          <w:rFonts w:ascii="Times New Roman" w:hAnsi="Times New Roman" w:cs="Times New Roman"/>
          <w:b/>
          <w:bCs/>
          <w:sz w:val="24"/>
          <w:szCs w:val="24"/>
        </w:rPr>
      </w:pPr>
      <w:r w:rsidRPr="002761E0">
        <w:rPr>
          <w:rFonts w:ascii="Times New Roman" w:hAnsi="Times New Roman" w:cs="Times New Roman"/>
          <w:b/>
          <w:bCs/>
          <w:sz w:val="24"/>
          <w:szCs w:val="24"/>
        </w:rPr>
        <w:t>Correlation:</w:t>
      </w:r>
    </w:p>
    <w:tbl>
      <w:tblPr>
        <w:tblW w:w="75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76"/>
        <w:gridCol w:w="2038"/>
        <w:gridCol w:w="1503"/>
        <w:gridCol w:w="1504"/>
      </w:tblGrid>
      <w:tr w:rsidR="00763F08" w:rsidRPr="00EC4336" w14:paraId="3570ADA9" w14:textId="77777777" w:rsidTr="002761E0">
        <w:trPr>
          <w:cantSplit/>
          <w:trHeight w:val="922"/>
          <w:jc w:val="center"/>
        </w:trPr>
        <w:tc>
          <w:tcPr>
            <w:tcW w:w="4514" w:type="dxa"/>
            <w:gridSpan w:val="2"/>
            <w:tcBorders>
              <w:top w:val="single" w:sz="16" w:space="0" w:color="000000"/>
              <w:left w:val="single" w:sz="16" w:space="0" w:color="000000"/>
              <w:bottom w:val="single" w:sz="16" w:space="0" w:color="000000"/>
              <w:right w:val="nil"/>
            </w:tcBorders>
            <w:shd w:val="clear" w:color="auto" w:fill="FFFFFF"/>
            <w:vAlign w:val="bottom"/>
          </w:tcPr>
          <w:p w14:paraId="5AD7892A" w14:textId="77777777" w:rsidR="00763F08" w:rsidRPr="00EC4336" w:rsidRDefault="00763F08" w:rsidP="002761E0">
            <w:pPr>
              <w:rPr>
                <w:rFonts w:ascii="Times New Roman" w:hAnsi="Times New Roman" w:cs="Times New Roman"/>
                <w:sz w:val="24"/>
                <w:szCs w:val="24"/>
              </w:rPr>
            </w:pPr>
            <w:bookmarkStart w:id="1" w:name="_Hlk144798078"/>
          </w:p>
        </w:tc>
        <w:tc>
          <w:tcPr>
            <w:tcW w:w="1503" w:type="dxa"/>
            <w:tcBorders>
              <w:top w:val="single" w:sz="16" w:space="0" w:color="000000"/>
              <w:left w:val="single" w:sz="16" w:space="0" w:color="000000"/>
              <w:bottom w:val="single" w:sz="16" w:space="0" w:color="000000"/>
            </w:tcBorders>
            <w:shd w:val="clear" w:color="auto" w:fill="FFFFFF"/>
            <w:vAlign w:val="bottom"/>
          </w:tcPr>
          <w:p w14:paraId="19B60825"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Capital Adequacy Ratio</w:t>
            </w:r>
          </w:p>
        </w:tc>
        <w:tc>
          <w:tcPr>
            <w:tcW w:w="1504" w:type="dxa"/>
            <w:tcBorders>
              <w:top w:val="single" w:sz="16" w:space="0" w:color="000000"/>
              <w:bottom w:val="single" w:sz="16" w:space="0" w:color="000000"/>
              <w:right w:val="single" w:sz="16" w:space="0" w:color="000000"/>
            </w:tcBorders>
            <w:shd w:val="clear" w:color="auto" w:fill="FFFFFF"/>
            <w:vAlign w:val="bottom"/>
          </w:tcPr>
          <w:p w14:paraId="77633EE4"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GNPA to Gross advances</w:t>
            </w:r>
          </w:p>
        </w:tc>
      </w:tr>
      <w:tr w:rsidR="00763F08" w:rsidRPr="00EC4336" w14:paraId="4769A55C" w14:textId="77777777" w:rsidTr="002761E0">
        <w:trPr>
          <w:cantSplit/>
          <w:trHeight w:val="436"/>
          <w:jc w:val="center"/>
        </w:trPr>
        <w:tc>
          <w:tcPr>
            <w:tcW w:w="2476" w:type="dxa"/>
            <w:vMerge w:val="restart"/>
            <w:tcBorders>
              <w:top w:val="single" w:sz="16" w:space="0" w:color="000000"/>
              <w:left w:val="single" w:sz="16" w:space="0" w:color="000000"/>
              <w:right w:val="nil"/>
            </w:tcBorders>
            <w:shd w:val="clear" w:color="auto" w:fill="FFFFFF"/>
          </w:tcPr>
          <w:p w14:paraId="3EC2F78C"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Capital Adequacy Ratio</w:t>
            </w:r>
          </w:p>
        </w:tc>
        <w:tc>
          <w:tcPr>
            <w:tcW w:w="2038" w:type="dxa"/>
            <w:tcBorders>
              <w:top w:val="single" w:sz="16" w:space="0" w:color="000000"/>
              <w:left w:val="nil"/>
              <w:bottom w:val="nil"/>
              <w:right w:val="single" w:sz="16" w:space="0" w:color="000000"/>
            </w:tcBorders>
            <w:shd w:val="clear" w:color="auto" w:fill="FFFFFF"/>
          </w:tcPr>
          <w:p w14:paraId="589F96D1"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Pearson Correlation</w:t>
            </w:r>
          </w:p>
        </w:tc>
        <w:tc>
          <w:tcPr>
            <w:tcW w:w="1503" w:type="dxa"/>
            <w:tcBorders>
              <w:top w:val="single" w:sz="16" w:space="0" w:color="000000"/>
              <w:left w:val="single" w:sz="16" w:space="0" w:color="000000"/>
              <w:bottom w:val="nil"/>
            </w:tcBorders>
            <w:shd w:val="clear" w:color="auto" w:fill="FFFFFF"/>
            <w:vAlign w:val="center"/>
          </w:tcPr>
          <w:p w14:paraId="7D69AB69"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1</w:t>
            </w:r>
          </w:p>
        </w:tc>
        <w:tc>
          <w:tcPr>
            <w:tcW w:w="1504" w:type="dxa"/>
            <w:tcBorders>
              <w:top w:val="single" w:sz="16" w:space="0" w:color="000000"/>
              <w:bottom w:val="nil"/>
              <w:right w:val="single" w:sz="16" w:space="0" w:color="000000"/>
            </w:tcBorders>
            <w:shd w:val="clear" w:color="auto" w:fill="FFFFFF"/>
            <w:vAlign w:val="center"/>
          </w:tcPr>
          <w:p w14:paraId="59E1D307"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-.925</w:t>
            </w:r>
          </w:p>
        </w:tc>
      </w:tr>
      <w:tr w:rsidR="00763F08" w:rsidRPr="00EC4336" w14:paraId="785772DD" w14:textId="77777777" w:rsidTr="002761E0">
        <w:trPr>
          <w:cantSplit/>
          <w:trHeight w:val="109"/>
          <w:jc w:val="center"/>
        </w:trPr>
        <w:tc>
          <w:tcPr>
            <w:tcW w:w="2476" w:type="dxa"/>
            <w:vMerge/>
            <w:tcBorders>
              <w:top w:val="single" w:sz="16" w:space="0" w:color="000000"/>
              <w:left w:val="single" w:sz="16" w:space="0" w:color="000000"/>
              <w:right w:val="nil"/>
            </w:tcBorders>
            <w:shd w:val="clear" w:color="auto" w:fill="FFFFFF"/>
          </w:tcPr>
          <w:p w14:paraId="3AF990E4"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p>
        </w:tc>
        <w:tc>
          <w:tcPr>
            <w:tcW w:w="2038" w:type="dxa"/>
            <w:tcBorders>
              <w:top w:val="nil"/>
              <w:left w:val="nil"/>
              <w:bottom w:val="nil"/>
              <w:right w:val="single" w:sz="16" w:space="0" w:color="000000"/>
            </w:tcBorders>
            <w:shd w:val="clear" w:color="auto" w:fill="FFFFFF"/>
          </w:tcPr>
          <w:p w14:paraId="133845D6"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Sig. (2-tailed)</w:t>
            </w:r>
          </w:p>
        </w:tc>
        <w:tc>
          <w:tcPr>
            <w:tcW w:w="1503" w:type="dxa"/>
            <w:tcBorders>
              <w:top w:val="nil"/>
              <w:left w:val="single" w:sz="16" w:space="0" w:color="000000"/>
              <w:bottom w:val="nil"/>
            </w:tcBorders>
            <w:shd w:val="clear" w:color="auto" w:fill="FFFFFF"/>
            <w:vAlign w:val="center"/>
          </w:tcPr>
          <w:p w14:paraId="70DBCF66"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p>
        </w:tc>
        <w:tc>
          <w:tcPr>
            <w:tcW w:w="1504" w:type="dxa"/>
            <w:tcBorders>
              <w:top w:val="nil"/>
              <w:bottom w:val="nil"/>
              <w:right w:val="single" w:sz="16" w:space="0" w:color="000000"/>
            </w:tcBorders>
            <w:shd w:val="clear" w:color="auto" w:fill="FFFFFF"/>
            <w:vAlign w:val="center"/>
          </w:tcPr>
          <w:p w14:paraId="3BB05FC9"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.248</w:t>
            </w:r>
          </w:p>
        </w:tc>
      </w:tr>
      <w:tr w:rsidR="00763F08" w:rsidRPr="00EC4336" w14:paraId="2786330D" w14:textId="77777777" w:rsidTr="002761E0">
        <w:trPr>
          <w:cantSplit/>
          <w:trHeight w:val="109"/>
          <w:jc w:val="center"/>
        </w:trPr>
        <w:tc>
          <w:tcPr>
            <w:tcW w:w="2476" w:type="dxa"/>
            <w:vMerge/>
            <w:tcBorders>
              <w:top w:val="single" w:sz="16" w:space="0" w:color="000000"/>
              <w:left w:val="single" w:sz="16" w:space="0" w:color="000000"/>
              <w:right w:val="nil"/>
            </w:tcBorders>
            <w:shd w:val="clear" w:color="auto" w:fill="FFFFFF"/>
          </w:tcPr>
          <w:p w14:paraId="4DDE881D"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p>
        </w:tc>
        <w:tc>
          <w:tcPr>
            <w:tcW w:w="2038" w:type="dxa"/>
            <w:tcBorders>
              <w:top w:val="nil"/>
              <w:left w:val="nil"/>
              <w:right w:val="single" w:sz="16" w:space="0" w:color="000000"/>
            </w:tcBorders>
            <w:shd w:val="clear" w:color="auto" w:fill="FFFFFF"/>
          </w:tcPr>
          <w:p w14:paraId="6D1895E0"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N</w:t>
            </w:r>
          </w:p>
        </w:tc>
        <w:tc>
          <w:tcPr>
            <w:tcW w:w="1503" w:type="dxa"/>
            <w:tcBorders>
              <w:top w:val="nil"/>
              <w:left w:val="single" w:sz="16" w:space="0" w:color="000000"/>
            </w:tcBorders>
            <w:shd w:val="clear" w:color="auto" w:fill="FFFFFF"/>
            <w:vAlign w:val="center"/>
          </w:tcPr>
          <w:p w14:paraId="633AAE4E"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3</w:t>
            </w:r>
          </w:p>
        </w:tc>
        <w:tc>
          <w:tcPr>
            <w:tcW w:w="1504" w:type="dxa"/>
            <w:tcBorders>
              <w:top w:val="nil"/>
              <w:right w:val="single" w:sz="16" w:space="0" w:color="000000"/>
            </w:tcBorders>
            <w:shd w:val="clear" w:color="auto" w:fill="FFFFFF"/>
            <w:vAlign w:val="center"/>
          </w:tcPr>
          <w:p w14:paraId="5D3DD0F5"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3</w:t>
            </w:r>
          </w:p>
        </w:tc>
      </w:tr>
      <w:tr w:rsidR="00763F08" w:rsidRPr="00EC4336" w14:paraId="58887F3D" w14:textId="77777777" w:rsidTr="002761E0">
        <w:trPr>
          <w:cantSplit/>
          <w:trHeight w:val="436"/>
          <w:jc w:val="center"/>
        </w:trPr>
        <w:tc>
          <w:tcPr>
            <w:tcW w:w="2476" w:type="dxa"/>
            <w:vMerge w:val="restart"/>
            <w:tcBorders>
              <w:top w:val="nil"/>
              <w:left w:val="single" w:sz="16" w:space="0" w:color="000000"/>
              <w:bottom w:val="single" w:sz="16" w:space="0" w:color="000000"/>
              <w:right w:val="nil"/>
            </w:tcBorders>
            <w:shd w:val="clear" w:color="auto" w:fill="FFFFFF"/>
          </w:tcPr>
          <w:p w14:paraId="681E69FD"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GNPA to Gross advances</w:t>
            </w:r>
          </w:p>
          <w:p w14:paraId="10E6346F" w14:textId="77777777" w:rsidR="005676DB" w:rsidRPr="00EC4336" w:rsidRDefault="005676DB" w:rsidP="001D3144">
            <w:pPr>
              <w:spacing w:line="240" w:lineRule="auto"/>
              <w:jc w:val="both"/>
              <w:rPr>
                <w:rFonts w:ascii="Times New Roman" w:hAnsi="Times New Roman" w:cs="Times New Roman"/>
                <w:sz w:val="24"/>
                <w:szCs w:val="24"/>
              </w:rPr>
            </w:pPr>
          </w:p>
          <w:p w14:paraId="53C54874" w14:textId="5B2A1D30" w:rsidR="005676DB" w:rsidRPr="00EC4336" w:rsidRDefault="005676DB" w:rsidP="001D3144">
            <w:pPr>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w:t>
            </w:r>
          </w:p>
          <w:p w14:paraId="626150B6" w14:textId="77777777" w:rsidR="005676DB" w:rsidRPr="00EC4336" w:rsidRDefault="005676DB" w:rsidP="001D3144">
            <w:pPr>
              <w:spacing w:line="240" w:lineRule="auto"/>
              <w:jc w:val="both"/>
              <w:rPr>
                <w:rFonts w:ascii="Times New Roman" w:hAnsi="Times New Roman" w:cs="Times New Roman"/>
                <w:sz w:val="24"/>
                <w:szCs w:val="24"/>
              </w:rPr>
            </w:pPr>
          </w:p>
        </w:tc>
        <w:tc>
          <w:tcPr>
            <w:tcW w:w="2038" w:type="dxa"/>
            <w:tcBorders>
              <w:top w:val="nil"/>
              <w:left w:val="nil"/>
              <w:bottom w:val="nil"/>
              <w:right w:val="single" w:sz="16" w:space="0" w:color="000000"/>
            </w:tcBorders>
            <w:shd w:val="clear" w:color="auto" w:fill="FFFFFF"/>
          </w:tcPr>
          <w:p w14:paraId="4A6251E6"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Pearson Correlation</w:t>
            </w:r>
          </w:p>
        </w:tc>
        <w:tc>
          <w:tcPr>
            <w:tcW w:w="1503" w:type="dxa"/>
            <w:tcBorders>
              <w:top w:val="nil"/>
              <w:left w:val="single" w:sz="16" w:space="0" w:color="000000"/>
              <w:bottom w:val="nil"/>
            </w:tcBorders>
            <w:shd w:val="clear" w:color="auto" w:fill="FFFFFF"/>
            <w:vAlign w:val="center"/>
          </w:tcPr>
          <w:p w14:paraId="38ECC118"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-.925</w:t>
            </w:r>
          </w:p>
        </w:tc>
        <w:tc>
          <w:tcPr>
            <w:tcW w:w="1504" w:type="dxa"/>
            <w:tcBorders>
              <w:top w:val="nil"/>
              <w:bottom w:val="nil"/>
              <w:right w:val="single" w:sz="16" w:space="0" w:color="000000"/>
            </w:tcBorders>
            <w:shd w:val="clear" w:color="auto" w:fill="FFFFFF"/>
            <w:vAlign w:val="center"/>
          </w:tcPr>
          <w:p w14:paraId="6DB875B4"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1</w:t>
            </w:r>
          </w:p>
        </w:tc>
      </w:tr>
      <w:tr w:rsidR="00763F08" w:rsidRPr="00EC4336" w14:paraId="08721F4C" w14:textId="77777777" w:rsidTr="002761E0">
        <w:trPr>
          <w:cantSplit/>
          <w:trHeight w:val="109"/>
          <w:jc w:val="center"/>
        </w:trPr>
        <w:tc>
          <w:tcPr>
            <w:tcW w:w="2476" w:type="dxa"/>
            <w:vMerge/>
            <w:tcBorders>
              <w:top w:val="nil"/>
              <w:left w:val="single" w:sz="16" w:space="0" w:color="000000"/>
              <w:bottom w:val="single" w:sz="16" w:space="0" w:color="000000"/>
              <w:right w:val="nil"/>
            </w:tcBorders>
            <w:shd w:val="clear" w:color="auto" w:fill="FFFFFF"/>
          </w:tcPr>
          <w:p w14:paraId="078622F3"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p>
        </w:tc>
        <w:tc>
          <w:tcPr>
            <w:tcW w:w="2038" w:type="dxa"/>
            <w:tcBorders>
              <w:top w:val="nil"/>
              <w:left w:val="nil"/>
              <w:bottom w:val="nil"/>
              <w:right w:val="single" w:sz="16" w:space="0" w:color="000000"/>
            </w:tcBorders>
            <w:shd w:val="clear" w:color="auto" w:fill="FFFFFF"/>
          </w:tcPr>
          <w:p w14:paraId="3FF78B4F"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Sig. (2-tailed)</w:t>
            </w:r>
          </w:p>
        </w:tc>
        <w:tc>
          <w:tcPr>
            <w:tcW w:w="1503" w:type="dxa"/>
            <w:tcBorders>
              <w:top w:val="nil"/>
              <w:left w:val="single" w:sz="16" w:space="0" w:color="000000"/>
              <w:bottom w:val="nil"/>
            </w:tcBorders>
            <w:shd w:val="clear" w:color="auto" w:fill="FFFFFF"/>
            <w:vAlign w:val="center"/>
          </w:tcPr>
          <w:p w14:paraId="16A83709"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.248</w:t>
            </w:r>
          </w:p>
        </w:tc>
        <w:tc>
          <w:tcPr>
            <w:tcW w:w="1504" w:type="dxa"/>
            <w:tcBorders>
              <w:top w:val="nil"/>
              <w:bottom w:val="nil"/>
              <w:right w:val="single" w:sz="16" w:space="0" w:color="000000"/>
            </w:tcBorders>
            <w:shd w:val="clear" w:color="auto" w:fill="FFFFFF"/>
            <w:vAlign w:val="center"/>
          </w:tcPr>
          <w:p w14:paraId="4E5405DF"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p>
        </w:tc>
      </w:tr>
      <w:tr w:rsidR="00763F08" w:rsidRPr="00EC4336" w14:paraId="4D87361C" w14:textId="77777777" w:rsidTr="002761E0">
        <w:trPr>
          <w:cantSplit/>
          <w:trHeight w:val="109"/>
          <w:jc w:val="center"/>
        </w:trPr>
        <w:tc>
          <w:tcPr>
            <w:tcW w:w="2476" w:type="dxa"/>
            <w:vMerge/>
            <w:tcBorders>
              <w:top w:val="nil"/>
              <w:left w:val="single" w:sz="16" w:space="0" w:color="000000"/>
              <w:bottom w:val="single" w:sz="16" w:space="0" w:color="000000"/>
              <w:right w:val="nil"/>
            </w:tcBorders>
            <w:shd w:val="clear" w:color="auto" w:fill="FFFFFF"/>
          </w:tcPr>
          <w:p w14:paraId="1D274D93"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p>
        </w:tc>
        <w:tc>
          <w:tcPr>
            <w:tcW w:w="2038" w:type="dxa"/>
            <w:tcBorders>
              <w:top w:val="nil"/>
              <w:left w:val="nil"/>
              <w:bottom w:val="single" w:sz="16" w:space="0" w:color="000000"/>
              <w:right w:val="single" w:sz="16" w:space="0" w:color="000000"/>
            </w:tcBorders>
            <w:shd w:val="clear" w:color="auto" w:fill="FFFFFF"/>
          </w:tcPr>
          <w:p w14:paraId="07D7C544"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N</w:t>
            </w:r>
          </w:p>
        </w:tc>
        <w:tc>
          <w:tcPr>
            <w:tcW w:w="1503" w:type="dxa"/>
            <w:tcBorders>
              <w:top w:val="nil"/>
              <w:left w:val="single" w:sz="16" w:space="0" w:color="000000"/>
              <w:bottom w:val="single" w:sz="16" w:space="0" w:color="000000"/>
            </w:tcBorders>
            <w:shd w:val="clear" w:color="auto" w:fill="FFFFFF"/>
            <w:vAlign w:val="center"/>
          </w:tcPr>
          <w:p w14:paraId="7BB77267"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3</w:t>
            </w:r>
          </w:p>
        </w:tc>
        <w:tc>
          <w:tcPr>
            <w:tcW w:w="1504" w:type="dxa"/>
            <w:tcBorders>
              <w:top w:val="nil"/>
              <w:bottom w:val="single" w:sz="16" w:space="0" w:color="000000"/>
              <w:right w:val="single" w:sz="16" w:space="0" w:color="000000"/>
            </w:tcBorders>
            <w:shd w:val="clear" w:color="auto" w:fill="FFFFFF"/>
            <w:vAlign w:val="center"/>
          </w:tcPr>
          <w:p w14:paraId="47ACDC2B" w14:textId="77777777" w:rsidR="00763F08" w:rsidRPr="00EC4336" w:rsidRDefault="00763F08" w:rsidP="001D3144">
            <w:pPr>
              <w:tabs>
                <w:tab w:val="left" w:pos="2498"/>
              </w:tabs>
              <w:spacing w:line="240" w:lineRule="auto"/>
              <w:jc w:val="both"/>
              <w:rPr>
                <w:rFonts w:ascii="Times New Roman" w:hAnsi="Times New Roman" w:cs="Times New Roman"/>
                <w:sz w:val="24"/>
                <w:szCs w:val="24"/>
              </w:rPr>
            </w:pPr>
            <w:r w:rsidRPr="00EC4336">
              <w:rPr>
                <w:rFonts w:ascii="Times New Roman" w:hAnsi="Times New Roman" w:cs="Times New Roman"/>
                <w:sz w:val="24"/>
                <w:szCs w:val="24"/>
              </w:rPr>
              <w:t>3</w:t>
            </w:r>
          </w:p>
        </w:tc>
      </w:tr>
      <w:bookmarkEnd w:id="1"/>
    </w:tbl>
    <w:tbl>
      <w:tblPr>
        <w:tblpPr w:leftFromText="180" w:rightFromText="180" w:horzAnchor="margin" w:tblpXSpec="center" w:tblpY="-1440"/>
        <w:tblW w:w="78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1"/>
        <w:gridCol w:w="3173"/>
        <w:gridCol w:w="1520"/>
        <w:gridCol w:w="1673"/>
      </w:tblGrid>
      <w:tr w:rsidR="001D3144" w:rsidRPr="00EC4336" w14:paraId="306D06EF" w14:textId="77777777" w:rsidTr="00462878">
        <w:trPr>
          <w:cantSplit/>
        </w:trPr>
        <w:tc>
          <w:tcPr>
            <w:tcW w:w="4624" w:type="dxa"/>
            <w:gridSpan w:val="2"/>
            <w:tcBorders>
              <w:top w:val="single" w:sz="16" w:space="0" w:color="000000"/>
              <w:left w:val="single" w:sz="16" w:space="0" w:color="000000"/>
              <w:bottom w:val="single" w:sz="16" w:space="0" w:color="000000"/>
              <w:right w:val="nil"/>
            </w:tcBorders>
            <w:shd w:val="clear" w:color="auto" w:fill="FFFFFF"/>
            <w:vAlign w:val="bottom"/>
          </w:tcPr>
          <w:p w14:paraId="2ABEBC42" w14:textId="77777777" w:rsidR="001D3144" w:rsidRPr="00EC4336" w:rsidRDefault="001D3144" w:rsidP="00462878">
            <w:pPr>
              <w:spacing w:line="360" w:lineRule="auto"/>
              <w:jc w:val="both"/>
              <w:rPr>
                <w:rFonts w:ascii="Times New Roman" w:hAnsi="Times New Roman" w:cs="Times New Roman"/>
                <w:sz w:val="24"/>
                <w:szCs w:val="24"/>
              </w:rPr>
            </w:pPr>
          </w:p>
        </w:tc>
        <w:tc>
          <w:tcPr>
            <w:tcW w:w="1520" w:type="dxa"/>
            <w:tcBorders>
              <w:top w:val="single" w:sz="16" w:space="0" w:color="000000"/>
              <w:left w:val="single" w:sz="16" w:space="0" w:color="000000"/>
              <w:bottom w:val="single" w:sz="16" w:space="0" w:color="000000"/>
            </w:tcBorders>
            <w:shd w:val="clear" w:color="auto" w:fill="FFFFFF"/>
            <w:vAlign w:val="bottom"/>
          </w:tcPr>
          <w:p w14:paraId="7249004C"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Capital Adequacy Ratio</w:t>
            </w:r>
          </w:p>
        </w:tc>
        <w:tc>
          <w:tcPr>
            <w:tcW w:w="1673" w:type="dxa"/>
            <w:tcBorders>
              <w:top w:val="single" w:sz="16" w:space="0" w:color="000000"/>
              <w:bottom w:val="single" w:sz="16" w:space="0" w:color="000000"/>
              <w:right w:val="single" w:sz="16" w:space="0" w:color="000000"/>
            </w:tcBorders>
            <w:shd w:val="clear" w:color="auto" w:fill="FFFFFF"/>
            <w:vAlign w:val="bottom"/>
          </w:tcPr>
          <w:p w14:paraId="759D5905"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GNPA to Gross advances</w:t>
            </w:r>
          </w:p>
        </w:tc>
      </w:tr>
      <w:tr w:rsidR="001D3144" w:rsidRPr="00EC4336" w14:paraId="37B5CB98" w14:textId="77777777" w:rsidTr="00462878">
        <w:trPr>
          <w:cantSplit/>
        </w:trPr>
        <w:tc>
          <w:tcPr>
            <w:tcW w:w="1451" w:type="dxa"/>
            <w:vMerge w:val="restart"/>
            <w:tcBorders>
              <w:top w:val="single" w:sz="16" w:space="0" w:color="000000"/>
              <w:left w:val="single" w:sz="16" w:space="0" w:color="000000"/>
              <w:right w:val="nil"/>
            </w:tcBorders>
            <w:shd w:val="clear" w:color="auto" w:fill="FFFFFF"/>
          </w:tcPr>
          <w:p w14:paraId="61AFCAE0"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Capital Adequacy Ratio</w:t>
            </w:r>
          </w:p>
        </w:tc>
        <w:tc>
          <w:tcPr>
            <w:tcW w:w="3173" w:type="dxa"/>
            <w:tcBorders>
              <w:top w:val="single" w:sz="16" w:space="0" w:color="000000"/>
              <w:left w:val="nil"/>
              <w:bottom w:val="nil"/>
              <w:right w:val="single" w:sz="16" w:space="0" w:color="000000"/>
            </w:tcBorders>
            <w:shd w:val="clear" w:color="auto" w:fill="FFFFFF"/>
          </w:tcPr>
          <w:p w14:paraId="3006DB3A"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Pearson Correlation</w:t>
            </w:r>
          </w:p>
        </w:tc>
        <w:tc>
          <w:tcPr>
            <w:tcW w:w="1520" w:type="dxa"/>
            <w:tcBorders>
              <w:top w:val="single" w:sz="16" w:space="0" w:color="000000"/>
              <w:left w:val="single" w:sz="16" w:space="0" w:color="000000"/>
              <w:bottom w:val="nil"/>
            </w:tcBorders>
            <w:shd w:val="clear" w:color="auto" w:fill="FFFFFF"/>
            <w:vAlign w:val="center"/>
          </w:tcPr>
          <w:p w14:paraId="12151079"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1</w:t>
            </w:r>
          </w:p>
        </w:tc>
        <w:tc>
          <w:tcPr>
            <w:tcW w:w="1673" w:type="dxa"/>
            <w:tcBorders>
              <w:top w:val="single" w:sz="16" w:space="0" w:color="000000"/>
              <w:bottom w:val="nil"/>
              <w:right w:val="single" w:sz="16" w:space="0" w:color="000000"/>
            </w:tcBorders>
            <w:shd w:val="clear" w:color="auto" w:fill="FFFFFF"/>
            <w:vAlign w:val="center"/>
          </w:tcPr>
          <w:p w14:paraId="4D25A19C"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-.998</w:t>
            </w:r>
            <w:r w:rsidRPr="00EC4336">
              <w:rPr>
                <w:rFonts w:ascii="Times New Roman" w:hAnsi="Times New Roman" w:cs="Times New Roman"/>
                <w:sz w:val="24"/>
                <w:szCs w:val="24"/>
                <w:vertAlign w:val="superscript"/>
              </w:rPr>
              <w:t>*</w:t>
            </w:r>
          </w:p>
        </w:tc>
      </w:tr>
      <w:tr w:rsidR="001D3144" w:rsidRPr="00EC4336" w14:paraId="2C731836" w14:textId="77777777" w:rsidTr="00462878">
        <w:trPr>
          <w:cantSplit/>
        </w:trPr>
        <w:tc>
          <w:tcPr>
            <w:tcW w:w="1451" w:type="dxa"/>
            <w:vMerge/>
            <w:tcBorders>
              <w:top w:val="single" w:sz="16" w:space="0" w:color="000000"/>
              <w:left w:val="single" w:sz="16" w:space="0" w:color="000000"/>
              <w:right w:val="nil"/>
            </w:tcBorders>
            <w:shd w:val="clear" w:color="auto" w:fill="FFFFFF"/>
          </w:tcPr>
          <w:p w14:paraId="54504B9A" w14:textId="77777777" w:rsidR="001D3144" w:rsidRPr="00EC4336" w:rsidRDefault="001D3144" w:rsidP="00462878">
            <w:pPr>
              <w:spacing w:line="360" w:lineRule="auto"/>
              <w:jc w:val="both"/>
              <w:rPr>
                <w:rFonts w:ascii="Times New Roman" w:hAnsi="Times New Roman" w:cs="Times New Roman"/>
                <w:sz w:val="24"/>
                <w:szCs w:val="24"/>
              </w:rPr>
            </w:pPr>
          </w:p>
        </w:tc>
        <w:tc>
          <w:tcPr>
            <w:tcW w:w="3173" w:type="dxa"/>
            <w:tcBorders>
              <w:top w:val="nil"/>
              <w:left w:val="nil"/>
              <w:bottom w:val="nil"/>
              <w:right w:val="single" w:sz="16" w:space="0" w:color="000000"/>
            </w:tcBorders>
            <w:shd w:val="clear" w:color="auto" w:fill="FFFFFF"/>
          </w:tcPr>
          <w:p w14:paraId="2771346E"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Sig. (2-tailed)</w:t>
            </w:r>
          </w:p>
        </w:tc>
        <w:tc>
          <w:tcPr>
            <w:tcW w:w="1520" w:type="dxa"/>
            <w:tcBorders>
              <w:top w:val="nil"/>
              <w:left w:val="single" w:sz="16" w:space="0" w:color="000000"/>
              <w:bottom w:val="nil"/>
            </w:tcBorders>
            <w:shd w:val="clear" w:color="auto" w:fill="FFFFFF"/>
            <w:vAlign w:val="center"/>
          </w:tcPr>
          <w:p w14:paraId="3CF51F80" w14:textId="77777777" w:rsidR="001D3144" w:rsidRPr="00EC4336" w:rsidRDefault="001D3144" w:rsidP="00462878">
            <w:pPr>
              <w:spacing w:line="360" w:lineRule="auto"/>
              <w:jc w:val="both"/>
              <w:rPr>
                <w:rFonts w:ascii="Times New Roman" w:hAnsi="Times New Roman" w:cs="Times New Roman"/>
                <w:sz w:val="24"/>
                <w:szCs w:val="24"/>
              </w:rPr>
            </w:pPr>
          </w:p>
        </w:tc>
        <w:tc>
          <w:tcPr>
            <w:tcW w:w="1673" w:type="dxa"/>
            <w:tcBorders>
              <w:top w:val="nil"/>
              <w:bottom w:val="nil"/>
              <w:right w:val="single" w:sz="16" w:space="0" w:color="000000"/>
            </w:tcBorders>
            <w:shd w:val="clear" w:color="auto" w:fill="FFFFFF"/>
            <w:vAlign w:val="center"/>
          </w:tcPr>
          <w:p w14:paraId="22C64C8A"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.045</w:t>
            </w:r>
          </w:p>
        </w:tc>
      </w:tr>
      <w:tr w:rsidR="001D3144" w:rsidRPr="00EC4336" w14:paraId="57E6165D" w14:textId="77777777" w:rsidTr="00462878">
        <w:trPr>
          <w:cantSplit/>
        </w:trPr>
        <w:tc>
          <w:tcPr>
            <w:tcW w:w="1451" w:type="dxa"/>
            <w:vMerge/>
            <w:tcBorders>
              <w:top w:val="single" w:sz="16" w:space="0" w:color="000000"/>
              <w:left w:val="single" w:sz="16" w:space="0" w:color="000000"/>
              <w:right w:val="nil"/>
            </w:tcBorders>
            <w:shd w:val="clear" w:color="auto" w:fill="FFFFFF"/>
          </w:tcPr>
          <w:p w14:paraId="56748D6F" w14:textId="77777777" w:rsidR="001D3144" w:rsidRPr="00EC4336" w:rsidRDefault="001D3144" w:rsidP="00462878">
            <w:pPr>
              <w:spacing w:line="360" w:lineRule="auto"/>
              <w:jc w:val="both"/>
              <w:rPr>
                <w:rFonts w:ascii="Times New Roman" w:hAnsi="Times New Roman" w:cs="Times New Roman"/>
                <w:sz w:val="24"/>
                <w:szCs w:val="24"/>
              </w:rPr>
            </w:pPr>
          </w:p>
        </w:tc>
        <w:tc>
          <w:tcPr>
            <w:tcW w:w="3173" w:type="dxa"/>
            <w:tcBorders>
              <w:top w:val="nil"/>
              <w:left w:val="nil"/>
              <w:right w:val="single" w:sz="16" w:space="0" w:color="000000"/>
            </w:tcBorders>
            <w:shd w:val="clear" w:color="auto" w:fill="FFFFFF"/>
          </w:tcPr>
          <w:p w14:paraId="5062AF8B"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N</w:t>
            </w:r>
          </w:p>
        </w:tc>
        <w:tc>
          <w:tcPr>
            <w:tcW w:w="1520" w:type="dxa"/>
            <w:tcBorders>
              <w:top w:val="nil"/>
              <w:left w:val="single" w:sz="16" w:space="0" w:color="000000"/>
            </w:tcBorders>
            <w:shd w:val="clear" w:color="auto" w:fill="FFFFFF"/>
            <w:vAlign w:val="center"/>
          </w:tcPr>
          <w:p w14:paraId="74F547A0"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3</w:t>
            </w:r>
          </w:p>
        </w:tc>
        <w:tc>
          <w:tcPr>
            <w:tcW w:w="1673" w:type="dxa"/>
            <w:tcBorders>
              <w:top w:val="nil"/>
              <w:right w:val="single" w:sz="16" w:space="0" w:color="000000"/>
            </w:tcBorders>
            <w:shd w:val="clear" w:color="auto" w:fill="FFFFFF"/>
            <w:vAlign w:val="center"/>
          </w:tcPr>
          <w:p w14:paraId="00C9C70E"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3</w:t>
            </w:r>
          </w:p>
        </w:tc>
      </w:tr>
      <w:tr w:rsidR="001D3144" w:rsidRPr="00EC4336" w14:paraId="3CC545D6" w14:textId="77777777" w:rsidTr="00462878">
        <w:trPr>
          <w:cantSplit/>
        </w:trPr>
        <w:tc>
          <w:tcPr>
            <w:tcW w:w="1451" w:type="dxa"/>
            <w:vMerge w:val="restart"/>
            <w:tcBorders>
              <w:top w:val="nil"/>
              <w:left w:val="single" w:sz="16" w:space="0" w:color="000000"/>
              <w:bottom w:val="single" w:sz="16" w:space="0" w:color="000000"/>
              <w:right w:val="nil"/>
            </w:tcBorders>
            <w:shd w:val="clear" w:color="auto" w:fill="FFFFFF"/>
          </w:tcPr>
          <w:p w14:paraId="30F4C30E"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GNPA to Gross advances</w:t>
            </w:r>
          </w:p>
        </w:tc>
        <w:tc>
          <w:tcPr>
            <w:tcW w:w="3173" w:type="dxa"/>
            <w:tcBorders>
              <w:top w:val="nil"/>
              <w:left w:val="nil"/>
              <w:bottom w:val="nil"/>
              <w:right w:val="single" w:sz="16" w:space="0" w:color="000000"/>
            </w:tcBorders>
            <w:shd w:val="clear" w:color="auto" w:fill="FFFFFF"/>
          </w:tcPr>
          <w:p w14:paraId="38EBCA27"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Pearson Correlation</w:t>
            </w:r>
          </w:p>
        </w:tc>
        <w:tc>
          <w:tcPr>
            <w:tcW w:w="1520" w:type="dxa"/>
            <w:tcBorders>
              <w:top w:val="nil"/>
              <w:left w:val="single" w:sz="16" w:space="0" w:color="000000"/>
              <w:bottom w:val="nil"/>
            </w:tcBorders>
            <w:shd w:val="clear" w:color="auto" w:fill="FFFFFF"/>
            <w:vAlign w:val="center"/>
          </w:tcPr>
          <w:p w14:paraId="48B6FA62"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-.998</w:t>
            </w:r>
            <w:r w:rsidRPr="00EC4336">
              <w:rPr>
                <w:rFonts w:ascii="Times New Roman" w:hAnsi="Times New Roman" w:cs="Times New Roman"/>
                <w:sz w:val="24"/>
                <w:szCs w:val="24"/>
                <w:vertAlign w:val="superscript"/>
              </w:rPr>
              <w:t>*</w:t>
            </w:r>
          </w:p>
        </w:tc>
        <w:tc>
          <w:tcPr>
            <w:tcW w:w="1673" w:type="dxa"/>
            <w:tcBorders>
              <w:top w:val="nil"/>
              <w:bottom w:val="nil"/>
              <w:right w:val="single" w:sz="16" w:space="0" w:color="000000"/>
            </w:tcBorders>
            <w:shd w:val="clear" w:color="auto" w:fill="FFFFFF"/>
            <w:vAlign w:val="center"/>
          </w:tcPr>
          <w:p w14:paraId="2EB04EA1"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1</w:t>
            </w:r>
          </w:p>
        </w:tc>
      </w:tr>
      <w:tr w:rsidR="001D3144" w:rsidRPr="00EC4336" w14:paraId="4A79B5A1" w14:textId="77777777" w:rsidTr="00462878">
        <w:trPr>
          <w:cantSplit/>
        </w:trPr>
        <w:tc>
          <w:tcPr>
            <w:tcW w:w="1451" w:type="dxa"/>
            <w:vMerge/>
            <w:tcBorders>
              <w:top w:val="nil"/>
              <w:left w:val="single" w:sz="16" w:space="0" w:color="000000"/>
              <w:bottom w:val="single" w:sz="16" w:space="0" w:color="000000"/>
              <w:right w:val="nil"/>
            </w:tcBorders>
            <w:shd w:val="clear" w:color="auto" w:fill="FFFFFF"/>
          </w:tcPr>
          <w:p w14:paraId="77150A4A" w14:textId="77777777" w:rsidR="001D3144" w:rsidRPr="00EC4336" w:rsidRDefault="001D3144" w:rsidP="00462878">
            <w:pPr>
              <w:spacing w:line="360" w:lineRule="auto"/>
              <w:jc w:val="both"/>
              <w:rPr>
                <w:rFonts w:ascii="Times New Roman" w:hAnsi="Times New Roman" w:cs="Times New Roman"/>
                <w:sz w:val="24"/>
                <w:szCs w:val="24"/>
              </w:rPr>
            </w:pPr>
          </w:p>
        </w:tc>
        <w:tc>
          <w:tcPr>
            <w:tcW w:w="3173" w:type="dxa"/>
            <w:tcBorders>
              <w:top w:val="nil"/>
              <w:left w:val="nil"/>
              <w:bottom w:val="nil"/>
              <w:right w:val="single" w:sz="16" w:space="0" w:color="000000"/>
            </w:tcBorders>
            <w:shd w:val="clear" w:color="auto" w:fill="FFFFFF"/>
          </w:tcPr>
          <w:p w14:paraId="7D38BA21"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Sig. (2-tailed)</w:t>
            </w:r>
          </w:p>
        </w:tc>
        <w:tc>
          <w:tcPr>
            <w:tcW w:w="1520" w:type="dxa"/>
            <w:tcBorders>
              <w:top w:val="nil"/>
              <w:left w:val="single" w:sz="16" w:space="0" w:color="000000"/>
              <w:bottom w:val="nil"/>
            </w:tcBorders>
            <w:shd w:val="clear" w:color="auto" w:fill="FFFFFF"/>
            <w:vAlign w:val="center"/>
          </w:tcPr>
          <w:p w14:paraId="044990EF"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.045</w:t>
            </w:r>
          </w:p>
        </w:tc>
        <w:tc>
          <w:tcPr>
            <w:tcW w:w="1673" w:type="dxa"/>
            <w:tcBorders>
              <w:top w:val="nil"/>
              <w:bottom w:val="nil"/>
              <w:right w:val="single" w:sz="16" w:space="0" w:color="000000"/>
            </w:tcBorders>
            <w:shd w:val="clear" w:color="auto" w:fill="FFFFFF"/>
            <w:vAlign w:val="center"/>
          </w:tcPr>
          <w:p w14:paraId="1549C791" w14:textId="77777777" w:rsidR="001D3144" w:rsidRPr="00EC4336" w:rsidRDefault="001D3144" w:rsidP="00462878">
            <w:pPr>
              <w:spacing w:line="360" w:lineRule="auto"/>
              <w:jc w:val="both"/>
              <w:rPr>
                <w:rFonts w:ascii="Times New Roman" w:hAnsi="Times New Roman" w:cs="Times New Roman"/>
                <w:sz w:val="24"/>
                <w:szCs w:val="24"/>
              </w:rPr>
            </w:pPr>
          </w:p>
        </w:tc>
      </w:tr>
      <w:tr w:rsidR="001D3144" w:rsidRPr="00EC4336" w14:paraId="28C0B982" w14:textId="77777777" w:rsidTr="00462878">
        <w:trPr>
          <w:cantSplit/>
        </w:trPr>
        <w:tc>
          <w:tcPr>
            <w:tcW w:w="1451" w:type="dxa"/>
            <w:vMerge/>
            <w:tcBorders>
              <w:top w:val="nil"/>
              <w:left w:val="single" w:sz="16" w:space="0" w:color="000000"/>
              <w:bottom w:val="single" w:sz="16" w:space="0" w:color="000000"/>
              <w:right w:val="nil"/>
            </w:tcBorders>
            <w:shd w:val="clear" w:color="auto" w:fill="FFFFFF"/>
          </w:tcPr>
          <w:p w14:paraId="3A39C4EB" w14:textId="77777777" w:rsidR="001D3144" w:rsidRPr="00EC4336" w:rsidRDefault="001D3144" w:rsidP="00462878">
            <w:pPr>
              <w:spacing w:line="360" w:lineRule="auto"/>
              <w:jc w:val="both"/>
              <w:rPr>
                <w:rFonts w:ascii="Times New Roman" w:hAnsi="Times New Roman" w:cs="Times New Roman"/>
                <w:sz w:val="24"/>
                <w:szCs w:val="24"/>
              </w:rPr>
            </w:pPr>
          </w:p>
        </w:tc>
        <w:tc>
          <w:tcPr>
            <w:tcW w:w="3173" w:type="dxa"/>
            <w:tcBorders>
              <w:top w:val="nil"/>
              <w:left w:val="nil"/>
              <w:bottom w:val="single" w:sz="16" w:space="0" w:color="000000"/>
              <w:right w:val="single" w:sz="16" w:space="0" w:color="000000"/>
            </w:tcBorders>
            <w:shd w:val="clear" w:color="auto" w:fill="FFFFFF"/>
          </w:tcPr>
          <w:p w14:paraId="554446A2"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N</w:t>
            </w:r>
          </w:p>
        </w:tc>
        <w:tc>
          <w:tcPr>
            <w:tcW w:w="1520" w:type="dxa"/>
            <w:tcBorders>
              <w:top w:val="nil"/>
              <w:left w:val="single" w:sz="16" w:space="0" w:color="000000"/>
              <w:bottom w:val="single" w:sz="16" w:space="0" w:color="000000"/>
            </w:tcBorders>
            <w:shd w:val="clear" w:color="auto" w:fill="FFFFFF"/>
            <w:vAlign w:val="center"/>
          </w:tcPr>
          <w:p w14:paraId="375697D5"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3</w:t>
            </w:r>
          </w:p>
        </w:tc>
        <w:tc>
          <w:tcPr>
            <w:tcW w:w="1673" w:type="dxa"/>
            <w:tcBorders>
              <w:top w:val="nil"/>
              <w:bottom w:val="single" w:sz="16" w:space="0" w:color="000000"/>
              <w:right w:val="single" w:sz="16" w:space="0" w:color="000000"/>
            </w:tcBorders>
            <w:shd w:val="clear" w:color="auto" w:fill="FFFFFF"/>
            <w:vAlign w:val="center"/>
          </w:tcPr>
          <w:p w14:paraId="100B9E33"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3</w:t>
            </w:r>
          </w:p>
        </w:tc>
      </w:tr>
      <w:tr w:rsidR="001D3144" w:rsidRPr="00EC4336" w14:paraId="10AEA739" w14:textId="77777777" w:rsidTr="00462878">
        <w:trPr>
          <w:cantSplit/>
        </w:trPr>
        <w:tc>
          <w:tcPr>
            <w:tcW w:w="7817" w:type="dxa"/>
            <w:gridSpan w:val="4"/>
            <w:tcBorders>
              <w:top w:val="nil"/>
              <w:left w:val="nil"/>
              <w:bottom w:val="nil"/>
              <w:right w:val="nil"/>
            </w:tcBorders>
            <w:shd w:val="clear" w:color="auto" w:fill="FFFFFF"/>
          </w:tcPr>
          <w:p w14:paraId="049985CC" w14:textId="77777777" w:rsidR="001D3144" w:rsidRPr="00EC4336" w:rsidRDefault="001D3144" w:rsidP="00462878">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 Correlation is significant at the 0.05 level (2-tailed).</w:t>
            </w:r>
          </w:p>
        </w:tc>
      </w:tr>
    </w:tbl>
    <w:p w14:paraId="2E61DE80" w14:textId="77777777" w:rsidR="002761E0" w:rsidRDefault="002761E0" w:rsidP="00EC4336">
      <w:pPr>
        <w:spacing w:line="360" w:lineRule="auto"/>
        <w:jc w:val="both"/>
        <w:rPr>
          <w:rFonts w:ascii="Times New Roman" w:hAnsi="Times New Roman" w:cs="Times New Roman"/>
          <w:b/>
          <w:bCs/>
          <w:sz w:val="24"/>
          <w:szCs w:val="24"/>
        </w:rPr>
      </w:pPr>
    </w:p>
    <w:p w14:paraId="6DE0EF71" w14:textId="77777777" w:rsidR="000A4665" w:rsidRDefault="000A4665" w:rsidP="00EC4336">
      <w:pPr>
        <w:spacing w:line="360" w:lineRule="auto"/>
        <w:jc w:val="both"/>
        <w:rPr>
          <w:rFonts w:ascii="Times New Roman" w:hAnsi="Times New Roman" w:cs="Times New Roman"/>
          <w:b/>
          <w:bCs/>
          <w:sz w:val="24"/>
          <w:szCs w:val="24"/>
        </w:rPr>
      </w:pPr>
    </w:p>
    <w:p w14:paraId="0D960854" w14:textId="77777777" w:rsidR="000A4665" w:rsidRDefault="000A4665" w:rsidP="00EC4336">
      <w:pPr>
        <w:spacing w:line="360" w:lineRule="auto"/>
        <w:jc w:val="both"/>
        <w:rPr>
          <w:rFonts w:ascii="Times New Roman" w:hAnsi="Times New Roman" w:cs="Times New Roman"/>
          <w:b/>
          <w:bCs/>
          <w:sz w:val="24"/>
          <w:szCs w:val="24"/>
        </w:rPr>
      </w:pPr>
    </w:p>
    <w:p w14:paraId="1CB5BA63" w14:textId="77777777" w:rsidR="000A4665" w:rsidRDefault="000A4665" w:rsidP="00EC4336">
      <w:pPr>
        <w:spacing w:line="360" w:lineRule="auto"/>
        <w:jc w:val="both"/>
        <w:rPr>
          <w:rFonts w:ascii="Times New Roman" w:hAnsi="Times New Roman" w:cs="Times New Roman"/>
          <w:b/>
          <w:bCs/>
          <w:sz w:val="24"/>
          <w:szCs w:val="24"/>
        </w:rPr>
      </w:pPr>
    </w:p>
    <w:p w14:paraId="04EE75CE" w14:textId="77777777" w:rsidR="000A4665" w:rsidRDefault="000A4665" w:rsidP="00EC4336">
      <w:pPr>
        <w:spacing w:line="360" w:lineRule="auto"/>
        <w:jc w:val="both"/>
        <w:rPr>
          <w:rFonts w:ascii="Times New Roman" w:hAnsi="Times New Roman" w:cs="Times New Roman"/>
          <w:b/>
          <w:bCs/>
          <w:sz w:val="24"/>
          <w:szCs w:val="24"/>
        </w:rPr>
      </w:pPr>
    </w:p>
    <w:p w14:paraId="286A6A46" w14:textId="77777777" w:rsidR="000A4665" w:rsidRDefault="000A4665" w:rsidP="00EC4336">
      <w:pPr>
        <w:spacing w:line="360" w:lineRule="auto"/>
        <w:jc w:val="both"/>
        <w:rPr>
          <w:rFonts w:ascii="Times New Roman" w:hAnsi="Times New Roman" w:cs="Times New Roman"/>
          <w:b/>
          <w:bCs/>
          <w:sz w:val="24"/>
          <w:szCs w:val="24"/>
        </w:rPr>
      </w:pPr>
    </w:p>
    <w:p w14:paraId="47572B43" w14:textId="77777777" w:rsidR="000A4665" w:rsidRDefault="000A4665" w:rsidP="00EC4336">
      <w:pPr>
        <w:spacing w:line="360" w:lineRule="auto"/>
        <w:jc w:val="both"/>
        <w:rPr>
          <w:rFonts w:ascii="Times New Roman" w:hAnsi="Times New Roman" w:cs="Times New Roman"/>
          <w:b/>
          <w:bCs/>
          <w:sz w:val="24"/>
          <w:szCs w:val="24"/>
        </w:rPr>
      </w:pPr>
    </w:p>
    <w:p w14:paraId="4A471A93" w14:textId="77777777" w:rsidR="000A4665" w:rsidRDefault="000A4665" w:rsidP="00EC4336">
      <w:pPr>
        <w:spacing w:line="360" w:lineRule="auto"/>
        <w:jc w:val="both"/>
        <w:rPr>
          <w:rFonts w:ascii="Times New Roman" w:hAnsi="Times New Roman" w:cs="Times New Roman"/>
          <w:b/>
          <w:bCs/>
          <w:sz w:val="24"/>
          <w:szCs w:val="24"/>
        </w:rPr>
      </w:pPr>
    </w:p>
    <w:p w14:paraId="2D72249A" w14:textId="76237B88" w:rsidR="00763F08" w:rsidRPr="00EC4336" w:rsidRDefault="00763F08" w:rsidP="00EC4336">
      <w:pPr>
        <w:spacing w:line="360" w:lineRule="auto"/>
        <w:jc w:val="both"/>
        <w:rPr>
          <w:rFonts w:ascii="Times New Roman" w:hAnsi="Times New Roman" w:cs="Times New Roman"/>
          <w:b/>
          <w:bCs/>
          <w:sz w:val="24"/>
          <w:szCs w:val="24"/>
        </w:rPr>
      </w:pPr>
      <w:r w:rsidRPr="00EC4336">
        <w:rPr>
          <w:rFonts w:ascii="Times New Roman" w:hAnsi="Times New Roman" w:cs="Times New Roman"/>
          <w:b/>
          <w:bCs/>
          <w:sz w:val="24"/>
          <w:szCs w:val="24"/>
        </w:rPr>
        <w:t>The Problem:</w:t>
      </w:r>
    </w:p>
    <w:p w14:paraId="0EF2F02E" w14:textId="77777777" w:rsidR="00763F08" w:rsidRPr="00EC4336" w:rsidRDefault="00763F08" w:rsidP="00A96028">
      <w:pPr>
        <w:spacing w:after="0" w:line="360" w:lineRule="auto"/>
        <w:jc w:val="both"/>
        <w:rPr>
          <w:rFonts w:ascii="Times New Roman" w:hAnsi="Times New Roman" w:cs="Times New Roman"/>
          <w:sz w:val="24"/>
          <w:szCs w:val="24"/>
        </w:rPr>
      </w:pPr>
      <w:r w:rsidRPr="00EC4336">
        <w:rPr>
          <w:rFonts w:ascii="Times New Roman" w:hAnsi="Times New Roman" w:cs="Times New Roman"/>
          <w:sz w:val="24"/>
          <w:szCs w:val="24"/>
        </w:rPr>
        <w:t>Investigate the relationship between Capital Adequacy Ratio and Gross NPA.</w:t>
      </w:r>
    </w:p>
    <w:p w14:paraId="18F4CC16" w14:textId="77777777" w:rsidR="00763F08" w:rsidRPr="00A96028" w:rsidRDefault="00763F08" w:rsidP="00A96028">
      <w:pPr>
        <w:spacing w:after="0" w:line="360" w:lineRule="auto"/>
        <w:jc w:val="both"/>
        <w:rPr>
          <w:rFonts w:ascii="Times New Roman" w:hAnsi="Times New Roman" w:cs="Times New Roman"/>
          <w:sz w:val="12"/>
          <w:szCs w:val="12"/>
        </w:rPr>
      </w:pPr>
    </w:p>
    <w:p w14:paraId="02462463" w14:textId="77777777" w:rsidR="00763F08" w:rsidRPr="00EC4336" w:rsidRDefault="00763F08" w:rsidP="00A96028">
      <w:pPr>
        <w:spacing w:after="0" w:line="360" w:lineRule="auto"/>
        <w:jc w:val="both"/>
        <w:rPr>
          <w:rFonts w:ascii="Times New Roman" w:hAnsi="Times New Roman" w:cs="Times New Roman"/>
          <w:sz w:val="24"/>
          <w:szCs w:val="24"/>
        </w:rPr>
      </w:pPr>
      <w:r w:rsidRPr="00EC4336">
        <w:rPr>
          <w:rFonts w:ascii="Times New Roman" w:hAnsi="Times New Roman" w:cs="Times New Roman"/>
          <w:b/>
          <w:bCs/>
          <w:sz w:val="24"/>
          <w:szCs w:val="24"/>
        </w:rPr>
        <w:t>H</w:t>
      </w:r>
      <w:r w:rsidRPr="00EC4336">
        <w:rPr>
          <w:rFonts w:ascii="Times New Roman" w:hAnsi="Times New Roman" w:cs="Times New Roman"/>
          <w:b/>
          <w:bCs/>
          <w:sz w:val="24"/>
          <w:szCs w:val="24"/>
          <w:vertAlign w:val="subscript"/>
        </w:rPr>
        <w:t>1</w:t>
      </w:r>
      <w:r w:rsidRPr="00EC4336">
        <w:rPr>
          <w:rFonts w:ascii="Times New Roman" w:hAnsi="Times New Roman" w:cs="Times New Roman"/>
          <w:sz w:val="24"/>
          <w:szCs w:val="24"/>
        </w:rPr>
        <w:t>: There is a significant negative correlation between the Capital Adequacy Ratio and the Gross NPA to Gross Advances ratio for all the PSBs banks studied, indicating that banks with higher capital adequacy tend to have lower Gross NPA ratios.</w:t>
      </w:r>
    </w:p>
    <w:p w14:paraId="57EEACE0" w14:textId="77777777" w:rsidR="00763F08" w:rsidRDefault="00763F08" w:rsidP="00EC4336">
      <w:pPr>
        <w:spacing w:line="360" w:lineRule="auto"/>
        <w:jc w:val="both"/>
        <w:rPr>
          <w:rFonts w:ascii="Times New Roman" w:hAnsi="Times New Roman" w:cs="Times New Roman"/>
          <w:sz w:val="12"/>
          <w:szCs w:val="12"/>
        </w:rPr>
      </w:pPr>
    </w:p>
    <w:p w14:paraId="7A6AEF15" w14:textId="77777777" w:rsidR="00763F08" w:rsidRPr="00EC4336" w:rsidRDefault="00763F08" w:rsidP="00EC4336">
      <w:pPr>
        <w:spacing w:line="360" w:lineRule="auto"/>
        <w:jc w:val="both"/>
        <w:rPr>
          <w:rFonts w:ascii="Times New Roman" w:hAnsi="Times New Roman" w:cs="Times New Roman"/>
          <w:b/>
          <w:bCs/>
          <w:sz w:val="24"/>
          <w:szCs w:val="24"/>
        </w:rPr>
      </w:pPr>
      <w:r w:rsidRPr="00EC4336">
        <w:rPr>
          <w:rFonts w:ascii="Times New Roman" w:hAnsi="Times New Roman" w:cs="Times New Roman"/>
          <w:b/>
          <w:bCs/>
          <w:sz w:val="24"/>
          <w:szCs w:val="24"/>
        </w:rPr>
        <w:t>Reporting Pearson Correlation</w:t>
      </w:r>
    </w:p>
    <w:p w14:paraId="7362E413" w14:textId="77777777" w:rsidR="00763F08" w:rsidRPr="00EC4336" w:rsidRDefault="00763F08" w:rsidP="00EC4336">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Pearson correlation analysis between Capital Adequacy Ratio and Gross NPA ratio, a very high negative correlation was observed for both State Bank of India and other Public Sector Banks (r = -0.925 for SBI and r = -0.998 for OPSBs). The correlation was found to be statistically insignificant for SBI (p &gt; 0.5) but statistically significant for OPSBs (p &lt; 0.5).</w:t>
      </w:r>
    </w:p>
    <w:p w14:paraId="33D49906" w14:textId="77777777" w:rsidR="00763F08" w:rsidRPr="00EC4336" w:rsidRDefault="00763F08" w:rsidP="00EC4336">
      <w:pPr>
        <w:spacing w:after="0" w:line="360" w:lineRule="auto"/>
        <w:jc w:val="both"/>
        <w:rPr>
          <w:rFonts w:ascii="Times New Roman" w:hAnsi="Times New Roman" w:cs="Times New Roman"/>
          <w:sz w:val="24"/>
          <w:szCs w:val="24"/>
        </w:rPr>
      </w:pPr>
      <w:r w:rsidRPr="00EC4336">
        <w:rPr>
          <w:rFonts w:ascii="Times New Roman" w:hAnsi="Times New Roman" w:cs="Times New Roman"/>
          <w:sz w:val="24"/>
          <w:szCs w:val="24"/>
        </w:rPr>
        <w:t>These findings suggest that there is a strong negative association between Capital Adequacy Ratio and Gross NPA for both SBI and OPSBs. The data indicates that banks with higher capital adequacy tend to have lower Gross NPA ratios, supporting Hypothesis. However, while this relationship is statistically significant for OPSBs, caution is needed when interpreting the results for SBI due to the lack of statistical significance.</w:t>
      </w:r>
    </w:p>
    <w:p w14:paraId="7DFF5936" w14:textId="77777777" w:rsidR="00763F08" w:rsidRPr="00A96028" w:rsidRDefault="00763F08" w:rsidP="00EC4336">
      <w:pPr>
        <w:spacing w:after="0" w:line="360" w:lineRule="auto"/>
        <w:jc w:val="both"/>
        <w:rPr>
          <w:rFonts w:ascii="Times New Roman" w:hAnsi="Times New Roman" w:cs="Times New Roman"/>
          <w:sz w:val="12"/>
          <w:szCs w:val="12"/>
        </w:rPr>
      </w:pPr>
    </w:p>
    <w:p w14:paraId="1F8886A0" w14:textId="67740AE5" w:rsidR="004738AB" w:rsidRDefault="00763F08" w:rsidP="00A96028">
      <w:pPr>
        <w:spacing w:after="0" w:line="360" w:lineRule="auto"/>
        <w:jc w:val="both"/>
        <w:rPr>
          <w:rFonts w:ascii="Times New Roman" w:hAnsi="Times New Roman" w:cs="Times New Roman"/>
          <w:sz w:val="24"/>
          <w:szCs w:val="24"/>
        </w:rPr>
      </w:pPr>
      <w:r w:rsidRPr="00EC4336">
        <w:rPr>
          <w:rFonts w:ascii="Times New Roman" w:hAnsi="Times New Roman" w:cs="Times New Roman"/>
          <w:b/>
          <w:bCs/>
          <w:sz w:val="24"/>
          <w:szCs w:val="24"/>
        </w:rPr>
        <w:t>H</w:t>
      </w:r>
      <w:r w:rsidRPr="00EC4336">
        <w:rPr>
          <w:rFonts w:ascii="Times New Roman" w:hAnsi="Times New Roman" w:cs="Times New Roman"/>
          <w:b/>
          <w:bCs/>
          <w:sz w:val="24"/>
          <w:szCs w:val="24"/>
          <w:vertAlign w:val="subscript"/>
        </w:rPr>
        <w:t>1</w:t>
      </w:r>
      <w:r w:rsidRPr="00EC4336">
        <w:rPr>
          <w:rFonts w:ascii="Times New Roman" w:hAnsi="Times New Roman" w:cs="Times New Roman"/>
          <w:sz w:val="24"/>
          <w:szCs w:val="24"/>
        </w:rPr>
        <w:t xml:space="preserve">: Partially supported. OPSBs exhibit a significant negative correlation between Capital Adequacy Ratio and Gross NPA, indicating higher capital adequacy relates to lower Gross NPA ratios. For SBI, the correlation is not statistically significant, requiring caution in drawing conclusions. </w:t>
      </w:r>
    </w:p>
    <w:p w14:paraId="4DE37634" w14:textId="78CF4E9D" w:rsidR="00BE38F4" w:rsidRPr="006C610C" w:rsidRDefault="00BE38F4" w:rsidP="006C610C">
      <w:pPr>
        <w:pStyle w:val="ListParagraph"/>
        <w:numPr>
          <w:ilvl w:val="0"/>
          <w:numId w:val="14"/>
        </w:numPr>
        <w:spacing w:line="360" w:lineRule="auto"/>
        <w:jc w:val="both"/>
        <w:rPr>
          <w:rFonts w:ascii="Times New Roman" w:hAnsi="Times New Roman" w:cs="Times New Roman"/>
          <w:b/>
          <w:bCs/>
          <w:sz w:val="24"/>
          <w:szCs w:val="24"/>
        </w:rPr>
      </w:pPr>
      <w:r w:rsidRPr="006C610C">
        <w:rPr>
          <w:rFonts w:ascii="Times New Roman" w:hAnsi="Times New Roman" w:cs="Times New Roman"/>
          <w:b/>
          <w:bCs/>
          <w:sz w:val="24"/>
          <w:szCs w:val="24"/>
        </w:rPr>
        <w:lastRenderedPageBreak/>
        <w:t>Analysing Asset Quality Categories in 12 PSBs</w:t>
      </w:r>
    </w:p>
    <w:p w14:paraId="1DC3E8EA" w14:textId="77777777" w:rsidR="006C610C" w:rsidRPr="006C610C" w:rsidRDefault="006C610C" w:rsidP="006C610C">
      <w:pPr>
        <w:spacing w:line="360" w:lineRule="auto"/>
        <w:jc w:val="both"/>
        <w:rPr>
          <w:rFonts w:ascii="Times New Roman" w:hAnsi="Times New Roman" w:cs="Times New Roman"/>
          <w:b/>
          <w:bCs/>
          <w:sz w:val="12"/>
          <w:szCs w:val="12"/>
        </w:rPr>
      </w:pPr>
    </w:p>
    <w:tbl>
      <w:tblPr>
        <w:tblW w:w="6570" w:type="dxa"/>
        <w:tblInd w:w="655" w:type="dxa"/>
        <w:tblLook w:val="04A0" w:firstRow="1" w:lastRow="0" w:firstColumn="1" w:lastColumn="0" w:noHBand="0" w:noVBand="1"/>
      </w:tblPr>
      <w:tblGrid>
        <w:gridCol w:w="2742"/>
        <w:gridCol w:w="1843"/>
        <w:gridCol w:w="1985"/>
      </w:tblGrid>
      <w:tr w:rsidR="00BE38F4" w:rsidRPr="00EC4336" w14:paraId="3B507065" w14:textId="77777777" w:rsidTr="009F08AF">
        <w:trPr>
          <w:trHeight w:val="1054"/>
        </w:trPr>
        <w:tc>
          <w:tcPr>
            <w:tcW w:w="2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63A48" w14:textId="3EAF24FB" w:rsidR="00BE38F4" w:rsidRPr="00EC4336" w:rsidRDefault="00BE38F4" w:rsidP="009F08AF">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t>Banks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216C2D0" w14:textId="51A990B1" w:rsidR="00BE38F4" w:rsidRPr="00EC4336" w:rsidRDefault="00BE38F4" w:rsidP="009F08AF">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t>Capital Adequacy Ratio (Avg.)</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E3C5332" w14:textId="602A8CAB" w:rsidR="00BE38F4" w:rsidRPr="00EC4336" w:rsidRDefault="00BE38F4" w:rsidP="009F08AF">
            <w:pPr>
              <w:spacing w:after="0" w:line="360" w:lineRule="auto"/>
              <w:jc w:val="center"/>
              <w:rPr>
                <w:rFonts w:ascii="Times New Roman" w:eastAsia="Times New Roman" w:hAnsi="Times New Roman" w:cs="Times New Roman"/>
                <w:b/>
                <w:bCs/>
                <w:color w:val="000000"/>
                <w:kern w:val="0"/>
                <w:sz w:val="24"/>
                <w:szCs w:val="24"/>
                <w:lang w:eastAsia="en-IN"/>
                <w14:ligatures w14:val="none"/>
              </w:rPr>
            </w:pPr>
            <w:r w:rsidRPr="00EC4336">
              <w:rPr>
                <w:rFonts w:ascii="Times New Roman" w:eastAsia="Times New Roman" w:hAnsi="Times New Roman" w:cs="Times New Roman"/>
                <w:b/>
                <w:bCs/>
                <w:color w:val="000000"/>
                <w:kern w:val="0"/>
                <w:sz w:val="24"/>
                <w:szCs w:val="24"/>
                <w:lang w:eastAsia="en-IN"/>
                <w14:ligatures w14:val="none"/>
              </w:rPr>
              <w:t>Standard Assets Ratio (Avg.)</w:t>
            </w:r>
          </w:p>
        </w:tc>
      </w:tr>
      <w:tr w:rsidR="00BE38F4" w:rsidRPr="00EC4336" w14:paraId="5C41588F" w14:textId="77777777" w:rsidTr="009F08AF">
        <w:trPr>
          <w:trHeight w:val="236"/>
        </w:trPr>
        <w:tc>
          <w:tcPr>
            <w:tcW w:w="2742" w:type="dxa"/>
            <w:tcBorders>
              <w:top w:val="nil"/>
              <w:left w:val="single" w:sz="4" w:space="0" w:color="auto"/>
              <w:bottom w:val="single" w:sz="4" w:space="0" w:color="auto"/>
              <w:right w:val="single" w:sz="4" w:space="0" w:color="auto"/>
            </w:tcBorders>
            <w:shd w:val="clear" w:color="auto" w:fill="auto"/>
            <w:noWrap/>
            <w:vAlign w:val="center"/>
            <w:hideMark/>
          </w:tcPr>
          <w:p w14:paraId="17F49442" w14:textId="654CA20B" w:rsidR="00BE38F4" w:rsidRPr="00E6760C" w:rsidRDefault="00BE38F4" w:rsidP="00EC4336">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S</w:t>
            </w:r>
            <w:r w:rsidR="00E6760C">
              <w:rPr>
                <w:rFonts w:ascii="Times New Roman" w:eastAsia="Times New Roman" w:hAnsi="Times New Roman" w:cs="Times New Roman"/>
                <w:color w:val="000000"/>
                <w:kern w:val="0"/>
                <w:sz w:val="24"/>
                <w:szCs w:val="24"/>
                <w:lang w:eastAsia="en-IN"/>
                <w14:ligatures w14:val="none"/>
              </w:rPr>
              <w:t>tate Bank of India</w:t>
            </w:r>
          </w:p>
        </w:tc>
        <w:tc>
          <w:tcPr>
            <w:tcW w:w="1843" w:type="dxa"/>
            <w:tcBorders>
              <w:top w:val="nil"/>
              <w:left w:val="nil"/>
              <w:bottom w:val="single" w:sz="4" w:space="0" w:color="auto"/>
              <w:right w:val="single" w:sz="4" w:space="0" w:color="auto"/>
            </w:tcBorders>
            <w:shd w:val="clear" w:color="auto" w:fill="auto"/>
            <w:noWrap/>
            <w:vAlign w:val="center"/>
            <w:hideMark/>
          </w:tcPr>
          <w:p w14:paraId="1CE858FB"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14.1</w:t>
            </w:r>
          </w:p>
        </w:tc>
        <w:tc>
          <w:tcPr>
            <w:tcW w:w="1985" w:type="dxa"/>
            <w:tcBorders>
              <w:top w:val="nil"/>
              <w:left w:val="nil"/>
              <w:bottom w:val="single" w:sz="4" w:space="0" w:color="auto"/>
              <w:right w:val="single" w:sz="4" w:space="0" w:color="auto"/>
            </w:tcBorders>
            <w:shd w:val="clear" w:color="auto" w:fill="auto"/>
            <w:noWrap/>
            <w:vAlign w:val="center"/>
            <w:hideMark/>
          </w:tcPr>
          <w:p w14:paraId="18AA6715"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96.5</w:t>
            </w:r>
          </w:p>
        </w:tc>
      </w:tr>
      <w:tr w:rsidR="00BE38F4" w:rsidRPr="00EC4336" w14:paraId="5E69717A" w14:textId="77777777" w:rsidTr="009F08AF">
        <w:trPr>
          <w:trHeight w:val="236"/>
        </w:trPr>
        <w:tc>
          <w:tcPr>
            <w:tcW w:w="2742" w:type="dxa"/>
            <w:tcBorders>
              <w:top w:val="nil"/>
              <w:left w:val="single" w:sz="4" w:space="0" w:color="auto"/>
              <w:bottom w:val="single" w:sz="4" w:space="0" w:color="auto"/>
              <w:right w:val="single" w:sz="4" w:space="0" w:color="auto"/>
            </w:tcBorders>
            <w:shd w:val="clear" w:color="auto" w:fill="auto"/>
            <w:noWrap/>
            <w:vAlign w:val="center"/>
            <w:hideMark/>
          </w:tcPr>
          <w:p w14:paraId="51EF4E2C" w14:textId="1A7F4811" w:rsidR="00BE38F4" w:rsidRPr="00E6760C" w:rsidRDefault="00BE38F4" w:rsidP="00EC4336">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P</w:t>
            </w:r>
            <w:r w:rsidR="00E6760C">
              <w:rPr>
                <w:rFonts w:ascii="Times New Roman" w:eastAsia="Times New Roman" w:hAnsi="Times New Roman" w:cs="Times New Roman"/>
                <w:color w:val="000000"/>
                <w:kern w:val="0"/>
                <w:sz w:val="24"/>
                <w:szCs w:val="24"/>
                <w:lang w:eastAsia="en-IN"/>
                <w14:ligatures w14:val="none"/>
              </w:rPr>
              <w:t>unjab National Bank</w:t>
            </w:r>
          </w:p>
        </w:tc>
        <w:tc>
          <w:tcPr>
            <w:tcW w:w="1843" w:type="dxa"/>
            <w:tcBorders>
              <w:top w:val="nil"/>
              <w:left w:val="nil"/>
              <w:bottom w:val="single" w:sz="4" w:space="0" w:color="auto"/>
              <w:right w:val="single" w:sz="4" w:space="0" w:color="auto"/>
            </w:tcBorders>
            <w:shd w:val="clear" w:color="auto" w:fill="auto"/>
            <w:noWrap/>
            <w:vAlign w:val="center"/>
            <w:hideMark/>
          </w:tcPr>
          <w:p w14:paraId="6496E139"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14.8</w:t>
            </w:r>
          </w:p>
        </w:tc>
        <w:tc>
          <w:tcPr>
            <w:tcW w:w="1985" w:type="dxa"/>
            <w:tcBorders>
              <w:top w:val="nil"/>
              <w:left w:val="nil"/>
              <w:bottom w:val="single" w:sz="4" w:space="0" w:color="auto"/>
              <w:right w:val="single" w:sz="4" w:space="0" w:color="auto"/>
            </w:tcBorders>
            <w:shd w:val="clear" w:color="auto" w:fill="auto"/>
            <w:noWrap/>
            <w:vAlign w:val="center"/>
            <w:hideMark/>
          </w:tcPr>
          <w:p w14:paraId="0B4B2F7C"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88.5</w:t>
            </w:r>
          </w:p>
        </w:tc>
      </w:tr>
      <w:tr w:rsidR="00BE38F4" w:rsidRPr="00EC4336" w14:paraId="72017036" w14:textId="77777777" w:rsidTr="009F08AF">
        <w:trPr>
          <w:trHeight w:val="236"/>
        </w:trPr>
        <w:tc>
          <w:tcPr>
            <w:tcW w:w="2742" w:type="dxa"/>
            <w:tcBorders>
              <w:top w:val="nil"/>
              <w:left w:val="single" w:sz="4" w:space="0" w:color="auto"/>
              <w:bottom w:val="single" w:sz="4" w:space="0" w:color="auto"/>
              <w:right w:val="single" w:sz="4" w:space="0" w:color="auto"/>
            </w:tcBorders>
            <w:shd w:val="clear" w:color="auto" w:fill="auto"/>
            <w:noWrap/>
            <w:vAlign w:val="center"/>
            <w:hideMark/>
          </w:tcPr>
          <w:p w14:paraId="0E332F76" w14:textId="2F40CA69" w:rsidR="00BE38F4" w:rsidRPr="00E6760C" w:rsidRDefault="00E6760C" w:rsidP="00EC4336">
            <w:pPr>
              <w:spacing w:after="0"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Bank of India</w:t>
            </w:r>
          </w:p>
        </w:tc>
        <w:tc>
          <w:tcPr>
            <w:tcW w:w="1843" w:type="dxa"/>
            <w:tcBorders>
              <w:top w:val="nil"/>
              <w:left w:val="nil"/>
              <w:bottom w:val="single" w:sz="4" w:space="0" w:color="auto"/>
              <w:right w:val="single" w:sz="4" w:space="0" w:color="auto"/>
            </w:tcBorders>
            <w:shd w:val="clear" w:color="auto" w:fill="auto"/>
            <w:noWrap/>
            <w:vAlign w:val="center"/>
            <w:hideMark/>
          </w:tcPr>
          <w:p w14:paraId="5CB0890C"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15.3</w:t>
            </w:r>
          </w:p>
        </w:tc>
        <w:tc>
          <w:tcPr>
            <w:tcW w:w="1985" w:type="dxa"/>
            <w:tcBorders>
              <w:top w:val="nil"/>
              <w:left w:val="nil"/>
              <w:bottom w:val="single" w:sz="4" w:space="0" w:color="auto"/>
              <w:right w:val="single" w:sz="4" w:space="0" w:color="auto"/>
            </w:tcBorders>
            <w:shd w:val="clear" w:color="auto" w:fill="auto"/>
            <w:noWrap/>
            <w:vAlign w:val="center"/>
            <w:hideMark/>
          </w:tcPr>
          <w:p w14:paraId="7B8680A0"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89.7</w:t>
            </w:r>
          </w:p>
        </w:tc>
      </w:tr>
      <w:tr w:rsidR="00BE38F4" w:rsidRPr="00EC4336" w14:paraId="0FB5D05B" w14:textId="77777777" w:rsidTr="009F08AF">
        <w:trPr>
          <w:trHeight w:val="236"/>
        </w:trPr>
        <w:tc>
          <w:tcPr>
            <w:tcW w:w="2742" w:type="dxa"/>
            <w:tcBorders>
              <w:top w:val="nil"/>
              <w:left w:val="single" w:sz="4" w:space="0" w:color="auto"/>
              <w:bottom w:val="single" w:sz="4" w:space="0" w:color="auto"/>
              <w:right w:val="single" w:sz="4" w:space="0" w:color="auto"/>
            </w:tcBorders>
            <w:shd w:val="clear" w:color="auto" w:fill="auto"/>
            <w:noWrap/>
            <w:vAlign w:val="center"/>
            <w:hideMark/>
          </w:tcPr>
          <w:p w14:paraId="3C3AABA6" w14:textId="1F8CBA87" w:rsidR="00BE38F4" w:rsidRPr="00E6760C" w:rsidRDefault="00BE38F4" w:rsidP="00EC4336">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B</w:t>
            </w:r>
            <w:r w:rsidR="00E6760C">
              <w:rPr>
                <w:rFonts w:ascii="Times New Roman" w:eastAsia="Times New Roman" w:hAnsi="Times New Roman" w:cs="Times New Roman"/>
                <w:color w:val="000000"/>
                <w:kern w:val="0"/>
                <w:sz w:val="24"/>
                <w:szCs w:val="24"/>
                <w:lang w:eastAsia="en-IN"/>
                <w14:ligatures w14:val="none"/>
              </w:rPr>
              <w:t>ank of Baroda</w:t>
            </w:r>
          </w:p>
        </w:tc>
        <w:tc>
          <w:tcPr>
            <w:tcW w:w="1843" w:type="dxa"/>
            <w:tcBorders>
              <w:top w:val="nil"/>
              <w:left w:val="nil"/>
              <w:bottom w:val="single" w:sz="4" w:space="0" w:color="auto"/>
              <w:right w:val="single" w:sz="4" w:space="0" w:color="auto"/>
            </w:tcBorders>
            <w:shd w:val="clear" w:color="auto" w:fill="auto"/>
            <w:noWrap/>
            <w:vAlign w:val="center"/>
            <w:hideMark/>
          </w:tcPr>
          <w:p w14:paraId="31D7C5AA"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15.6</w:t>
            </w:r>
          </w:p>
        </w:tc>
        <w:tc>
          <w:tcPr>
            <w:tcW w:w="1985" w:type="dxa"/>
            <w:tcBorders>
              <w:top w:val="nil"/>
              <w:left w:val="nil"/>
              <w:bottom w:val="single" w:sz="4" w:space="0" w:color="auto"/>
              <w:right w:val="single" w:sz="4" w:space="0" w:color="auto"/>
            </w:tcBorders>
            <w:shd w:val="clear" w:color="auto" w:fill="auto"/>
            <w:noWrap/>
            <w:vAlign w:val="center"/>
            <w:hideMark/>
          </w:tcPr>
          <w:p w14:paraId="3DC6D3BD"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93.6</w:t>
            </w:r>
          </w:p>
        </w:tc>
      </w:tr>
      <w:tr w:rsidR="00BE38F4" w:rsidRPr="00EC4336" w14:paraId="357B24B3" w14:textId="77777777" w:rsidTr="009F08AF">
        <w:trPr>
          <w:trHeight w:val="236"/>
        </w:trPr>
        <w:tc>
          <w:tcPr>
            <w:tcW w:w="2742" w:type="dxa"/>
            <w:tcBorders>
              <w:top w:val="nil"/>
              <w:left w:val="single" w:sz="4" w:space="0" w:color="auto"/>
              <w:bottom w:val="single" w:sz="4" w:space="0" w:color="auto"/>
              <w:right w:val="single" w:sz="4" w:space="0" w:color="auto"/>
            </w:tcBorders>
            <w:shd w:val="clear" w:color="auto" w:fill="auto"/>
            <w:noWrap/>
            <w:vAlign w:val="center"/>
            <w:hideMark/>
          </w:tcPr>
          <w:p w14:paraId="4D06EC9A" w14:textId="2CC1D2B7" w:rsidR="00BE38F4" w:rsidRPr="00E6760C" w:rsidRDefault="00BE38F4" w:rsidP="00EC4336">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B</w:t>
            </w:r>
            <w:r w:rsidR="00E6760C">
              <w:rPr>
                <w:rFonts w:ascii="Times New Roman" w:eastAsia="Times New Roman" w:hAnsi="Times New Roman" w:cs="Times New Roman"/>
                <w:color w:val="000000"/>
                <w:kern w:val="0"/>
                <w:sz w:val="24"/>
                <w:szCs w:val="24"/>
                <w:lang w:eastAsia="en-IN"/>
                <w14:ligatures w14:val="none"/>
              </w:rPr>
              <w:t xml:space="preserve">ank of </w:t>
            </w:r>
            <w:r w:rsidR="009F08AF">
              <w:rPr>
                <w:rFonts w:ascii="Times New Roman" w:eastAsia="Times New Roman" w:hAnsi="Times New Roman" w:cs="Times New Roman"/>
                <w:color w:val="000000"/>
                <w:kern w:val="0"/>
                <w:sz w:val="24"/>
                <w:szCs w:val="24"/>
                <w:lang w:eastAsia="en-IN"/>
                <w14:ligatures w14:val="none"/>
              </w:rPr>
              <w:t xml:space="preserve">Maharashtra </w:t>
            </w:r>
          </w:p>
        </w:tc>
        <w:tc>
          <w:tcPr>
            <w:tcW w:w="1843" w:type="dxa"/>
            <w:tcBorders>
              <w:top w:val="nil"/>
              <w:left w:val="nil"/>
              <w:bottom w:val="single" w:sz="4" w:space="0" w:color="auto"/>
              <w:right w:val="single" w:sz="4" w:space="0" w:color="auto"/>
            </w:tcBorders>
            <w:shd w:val="clear" w:color="auto" w:fill="auto"/>
            <w:noWrap/>
            <w:vAlign w:val="center"/>
            <w:hideMark/>
          </w:tcPr>
          <w:p w14:paraId="1DAFBCF8"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16.4</w:t>
            </w:r>
          </w:p>
        </w:tc>
        <w:tc>
          <w:tcPr>
            <w:tcW w:w="1985" w:type="dxa"/>
            <w:tcBorders>
              <w:top w:val="nil"/>
              <w:left w:val="nil"/>
              <w:bottom w:val="single" w:sz="4" w:space="0" w:color="auto"/>
              <w:right w:val="single" w:sz="4" w:space="0" w:color="auto"/>
            </w:tcBorders>
            <w:shd w:val="clear" w:color="auto" w:fill="auto"/>
            <w:noWrap/>
            <w:vAlign w:val="center"/>
            <w:hideMark/>
          </w:tcPr>
          <w:p w14:paraId="79F13495"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94.4</w:t>
            </w:r>
          </w:p>
        </w:tc>
      </w:tr>
      <w:tr w:rsidR="00BE38F4" w:rsidRPr="00EC4336" w14:paraId="4567649E" w14:textId="77777777" w:rsidTr="009F08AF">
        <w:trPr>
          <w:trHeight w:val="349"/>
        </w:trPr>
        <w:tc>
          <w:tcPr>
            <w:tcW w:w="2742" w:type="dxa"/>
            <w:tcBorders>
              <w:top w:val="nil"/>
              <w:left w:val="single" w:sz="4" w:space="0" w:color="auto"/>
              <w:bottom w:val="single" w:sz="4" w:space="0" w:color="auto"/>
              <w:right w:val="single" w:sz="4" w:space="0" w:color="auto"/>
            </w:tcBorders>
            <w:shd w:val="clear" w:color="auto" w:fill="auto"/>
            <w:noWrap/>
            <w:vAlign w:val="center"/>
            <w:hideMark/>
          </w:tcPr>
          <w:p w14:paraId="503BC882" w14:textId="77777777" w:rsidR="00BE38F4" w:rsidRPr="00E6760C" w:rsidRDefault="00BE38F4" w:rsidP="00EC4336">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Union Bank</w:t>
            </w:r>
          </w:p>
        </w:tc>
        <w:tc>
          <w:tcPr>
            <w:tcW w:w="1843" w:type="dxa"/>
            <w:tcBorders>
              <w:top w:val="nil"/>
              <w:left w:val="nil"/>
              <w:bottom w:val="single" w:sz="4" w:space="0" w:color="auto"/>
              <w:right w:val="single" w:sz="4" w:space="0" w:color="auto"/>
            </w:tcBorders>
            <w:shd w:val="clear" w:color="auto" w:fill="auto"/>
            <w:noWrap/>
            <w:vAlign w:val="center"/>
            <w:hideMark/>
          </w:tcPr>
          <w:p w14:paraId="20880922"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14.6</w:t>
            </w:r>
          </w:p>
        </w:tc>
        <w:tc>
          <w:tcPr>
            <w:tcW w:w="1985" w:type="dxa"/>
            <w:tcBorders>
              <w:top w:val="nil"/>
              <w:left w:val="nil"/>
              <w:bottom w:val="single" w:sz="4" w:space="0" w:color="auto"/>
              <w:right w:val="single" w:sz="4" w:space="0" w:color="auto"/>
            </w:tcBorders>
            <w:shd w:val="clear" w:color="auto" w:fill="auto"/>
            <w:noWrap/>
            <w:vAlign w:val="center"/>
            <w:hideMark/>
          </w:tcPr>
          <w:p w14:paraId="1DD31207"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89.3</w:t>
            </w:r>
          </w:p>
        </w:tc>
      </w:tr>
      <w:tr w:rsidR="00BE38F4" w:rsidRPr="00EC4336" w14:paraId="449A67C6" w14:textId="77777777" w:rsidTr="009F08AF">
        <w:trPr>
          <w:trHeight w:val="236"/>
        </w:trPr>
        <w:tc>
          <w:tcPr>
            <w:tcW w:w="2742" w:type="dxa"/>
            <w:tcBorders>
              <w:top w:val="nil"/>
              <w:left w:val="single" w:sz="4" w:space="0" w:color="auto"/>
              <w:bottom w:val="single" w:sz="4" w:space="0" w:color="auto"/>
              <w:right w:val="single" w:sz="4" w:space="0" w:color="auto"/>
            </w:tcBorders>
            <w:shd w:val="clear" w:color="auto" w:fill="auto"/>
            <w:noWrap/>
            <w:vAlign w:val="center"/>
            <w:hideMark/>
          </w:tcPr>
          <w:p w14:paraId="2A8BE594" w14:textId="77777777" w:rsidR="00BE38F4" w:rsidRPr="00E6760C" w:rsidRDefault="00BE38F4" w:rsidP="00EC4336">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Canara Bank</w:t>
            </w:r>
          </w:p>
        </w:tc>
        <w:tc>
          <w:tcPr>
            <w:tcW w:w="1843" w:type="dxa"/>
            <w:tcBorders>
              <w:top w:val="nil"/>
              <w:left w:val="nil"/>
              <w:bottom w:val="single" w:sz="4" w:space="0" w:color="auto"/>
              <w:right w:val="single" w:sz="4" w:space="0" w:color="auto"/>
            </w:tcBorders>
            <w:shd w:val="clear" w:color="auto" w:fill="auto"/>
            <w:noWrap/>
            <w:vAlign w:val="center"/>
            <w:hideMark/>
          </w:tcPr>
          <w:p w14:paraId="53F332FC"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14.9</w:t>
            </w:r>
          </w:p>
        </w:tc>
        <w:tc>
          <w:tcPr>
            <w:tcW w:w="1985" w:type="dxa"/>
            <w:tcBorders>
              <w:top w:val="nil"/>
              <w:left w:val="nil"/>
              <w:bottom w:val="single" w:sz="4" w:space="0" w:color="auto"/>
              <w:right w:val="single" w:sz="4" w:space="0" w:color="auto"/>
            </w:tcBorders>
            <w:shd w:val="clear" w:color="auto" w:fill="auto"/>
            <w:noWrap/>
            <w:vAlign w:val="center"/>
            <w:hideMark/>
          </w:tcPr>
          <w:p w14:paraId="33F7CDAE"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92.7</w:t>
            </w:r>
          </w:p>
        </w:tc>
      </w:tr>
      <w:tr w:rsidR="00BE38F4" w:rsidRPr="00EC4336" w14:paraId="5A0433DF" w14:textId="77777777" w:rsidTr="009F08AF">
        <w:trPr>
          <w:trHeight w:val="508"/>
        </w:trPr>
        <w:tc>
          <w:tcPr>
            <w:tcW w:w="2742" w:type="dxa"/>
            <w:tcBorders>
              <w:top w:val="nil"/>
              <w:left w:val="single" w:sz="4" w:space="0" w:color="auto"/>
              <w:bottom w:val="single" w:sz="4" w:space="0" w:color="auto"/>
              <w:right w:val="single" w:sz="4" w:space="0" w:color="auto"/>
            </w:tcBorders>
            <w:shd w:val="clear" w:color="auto" w:fill="auto"/>
            <w:vAlign w:val="center"/>
            <w:hideMark/>
          </w:tcPr>
          <w:p w14:paraId="728BEF6B" w14:textId="77777777" w:rsidR="00BE38F4" w:rsidRPr="00E6760C" w:rsidRDefault="00BE38F4" w:rsidP="00E6760C">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Central Bank of India</w:t>
            </w:r>
          </w:p>
        </w:tc>
        <w:tc>
          <w:tcPr>
            <w:tcW w:w="1843" w:type="dxa"/>
            <w:tcBorders>
              <w:top w:val="nil"/>
              <w:left w:val="nil"/>
              <w:bottom w:val="single" w:sz="4" w:space="0" w:color="auto"/>
              <w:right w:val="single" w:sz="4" w:space="0" w:color="auto"/>
            </w:tcBorders>
            <w:shd w:val="clear" w:color="auto" w:fill="auto"/>
            <w:noWrap/>
            <w:vAlign w:val="center"/>
            <w:hideMark/>
          </w:tcPr>
          <w:p w14:paraId="7D6CC990"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14.3</w:t>
            </w:r>
          </w:p>
        </w:tc>
        <w:tc>
          <w:tcPr>
            <w:tcW w:w="1985" w:type="dxa"/>
            <w:tcBorders>
              <w:top w:val="nil"/>
              <w:left w:val="nil"/>
              <w:bottom w:val="single" w:sz="4" w:space="0" w:color="auto"/>
              <w:right w:val="single" w:sz="4" w:space="0" w:color="auto"/>
            </w:tcBorders>
            <w:shd w:val="clear" w:color="auto" w:fill="auto"/>
            <w:noWrap/>
            <w:vAlign w:val="center"/>
            <w:hideMark/>
          </w:tcPr>
          <w:p w14:paraId="517D9684"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86.7</w:t>
            </w:r>
          </w:p>
        </w:tc>
      </w:tr>
      <w:tr w:rsidR="00BE38F4" w:rsidRPr="00EC4336" w14:paraId="1DC14731" w14:textId="77777777" w:rsidTr="009F08AF">
        <w:trPr>
          <w:trHeight w:val="236"/>
        </w:trPr>
        <w:tc>
          <w:tcPr>
            <w:tcW w:w="2742" w:type="dxa"/>
            <w:tcBorders>
              <w:top w:val="nil"/>
              <w:left w:val="single" w:sz="4" w:space="0" w:color="auto"/>
              <w:bottom w:val="single" w:sz="4" w:space="0" w:color="auto"/>
              <w:right w:val="single" w:sz="4" w:space="0" w:color="auto"/>
            </w:tcBorders>
            <w:shd w:val="clear" w:color="auto" w:fill="auto"/>
            <w:noWrap/>
            <w:vAlign w:val="center"/>
            <w:hideMark/>
          </w:tcPr>
          <w:p w14:paraId="6E46DDC2" w14:textId="77777777" w:rsidR="00BE38F4" w:rsidRPr="00E6760C" w:rsidRDefault="00BE38F4" w:rsidP="00EC4336">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Indian Bank</w:t>
            </w:r>
          </w:p>
        </w:tc>
        <w:tc>
          <w:tcPr>
            <w:tcW w:w="1843" w:type="dxa"/>
            <w:tcBorders>
              <w:top w:val="nil"/>
              <w:left w:val="nil"/>
              <w:bottom w:val="single" w:sz="4" w:space="0" w:color="auto"/>
              <w:right w:val="single" w:sz="4" w:space="0" w:color="auto"/>
            </w:tcBorders>
            <w:shd w:val="clear" w:color="auto" w:fill="auto"/>
            <w:noWrap/>
            <w:vAlign w:val="center"/>
            <w:hideMark/>
          </w:tcPr>
          <w:p w14:paraId="2FB63CF6"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16.2</w:t>
            </w:r>
          </w:p>
        </w:tc>
        <w:tc>
          <w:tcPr>
            <w:tcW w:w="1985" w:type="dxa"/>
            <w:tcBorders>
              <w:top w:val="nil"/>
              <w:left w:val="nil"/>
              <w:bottom w:val="single" w:sz="4" w:space="0" w:color="auto"/>
              <w:right w:val="single" w:sz="4" w:space="0" w:color="auto"/>
            </w:tcBorders>
            <w:shd w:val="clear" w:color="auto" w:fill="auto"/>
            <w:noWrap/>
            <w:vAlign w:val="center"/>
            <w:hideMark/>
          </w:tcPr>
          <w:p w14:paraId="7D4D68FA"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91.9</w:t>
            </w:r>
          </w:p>
        </w:tc>
      </w:tr>
      <w:tr w:rsidR="00BE38F4" w:rsidRPr="00EC4336" w14:paraId="71AFDFE4" w14:textId="77777777" w:rsidTr="009F08AF">
        <w:trPr>
          <w:trHeight w:val="550"/>
        </w:trPr>
        <w:tc>
          <w:tcPr>
            <w:tcW w:w="2742" w:type="dxa"/>
            <w:tcBorders>
              <w:top w:val="nil"/>
              <w:left w:val="single" w:sz="4" w:space="0" w:color="auto"/>
              <w:bottom w:val="single" w:sz="4" w:space="0" w:color="auto"/>
              <w:right w:val="single" w:sz="4" w:space="0" w:color="auto"/>
            </w:tcBorders>
            <w:shd w:val="clear" w:color="auto" w:fill="auto"/>
            <w:vAlign w:val="center"/>
            <w:hideMark/>
          </w:tcPr>
          <w:p w14:paraId="1AD4ECC2" w14:textId="77777777" w:rsidR="00BE38F4" w:rsidRPr="00E6760C" w:rsidRDefault="00BE38F4" w:rsidP="00E6760C">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Indian Overseas Bank</w:t>
            </w:r>
          </w:p>
        </w:tc>
        <w:tc>
          <w:tcPr>
            <w:tcW w:w="1843" w:type="dxa"/>
            <w:tcBorders>
              <w:top w:val="nil"/>
              <w:left w:val="nil"/>
              <w:bottom w:val="single" w:sz="4" w:space="0" w:color="auto"/>
              <w:right w:val="single" w:sz="4" w:space="0" w:color="auto"/>
            </w:tcBorders>
            <w:shd w:val="clear" w:color="auto" w:fill="auto"/>
            <w:noWrap/>
            <w:vAlign w:val="center"/>
            <w:hideMark/>
          </w:tcPr>
          <w:p w14:paraId="758B8CAA"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15.1</w:t>
            </w:r>
          </w:p>
        </w:tc>
        <w:tc>
          <w:tcPr>
            <w:tcW w:w="1985" w:type="dxa"/>
            <w:tcBorders>
              <w:top w:val="nil"/>
              <w:left w:val="nil"/>
              <w:bottom w:val="single" w:sz="4" w:space="0" w:color="auto"/>
              <w:right w:val="single" w:sz="4" w:space="0" w:color="auto"/>
            </w:tcBorders>
            <w:shd w:val="clear" w:color="auto" w:fill="auto"/>
            <w:noWrap/>
            <w:vAlign w:val="center"/>
            <w:hideMark/>
          </w:tcPr>
          <w:p w14:paraId="05A04CD3"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89.9</w:t>
            </w:r>
          </w:p>
        </w:tc>
      </w:tr>
      <w:tr w:rsidR="00BE38F4" w:rsidRPr="00EC4336" w14:paraId="3B053D9C" w14:textId="77777777" w:rsidTr="009F08AF">
        <w:trPr>
          <w:trHeight w:val="472"/>
        </w:trPr>
        <w:tc>
          <w:tcPr>
            <w:tcW w:w="2742" w:type="dxa"/>
            <w:tcBorders>
              <w:top w:val="nil"/>
              <w:left w:val="single" w:sz="4" w:space="0" w:color="auto"/>
              <w:bottom w:val="single" w:sz="4" w:space="0" w:color="auto"/>
              <w:right w:val="single" w:sz="4" w:space="0" w:color="auto"/>
            </w:tcBorders>
            <w:shd w:val="clear" w:color="auto" w:fill="auto"/>
            <w:vAlign w:val="center"/>
            <w:hideMark/>
          </w:tcPr>
          <w:p w14:paraId="032D123C" w14:textId="77777777" w:rsidR="00BE38F4" w:rsidRPr="00E6760C" w:rsidRDefault="00BE38F4" w:rsidP="00E6760C">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Punjab and Sind Bank</w:t>
            </w:r>
          </w:p>
        </w:tc>
        <w:tc>
          <w:tcPr>
            <w:tcW w:w="1843" w:type="dxa"/>
            <w:tcBorders>
              <w:top w:val="nil"/>
              <w:left w:val="nil"/>
              <w:bottom w:val="single" w:sz="4" w:space="0" w:color="auto"/>
              <w:right w:val="single" w:sz="4" w:space="0" w:color="auto"/>
            </w:tcBorders>
            <w:shd w:val="clear" w:color="auto" w:fill="auto"/>
            <w:noWrap/>
            <w:vAlign w:val="center"/>
            <w:hideMark/>
          </w:tcPr>
          <w:p w14:paraId="73214A8E"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17.5</w:t>
            </w:r>
          </w:p>
        </w:tc>
        <w:tc>
          <w:tcPr>
            <w:tcW w:w="1985" w:type="dxa"/>
            <w:tcBorders>
              <w:top w:val="nil"/>
              <w:left w:val="nil"/>
              <w:bottom w:val="single" w:sz="4" w:space="0" w:color="auto"/>
              <w:right w:val="single" w:sz="4" w:space="0" w:color="auto"/>
            </w:tcBorders>
            <w:shd w:val="clear" w:color="auto" w:fill="auto"/>
            <w:noWrap/>
            <w:vAlign w:val="center"/>
            <w:hideMark/>
          </w:tcPr>
          <w:p w14:paraId="5F3623B8"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89.0</w:t>
            </w:r>
          </w:p>
        </w:tc>
      </w:tr>
      <w:tr w:rsidR="00BE38F4" w:rsidRPr="00EC4336" w14:paraId="0BA4EF3F" w14:textId="77777777" w:rsidTr="009F08AF">
        <w:trPr>
          <w:trHeight w:val="385"/>
        </w:trPr>
        <w:tc>
          <w:tcPr>
            <w:tcW w:w="2742" w:type="dxa"/>
            <w:tcBorders>
              <w:top w:val="nil"/>
              <w:left w:val="single" w:sz="4" w:space="0" w:color="auto"/>
              <w:bottom w:val="single" w:sz="4" w:space="0" w:color="auto"/>
              <w:right w:val="single" w:sz="4" w:space="0" w:color="auto"/>
            </w:tcBorders>
            <w:shd w:val="clear" w:color="auto" w:fill="auto"/>
            <w:noWrap/>
            <w:vAlign w:val="center"/>
            <w:hideMark/>
          </w:tcPr>
          <w:p w14:paraId="53195580" w14:textId="77777777" w:rsidR="00BE38F4" w:rsidRPr="00E6760C" w:rsidRDefault="00BE38F4" w:rsidP="00EC4336">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E6760C">
              <w:rPr>
                <w:rFonts w:ascii="Times New Roman" w:eastAsia="Times New Roman" w:hAnsi="Times New Roman" w:cs="Times New Roman"/>
                <w:color w:val="000000"/>
                <w:kern w:val="0"/>
                <w:sz w:val="24"/>
                <w:szCs w:val="24"/>
                <w:lang w:eastAsia="en-IN"/>
                <w14:ligatures w14:val="none"/>
              </w:rPr>
              <w:t>UCO bank</w:t>
            </w:r>
          </w:p>
        </w:tc>
        <w:tc>
          <w:tcPr>
            <w:tcW w:w="1843" w:type="dxa"/>
            <w:tcBorders>
              <w:top w:val="nil"/>
              <w:left w:val="nil"/>
              <w:bottom w:val="single" w:sz="4" w:space="0" w:color="auto"/>
              <w:right w:val="single" w:sz="4" w:space="0" w:color="auto"/>
            </w:tcBorders>
            <w:shd w:val="clear" w:color="auto" w:fill="auto"/>
            <w:noWrap/>
            <w:vAlign w:val="center"/>
            <w:hideMark/>
          </w:tcPr>
          <w:p w14:paraId="0DF1E273"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14.6</w:t>
            </w:r>
          </w:p>
        </w:tc>
        <w:tc>
          <w:tcPr>
            <w:tcW w:w="1985" w:type="dxa"/>
            <w:tcBorders>
              <w:top w:val="nil"/>
              <w:left w:val="nil"/>
              <w:bottom w:val="single" w:sz="4" w:space="0" w:color="auto"/>
              <w:right w:val="single" w:sz="4" w:space="0" w:color="auto"/>
            </w:tcBorders>
            <w:shd w:val="clear" w:color="auto" w:fill="auto"/>
            <w:noWrap/>
            <w:vAlign w:val="center"/>
            <w:hideMark/>
          </w:tcPr>
          <w:p w14:paraId="13890C2E" w14:textId="77777777" w:rsidR="00BE38F4" w:rsidRPr="00EC4336" w:rsidRDefault="00BE38F4" w:rsidP="001D3144">
            <w:pPr>
              <w:spacing w:after="0" w:line="360" w:lineRule="auto"/>
              <w:jc w:val="center"/>
              <w:rPr>
                <w:rFonts w:ascii="Times New Roman" w:eastAsia="Times New Roman" w:hAnsi="Times New Roman" w:cs="Times New Roman"/>
                <w:color w:val="000000"/>
                <w:kern w:val="0"/>
                <w:sz w:val="24"/>
                <w:szCs w:val="24"/>
                <w:lang w:eastAsia="en-IN"/>
                <w14:ligatures w14:val="none"/>
              </w:rPr>
            </w:pPr>
            <w:r w:rsidRPr="00EC4336">
              <w:rPr>
                <w:rFonts w:ascii="Times New Roman" w:eastAsia="Times New Roman" w:hAnsi="Times New Roman" w:cs="Times New Roman"/>
                <w:color w:val="000000"/>
                <w:kern w:val="0"/>
                <w:sz w:val="24"/>
                <w:szCs w:val="24"/>
                <w:lang w:eastAsia="en-IN"/>
                <w14:ligatures w14:val="none"/>
              </w:rPr>
              <w:t>91.6</w:t>
            </w:r>
          </w:p>
        </w:tc>
      </w:tr>
    </w:tbl>
    <w:p w14:paraId="6B02FC1F" w14:textId="77777777" w:rsidR="003F4B4A" w:rsidRDefault="003F4B4A" w:rsidP="00EC4336">
      <w:pPr>
        <w:spacing w:line="360" w:lineRule="auto"/>
        <w:jc w:val="both"/>
        <w:rPr>
          <w:rFonts w:ascii="Times New Roman" w:hAnsi="Times New Roman" w:cs="Times New Roman"/>
          <w:b/>
          <w:bCs/>
          <w:sz w:val="24"/>
          <w:szCs w:val="24"/>
        </w:rPr>
      </w:pPr>
    </w:p>
    <w:p w14:paraId="11663C2F" w14:textId="0A9E03C3" w:rsidR="009F08AF" w:rsidRPr="009F08AF" w:rsidRDefault="009F08AF" w:rsidP="00EC4336">
      <w:pPr>
        <w:spacing w:line="360" w:lineRule="auto"/>
        <w:jc w:val="both"/>
        <w:rPr>
          <w:rFonts w:ascii="Times New Roman" w:hAnsi="Times New Roman" w:cs="Times New Roman"/>
          <w:b/>
          <w:bCs/>
          <w:sz w:val="24"/>
          <w:szCs w:val="24"/>
        </w:rPr>
      </w:pPr>
      <w:r w:rsidRPr="009F08AF">
        <w:rPr>
          <w:rFonts w:ascii="Times New Roman" w:hAnsi="Times New Roman" w:cs="Times New Roman"/>
          <w:b/>
          <w:bCs/>
          <w:sz w:val="24"/>
          <w:szCs w:val="24"/>
        </w:rPr>
        <w:t>Analysis:</w:t>
      </w:r>
    </w:p>
    <w:p w14:paraId="2D76269E" w14:textId="6921D28A" w:rsidR="007875F2" w:rsidRPr="00EC4336" w:rsidRDefault="007875F2" w:rsidP="00EC4336">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 xml:space="preserve">The analysis of the provided data on the "Capital Adequacy Ratio (Avg.)" and "Standard Assets Ratio (Avg.)" for several banks reveals noteworthy variations in their financial indicators. In terms of the average Capital Adequacy Ratio, it ranges from 14.1% for SBI to 17.5% for Punjab and Sind Bank, showcasing diversity in capital adequacy across these banks. A higher CAR generally signifies better capital strength and the ability to withstand financial shocks. On the other hand, the average Standard Assets </w:t>
      </w:r>
      <w:r w:rsidR="009F08AF" w:rsidRPr="00EC4336">
        <w:rPr>
          <w:rFonts w:ascii="Times New Roman" w:hAnsi="Times New Roman" w:cs="Times New Roman"/>
          <w:sz w:val="24"/>
          <w:szCs w:val="24"/>
        </w:rPr>
        <w:t>Ratio varies</w:t>
      </w:r>
      <w:r w:rsidRPr="00EC4336">
        <w:rPr>
          <w:rFonts w:ascii="Times New Roman" w:hAnsi="Times New Roman" w:cs="Times New Roman"/>
          <w:sz w:val="24"/>
          <w:szCs w:val="24"/>
        </w:rPr>
        <w:t xml:space="preserve"> from 86.7% for Central Bank of India to 96.5% for SBI. A higher SAR typically indicates a healthier proportion of standard assets in a bank's portfolio. Notably, SBI boasts the highest SAR despite its CAR being lower than some other banks, possibly indicating a larger share of standard assets, which can contribute to its resilience in managing non-performing </w:t>
      </w:r>
      <w:r w:rsidR="009F08AF" w:rsidRPr="00EC4336">
        <w:rPr>
          <w:rFonts w:ascii="Times New Roman" w:hAnsi="Times New Roman" w:cs="Times New Roman"/>
          <w:sz w:val="24"/>
          <w:szCs w:val="24"/>
        </w:rPr>
        <w:t>assets.</w:t>
      </w:r>
    </w:p>
    <w:p w14:paraId="2A3A8175" w14:textId="2722B2D0" w:rsidR="00BE38F4" w:rsidRDefault="007875F2" w:rsidP="00EC4336">
      <w:pPr>
        <w:spacing w:line="360" w:lineRule="auto"/>
        <w:jc w:val="both"/>
        <w:rPr>
          <w:rFonts w:ascii="Times New Roman" w:hAnsi="Times New Roman" w:cs="Times New Roman"/>
          <w:sz w:val="24"/>
          <w:szCs w:val="24"/>
        </w:rPr>
      </w:pPr>
      <w:r w:rsidRPr="00EC4336">
        <w:rPr>
          <w:rFonts w:ascii="Times New Roman" w:hAnsi="Times New Roman" w:cs="Times New Roman"/>
          <w:sz w:val="24"/>
          <w:szCs w:val="24"/>
        </w:rPr>
        <w:t xml:space="preserve">In contrast, Punjab and Sind Bank stands out with the highest CAR, suggesting robust capital adequacy. Meanwhile, Central Bank of India exhibits relatively lower CAR and SAR figures, </w:t>
      </w:r>
      <w:r w:rsidRPr="00EC4336">
        <w:rPr>
          <w:rFonts w:ascii="Times New Roman" w:hAnsi="Times New Roman" w:cs="Times New Roman"/>
          <w:sz w:val="24"/>
          <w:szCs w:val="24"/>
        </w:rPr>
        <w:lastRenderedPageBreak/>
        <w:t>highlighting potential areas for improvement in both capital adequacy and asset quality. These findings offer preliminary insights into the financial strength and asset quality of the listed banks, though further in-depth analysis, including historical trends and external factors, is essential for a comprehensive assessment of financial stability and NPA resilience. The variation in these ratios underscores the importance of considering multiple financial indicators when evaluating the health and resilience of public sector banks in India.</w:t>
      </w:r>
    </w:p>
    <w:p w14:paraId="01BC2AB8" w14:textId="77777777" w:rsidR="00743AD0" w:rsidRDefault="00743AD0" w:rsidP="00EC4336">
      <w:pPr>
        <w:spacing w:line="360" w:lineRule="auto"/>
        <w:jc w:val="both"/>
        <w:rPr>
          <w:rFonts w:ascii="Times New Roman" w:hAnsi="Times New Roman" w:cs="Times New Roman"/>
          <w:sz w:val="24"/>
          <w:szCs w:val="24"/>
        </w:rPr>
      </w:pPr>
    </w:p>
    <w:p w14:paraId="132DA8D3" w14:textId="20E5DB17" w:rsidR="00743AD0" w:rsidRPr="00743AD0" w:rsidRDefault="00743AD0" w:rsidP="004153EC">
      <w:pPr>
        <w:pStyle w:val="ListParagraph"/>
        <w:numPr>
          <w:ilvl w:val="0"/>
          <w:numId w:val="18"/>
        </w:numPr>
        <w:spacing w:line="360" w:lineRule="auto"/>
        <w:jc w:val="both"/>
        <w:rPr>
          <w:rFonts w:ascii="Times New Roman" w:hAnsi="Times New Roman" w:cs="Times New Roman"/>
          <w:b/>
          <w:bCs/>
          <w:sz w:val="24"/>
          <w:szCs w:val="24"/>
        </w:rPr>
      </w:pPr>
      <w:r w:rsidRPr="00743AD0">
        <w:rPr>
          <w:rFonts w:ascii="Times New Roman" w:hAnsi="Times New Roman" w:cs="Times New Roman"/>
          <w:b/>
          <w:bCs/>
          <w:sz w:val="24"/>
          <w:szCs w:val="24"/>
        </w:rPr>
        <w:t>Findings</w:t>
      </w:r>
    </w:p>
    <w:p w14:paraId="44CD18A6" w14:textId="3BB7232E" w:rsidR="00743AD0" w:rsidRPr="00743AD0" w:rsidRDefault="00743AD0" w:rsidP="00743AD0">
      <w:pPr>
        <w:pStyle w:val="ListParagraph"/>
        <w:numPr>
          <w:ilvl w:val="0"/>
          <w:numId w:val="15"/>
        </w:numPr>
        <w:spacing w:after="0" w:line="360" w:lineRule="auto"/>
        <w:jc w:val="both"/>
        <w:rPr>
          <w:rFonts w:ascii="Times New Roman" w:hAnsi="Times New Roman" w:cs="Times New Roman"/>
          <w:sz w:val="24"/>
          <w:szCs w:val="24"/>
        </w:rPr>
      </w:pPr>
      <w:r w:rsidRPr="00743AD0">
        <w:rPr>
          <w:rFonts w:ascii="Times New Roman" w:hAnsi="Times New Roman" w:cs="Times New Roman"/>
          <w:sz w:val="24"/>
          <w:szCs w:val="24"/>
        </w:rPr>
        <w:t>Capital Adequacy and NPA Resilience Relationship: The study found a significant negative correlation between the Capital Adequacy Ratio and the Gross Non-Performing Asset ratio, indicating that banks with higher capital adequacy tend to have lower Gross NPA ratios, supporting the hypothesis.</w:t>
      </w:r>
    </w:p>
    <w:p w14:paraId="0B377B83" w14:textId="77777777" w:rsidR="00743AD0" w:rsidRPr="00743AD0" w:rsidRDefault="00743AD0" w:rsidP="00743AD0">
      <w:pPr>
        <w:spacing w:after="0" w:line="360" w:lineRule="auto"/>
        <w:jc w:val="both"/>
        <w:rPr>
          <w:rFonts w:ascii="Times New Roman" w:hAnsi="Times New Roman" w:cs="Times New Roman"/>
          <w:sz w:val="12"/>
          <w:szCs w:val="12"/>
        </w:rPr>
      </w:pPr>
    </w:p>
    <w:p w14:paraId="6A8A16F2" w14:textId="77777777" w:rsidR="00743AD0" w:rsidRPr="00743AD0" w:rsidRDefault="00743AD0" w:rsidP="00743AD0">
      <w:pPr>
        <w:pStyle w:val="ListParagraph"/>
        <w:numPr>
          <w:ilvl w:val="0"/>
          <w:numId w:val="15"/>
        </w:numPr>
        <w:tabs>
          <w:tab w:val="left" w:pos="8364"/>
        </w:tabs>
        <w:spacing w:after="0" w:line="360" w:lineRule="auto"/>
        <w:jc w:val="both"/>
        <w:rPr>
          <w:rFonts w:ascii="Times New Roman" w:hAnsi="Times New Roman" w:cs="Times New Roman"/>
          <w:sz w:val="24"/>
          <w:szCs w:val="24"/>
        </w:rPr>
      </w:pPr>
      <w:r w:rsidRPr="00743AD0">
        <w:rPr>
          <w:rFonts w:ascii="Times New Roman" w:hAnsi="Times New Roman" w:cs="Times New Roman"/>
          <w:sz w:val="24"/>
          <w:szCs w:val="24"/>
        </w:rPr>
        <w:t>Diversity in Capital Adequacy: Significant variation in CAR was observed among public sector banks, with State Bank of India (SBI) having a CAR of 14.1% and Punjab and Sind Bank having the highest CAR at 17.5%. This diversity reflects differences in capital strength.</w:t>
      </w:r>
    </w:p>
    <w:p w14:paraId="4E9F3142" w14:textId="77777777" w:rsidR="00743AD0" w:rsidRPr="00743AD0" w:rsidRDefault="00743AD0" w:rsidP="00743AD0">
      <w:pPr>
        <w:spacing w:after="0" w:line="360" w:lineRule="auto"/>
        <w:jc w:val="both"/>
        <w:rPr>
          <w:rFonts w:ascii="Times New Roman" w:hAnsi="Times New Roman" w:cs="Times New Roman"/>
          <w:sz w:val="12"/>
          <w:szCs w:val="12"/>
        </w:rPr>
      </w:pPr>
    </w:p>
    <w:p w14:paraId="4C3187AB" w14:textId="77777777" w:rsidR="00743AD0" w:rsidRPr="00743AD0" w:rsidRDefault="00743AD0" w:rsidP="00743AD0">
      <w:pPr>
        <w:pStyle w:val="ListParagraph"/>
        <w:numPr>
          <w:ilvl w:val="0"/>
          <w:numId w:val="15"/>
        </w:numPr>
        <w:spacing w:after="0" w:line="360" w:lineRule="auto"/>
        <w:jc w:val="both"/>
        <w:rPr>
          <w:rFonts w:ascii="Times New Roman" w:hAnsi="Times New Roman" w:cs="Times New Roman"/>
          <w:sz w:val="24"/>
          <w:szCs w:val="24"/>
        </w:rPr>
      </w:pPr>
      <w:r w:rsidRPr="00743AD0">
        <w:rPr>
          <w:rFonts w:ascii="Times New Roman" w:hAnsi="Times New Roman" w:cs="Times New Roman"/>
          <w:sz w:val="24"/>
          <w:szCs w:val="24"/>
        </w:rPr>
        <w:t>Standard Assets Ratio (SAR) as an Indicator: SAR varied significantly among banks, with SBI having the highest SAR at 96.5% despite a lower CAR. A higher SAR suggests a healthier proportion of standard assets, possibly contributing to NPA resilience.</w:t>
      </w:r>
    </w:p>
    <w:p w14:paraId="232E8B08" w14:textId="77777777" w:rsidR="00743AD0" w:rsidRPr="00743AD0" w:rsidRDefault="00743AD0" w:rsidP="00743AD0">
      <w:pPr>
        <w:spacing w:after="0" w:line="360" w:lineRule="auto"/>
        <w:jc w:val="both"/>
        <w:rPr>
          <w:rFonts w:ascii="Times New Roman" w:hAnsi="Times New Roman" w:cs="Times New Roman"/>
          <w:sz w:val="12"/>
          <w:szCs w:val="12"/>
        </w:rPr>
      </w:pPr>
    </w:p>
    <w:p w14:paraId="4B987890" w14:textId="77777777" w:rsidR="00743AD0" w:rsidRPr="00743AD0" w:rsidRDefault="00743AD0" w:rsidP="00743AD0">
      <w:pPr>
        <w:pStyle w:val="ListParagraph"/>
        <w:numPr>
          <w:ilvl w:val="0"/>
          <w:numId w:val="15"/>
        </w:numPr>
        <w:spacing w:after="0" w:line="360" w:lineRule="auto"/>
        <w:jc w:val="both"/>
        <w:rPr>
          <w:rFonts w:ascii="Times New Roman" w:hAnsi="Times New Roman" w:cs="Times New Roman"/>
          <w:sz w:val="24"/>
          <w:szCs w:val="24"/>
        </w:rPr>
      </w:pPr>
      <w:r w:rsidRPr="00743AD0">
        <w:rPr>
          <w:rFonts w:ascii="Times New Roman" w:hAnsi="Times New Roman" w:cs="Times New Roman"/>
          <w:sz w:val="24"/>
          <w:szCs w:val="24"/>
        </w:rPr>
        <w:t>Comparative Analysis Highlights: A comparative analysis revealed that SBI displayed lower NPAs and better recovery rates, indicating efficient NPA management practices, transparency, and accountability.</w:t>
      </w:r>
    </w:p>
    <w:p w14:paraId="3356112B" w14:textId="77777777" w:rsidR="00743AD0" w:rsidRPr="00743AD0" w:rsidRDefault="00743AD0" w:rsidP="00743AD0">
      <w:pPr>
        <w:spacing w:after="0" w:line="360" w:lineRule="auto"/>
        <w:jc w:val="both"/>
        <w:rPr>
          <w:rFonts w:ascii="Times New Roman" w:hAnsi="Times New Roman" w:cs="Times New Roman"/>
          <w:sz w:val="12"/>
          <w:szCs w:val="12"/>
        </w:rPr>
      </w:pPr>
    </w:p>
    <w:p w14:paraId="52942533" w14:textId="77777777" w:rsidR="00743AD0" w:rsidRDefault="00743AD0" w:rsidP="00EC4336">
      <w:pPr>
        <w:pStyle w:val="ListParagraph"/>
        <w:numPr>
          <w:ilvl w:val="0"/>
          <w:numId w:val="15"/>
        </w:numPr>
        <w:spacing w:after="0" w:line="360" w:lineRule="auto"/>
        <w:jc w:val="both"/>
        <w:rPr>
          <w:rFonts w:ascii="Times New Roman" w:hAnsi="Times New Roman" w:cs="Times New Roman"/>
          <w:sz w:val="24"/>
          <w:szCs w:val="24"/>
        </w:rPr>
      </w:pPr>
      <w:r w:rsidRPr="00743AD0">
        <w:rPr>
          <w:rFonts w:ascii="Times New Roman" w:hAnsi="Times New Roman" w:cs="Times New Roman"/>
          <w:sz w:val="24"/>
          <w:szCs w:val="24"/>
        </w:rPr>
        <w:t>Impact on Financial Stability: The study emphasized that NPAs can impact profitability, asset quality, and lending activities. Banks with higher capital adequacy and lower Gross NPA ratios are better positioned to maintain financial stability.</w:t>
      </w:r>
    </w:p>
    <w:p w14:paraId="18640699" w14:textId="77777777" w:rsidR="00743AD0" w:rsidRPr="00743AD0" w:rsidRDefault="00743AD0" w:rsidP="00743AD0">
      <w:pPr>
        <w:pStyle w:val="ListParagraph"/>
        <w:rPr>
          <w:rFonts w:ascii="Times New Roman" w:hAnsi="Times New Roman" w:cs="Times New Roman"/>
          <w:sz w:val="12"/>
          <w:szCs w:val="12"/>
        </w:rPr>
      </w:pPr>
    </w:p>
    <w:p w14:paraId="0A1D309D" w14:textId="3107E3DF" w:rsidR="004738AB" w:rsidRDefault="00743AD0" w:rsidP="00EC4336">
      <w:pPr>
        <w:pStyle w:val="ListParagraph"/>
        <w:numPr>
          <w:ilvl w:val="0"/>
          <w:numId w:val="15"/>
        </w:numPr>
        <w:spacing w:after="0" w:line="360" w:lineRule="auto"/>
        <w:jc w:val="both"/>
        <w:rPr>
          <w:rFonts w:ascii="Times New Roman" w:hAnsi="Times New Roman" w:cs="Times New Roman"/>
          <w:sz w:val="24"/>
          <w:szCs w:val="24"/>
        </w:rPr>
      </w:pPr>
      <w:r w:rsidRPr="00743AD0">
        <w:rPr>
          <w:rFonts w:ascii="Times New Roman" w:hAnsi="Times New Roman" w:cs="Times New Roman"/>
          <w:sz w:val="24"/>
          <w:szCs w:val="24"/>
        </w:rPr>
        <w:t>Capital Strength Variability: The findings revealed substantial differences in capital adequacy among public sector banks</w:t>
      </w:r>
      <w:r>
        <w:rPr>
          <w:rFonts w:ascii="Times New Roman" w:hAnsi="Times New Roman" w:cs="Times New Roman"/>
          <w:sz w:val="24"/>
          <w:szCs w:val="24"/>
        </w:rPr>
        <w:t>.</w:t>
      </w:r>
    </w:p>
    <w:p w14:paraId="05C4199E" w14:textId="77777777" w:rsidR="000A4665" w:rsidRPr="000A4665" w:rsidRDefault="000A4665" w:rsidP="000A4665">
      <w:pPr>
        <w:pStyle w:val="ListParagraph"/>
        <w:rPr>
          <w:rFonts w:ascii="Times New Roman" w:hAnsi="Times New Roman" w:cs="Times New Roman"/>
          <w:sz w:val="24"/>
          <w:szCs w:val="24"/>
        </w:rPr>
      </w:pPr>
    </w:p>
    <w:p w14:paraId="59DCC6D1" w14:textId="77777777" w:rsidR="000A4665" w:rsidRPr="000A4665" w:rsidRDefault="000A4665" w:rsidP="000A4665">
      <w:pPr>
        <w:spacing w:after="0" w:line="360" w:lineRule="auto"/>
        <w:jc w:val="both"/>
        <w:rPr>
          <w:rFonts w:ascii="Times New Roman" w:hAnsi="Times New Roman" w:cs="Times New Roman"/>
          <w:sz w:val="24"/>
          <w:szCs w:val="24"/>
        </w:rPr>
      </w:pPr>
    </w:p>
    <w:p w14:paraId="7C7D8B54" w14:textId="77777777" w:rsidR="00475740" w:rsidRDefault="00475740" w:rsidP="00475740">
      <w:pPr>
        <w:spacing w:line="360" w:lineRule="auto"/>
        <w:jc w:val="both"/>
        <w:rPr>
          <w:rFonts w:ascii="Times New Roman" w:hAnsi="Times New Roman" w:cs="Times New Roman"/>
          <w:b/>
          <w:bCs/>
          <w:sz w:val="24"/>
          <w:szCs w:val="24"/>
        </w:rPr>
      </w:pPr>
    </w:p>
    <w:p w14:paraId="03D47A4D" w14:textId="01DDEF18" w:rsidR="00743AD0" w:rsidRPr="004153EC" w:rsidRDefault="00475740" w:rsidP="004153EC">
      <w:pPr>
        <w:pStyle w:val="ListParagraph"/>
        <w:numPr>
          <w:ilvl w:val="0"/>
          <w:numId w:val="18"/>
        </w:numPr>
        <w:spacing w:line="360" w:lineRule="auto"/>
        <w:jc w:val="both"/>
        <w:rPr>
          <w:rFonts w:ascii="Times New Roman" w:hAnsi="Times New Roman" w:cs="Times New Roman"/>
          <w:b/>
          <w:bCs/>
          <w:sz w:val="24"/>
          <w:szCs w:val="24"/>
        </w:rPr>
      </w:pPr>
      <w:r w:rsidRPr="004153EC">
        <w:rPr>
          <w:rFonts w:ascii="Times New Roman" w:hAnsi="Times New Roman" w:cs="Times New Roman"/>
          <w:b/>
          <w:bCs/>
          <w:sz w:val="24"/>
          <w:szCs w:val="24"/>
        </w:rPr>
        <w:lastRenderedPageBreak/>
        <w:t>Suggestions</w:t>
      </w:r>
    </w:p>
    <w:p w14:paraId="32332A0F" w14:textId="77777777" w:rsidR="00475740" w:rsidRPr="00475740" w:rsidRDefault="00475740" w:rsidP="00475740">
      <w:pPr>
        <w:pStyle w:val="ListParagraph"/>
        <w:numPr>
          <w:ilvl w:val="0"/>
          <w:numId w:val="16"/>
        </w:numPr>
        <w:spacing w:after="0" w:line="360" w:lineRule="auto"/>
        <w:jc w:val="both"/>
        <w:rPr>
          <w:rFonts w:ascii="Times New Roman" w:hAnsi="Times New Roman" w:cs="Times New Roman"/>
          <w:sz w:val="24"/>
          <w:szCs w:val="24"/>
        </w:rPr>
      </w:pPr>
      <w:r w:rsidRPr="00475740">
        <w:rPr>
          <w:rFonts w:ascii="Times New Roman" w:hAnsi="Times New Roman" w:cs="Times New Roman"/>
          <w:sz w:val="24"/>
          <w:szCs w:val="24"/>
        </w:rPr>
        <w:t>Public sector banks should prioritize strengthening their capital adequacy levels to ensure a resilient financial foundation.</w:t>
      </w:r>
    </w:p>
    <w:p w14:paraId="32B9BDBA" w14:textId="77777777" w:rsidR="00475740" w:rsidRPr="00475740" w:rsidRDefault="00475740" w:rsidP="00475740">
      <w:pPr>
        <w:spacing w:after="0" w:line="360" w:lineRule="auto"/>
        <w:jc w:val="both"/>
        <w:rPr>
          <w:rFonts w:ascii="Times New Roman" w:hAnsi="Times New Roman" w:cs="Times New Roman"/>
          <w:sz w:val="12"/>
          <w:szCs w:val="12"/>
        </w:rPr>
      </w:pPr>
    </w:p>
    <w:p w14:paraId="6FE15D4F" w14:textId="77777777" w:rsidR="00475740" w:rsidRPr="00475740" w:rsidRDefault="00475740" w:rsidP="00475740">
      <w:pPr>
        <w:pStyle w:val="ListParagraph"/>
        <w:numPr>
          <w:ilvl w:val="0"/>
          <w:numId w:val="16"/>
        </w:numPr>
        <w:spacing w:after="0" w:line="360" w:lineRule="auto"/>
        <w:jc w:val="both"/>
        <w:rPr>
          <w:rFonts w:ascii="Times New Roman" w:hAnsi="Times New Roman" w:cs="Times New Roman"/>
          <w:sz w:val="24"/>
          <w:szCs w:val="24"/>
        </w:rPr>
      </w:pPr>
      <w:r w:rsidRPr="00475740">
        <w:rPr>
          <w:rFonts w:ascii="Times New Roman" w:hAnsi="Times New Roman" w:cs="Times New Roman"/>
          <w:sz w:val="24"/>
          <w:szCs w:val="24"/>
        </w:rPr>
        <w:t>Regular stress testing and risk assessments can help identify potential capital shortfalls and prompt proactive measures.</w:t>
      </w:r>
    </w:p>
    <w:p w14:paraId="3DCE0719" w14:textId="77777777" w:rsidR="00475740" w:rsidRPr="00475740" w:rsidRDefault="00475740" w:rsidP="00475740">
      <w:pPr>
        <w:spacing w:after="0" w:line="360" w:lineRule="auto"/>
        <w:jc w:val="both"/>
        <w:rPr>
          <w:rFonts w:ascii="Times New Roman" w:hAnsi="Times New Roman" w:cs="Times New Roman"/>
          <w:sz w:val="12"/>
          <w:szCs w:val="12"/>
        </w:rPr>
      </w:pPr>
    </w:p>
    <w:p w14:paraId="23F32965" w14:textId="53EDF0FF" w:rsidR="00475740" w:rsidRPr="00475740" w:rsidRDefault="00475740" w:rsidP="00475740">
      <w:pPr>
        <w:pStyle w:val="ListParagraph"/>
        <w:numPr>
          <w:ilvl w:val="0"/>
          <w:numId w:val="16"/>
        </w:numPr>
        <w:spacing w:after="0" w:line="360" w:lineRule="auto"/>
        <w:jc w:val="both"/>
        <w:rPr>
          <w:rFonts w:ascii="Times New Roman" w:hAnsi="Times New Roman" w:cs="Times New Roman"/>
          <w:sz w:val="24"/>
          <w:szCs w:val="24"/>
        </w:rPr>
      </w:pPr>
      <w:r w:rsidRPr="00475740">
        <w:rPr>
          <w:rFonts w:ascii="Times New Roman" w:hAnsi="Times New Roman" w:cs="Times New Roman"/>
          <w:sz w:val="24"/>
          <w:szCs w:val="24"/>
        </w:rPr>
        <w:t>Banks must maintain a healthy proportion of standard assets in their portfolios, as indicated by the Standard Assets Ratio, to contribute to NPA resilience.</w:t>
      </w:r>
    </w:p>
    <w:p w14:paraId="7A4678A0" w14:textId="77777777" w:rsidR="00475740" w:rsidRPr="00475740" w:rsidRDefault="00475740" w:rsidP="00475740">
      <w:pPr>
        <w:spacing w:after="0" w:line="360" w:lineRule="auto"/>
        <w:jc w:val="both"/>
        <w:rPr>
          <w:rFonts w:ascii="Times New Roman" w:hAnsi="Times New Roman" w:cs="Times New Roman"/>
          <w:sz w:val="12"/>
          <w:szCs w:val="12"/>
        </w:rPr>
      </w:pPr>
    </w:p>
    <w:p w14:paraId="4287BCF7" w14:textId="77777777" w:rsidR="00475740" w:rsidRPr="00475740" w:rsidRDefault="00475740" w:rsidP="00475740">
      <w:pPr>
        <w:pStyle w:val="ListParagraph"/>
        <w:numPr>
          <w:ilvl w:val="0"/>
          <w:numId w:val="16"/>
        </w:numPr>
        <w:spacing w:after="0" w:line="360" w:lineRule="auto"/>
        <w:jc w:val="both"/>
        <w:rPr>
          <w:rFonts w:ascii="Times New Roman" w:hAnsi="Times New Roman" w:cs="Times New Roman"/>
          <w:sz w:val="24"/>
          <w:szCs w:val="24"/>
        </w:rPr>
      </w:pPr>
      <w:r w:rsidRPr="00475740">
        <w:rPr>
          <w:rFonts w:ascii="Times New Roman" w:hAnsi="Times New Roman" w:cs="Times New Roman"/>
          <w:sz w:val="24"/>
          <w:szCs w:val="24"/>
        </w:rPr>
        <w:t>Ongoing reviews of asset quality and risk exposure are essential to ensure a significant portion of assets remains standard.</w:t>
      </w:r>
    </w:p>
    <w:p w14:paraId="7C8E7F75" w14:textId="77777777" w:rsidR="00475740" w:rsidRPr="00475740" w:rsidRDefault="00475740" w:rsidP="00475740">
      <w:pPr>
        <w:spacing w:after="0" w:line="360" w:lineRule="auto"/>
        <w:jc w:val="both"/>
        <w:rPr>
          <w:rFonts w:ascii="Times New Roman" w:hAnsi="Times New Roman" w:cs="Times New Roman"/>
          <w:sz w:val="12"/>
          <w:szCs w:val="12"/>
        </w:rPr>
      </w:pPr>
    </w:p>
    <w:p w14:paraId="01BC935C" w14:textId="77777777" w:rsidR="00475740" w:rsidRPr="00475740" w:rsidRDefault="00475740" w:rsidP="00475740">
      <w:pPr>
        <w:pStyle w:val="ListParagraph"/>
        <w:numPr>
          <w:ilvl w:val="0"/>
          <w:numId w:val="16"/>
        </w:numPr>
        <w:spacing w:after="0" w:line="360" w:lineRule="auto"/>
        <w:jc w:val="both"/>
        <w:rPr>
          <w:rFonts w:ascii="Times New Roman" w:hAnsi="Times New Roman" w:cs="Times New Roman"/>
          <w:sz w:val="24"/>
          <w:szCs w:val="24"/>
        </w:rPr>
      </w:pPr>
      <w:r w:rsidRPr="00475740">
        <w:rPr>
          <w:rFonts w:ascii="Times New Roman" w:hAnsi="Times New Roman" w:cs="Times New Roman"/>
          <w:sz w:val="24"/>
          <w:szCs w:val="24"/>
        </w:rPr>
        <w:t>Banks should continuously monitor economic conditions, credit assessment practices, and fraud prevention measures as contributors to NPAs.</w:t>
      </w:r>
    </w:p>
    <w:p w14:paraId="044B755F" w14:textId="77777777" w:rsidR="00475740" w:rsidRPr="00475740" w:rsidRDefault="00475740" w:rsidP="00475740">
      <w:pPr>
        <w:spacing w:after="0" w:line="360" w:lineRule="auto"/>
        <w:jc w:val="both"/>
        <w:rPr>
          <w:rFonts w:ascii="Times New Roman" w:hAnsi="Times New Roman" w:cs="Times New Roman"/>
          <w:sz w:val="12"/>
          <w:szCs w:val="12"/>
        </w:rPr>
      </w:pPr>
    </w:p>
    <w:p w14:paraId="1D5490B7" w14:textId="643512FA" w:rsidR="004738AB" w:rsidRDefault="00475740" w:rsidP="00475740">
      <w:pPr>
        <w:pStyle w:val="ListParagraph"/>
        <w:numPr>
          <w:ilvl w:val="0"/>
          <w:numId w:val="16"/>
        </w:numPr>
        <w:spacing w:after="0" w:line="360" w:lineRule="auto"/>
        <w:jc w:val="both"/>
        <w:rPr>
          <w:rFonts w:ascii="Times New Roman" w:hAnsi="Times New Roman" w:cs="Times New Roman"/>
          <w:sz w:val="24"/>
          <w:szCs w:val="24"/>
        </w:rPr>
      </w:pPr>
      <w:r w:rsidRPr="00475740">
        <w:rPr>
          <w:rFonts w:ascii="Times New Roman" w:hAnsi="Times New Roman" w:cs="Times New Roman"/>
          <w:sz w:val="24"/>
          <w:szCs w:val="24"/>
        </w:rPr>
        <w:t>Engage in continuous comparative analysis of NPA management practices to identify successful strategies employed by high-performing banks. Benchmarking against peers can facilitate the adoption of best practices for NPA management.</w:t>
      </w:r>
    </w:p>
    <w:p w14:paraId="3BC85818" w14:textId="77777777" w:rsidR="001C25BD" w:rsidRPr="000A4665" w:rsidRDefault="001C25BD" w:rsidP="000A4665">
      <w:pPr>
        <w:rPr>
          <w:rFonts w:ascii="Times New Roman" w:hAnsi="Times New Roman" w:cs="Times New Roman"/>
          <w:sz w:val="24"/>
          <w:szCs w:val="24"/>
        </w:rPr>
      </w:pPr>
    </w:p>
    <w:p w14:paraId="3422F2C6" w14:textId="0EADF784" w:rsidR="001C25BD" w:rsidRPr="001C25BD" w:rsidRDefault="001C25BD" w:rsidP="004153EC">
      <w:pPr>
        <w:pStyle w:val="ListParagraph"/>
        <w:numPr>
          <w:ilvl w:val="0"/>
          <w:numId w:val="18"/>
        </w:numPr>
        <w:spacing w:after="0" w:line="360" w:lineRule="auto"/>
        <w:jc w:val="both"/>
        <w:rPr>
          <w:rFonts w:ascii="Times New Roman" w:hAnsi="Times New Roman" w:cs="Times New Roman"/>
          <w:b/>
          <w:bCs/>
          <w:sz w:val="24"/>
          <w:szCs w:val="24"/>
        </w:rPr>
      </w:pPr>
      <w:r w:rsidRPr="001C25BD">
        <w:rPr>
          <w:rFonts w:ascii="Times New Roman" w:hAnsi="Times New Roman" w:cs="Times New Roman"/>
          <w:b/>
          <w:bCs/>
          <w:sz w:val="24"/>
          <w:szCs w:val="24"/>
        </w:rPr>
        <w:t>Conclusion</w:t>
      </w:r>
    </w:p>
    <w:p w14:paraId="0AC9B6A6" w14:textId="16CFDE86" w:rsidR="001C25BD" w:rsidRPr="001C25BD" w:rsidRDefault="001C25BD" w:rsidP="001C25BD">
      <w:pPr>
        <w:spacing w:after="0" w:line="360" w:lineRule="auto"/>
        <w:jc w:val="both"/>
        <w:rPr>
          <w:rFonts w:ascii="Times New Roman" w:hAnsi="Times New Roman" w:cs="Times New Roman"/>
          <w:sz w:val="24"/>
          <w:szCs w:val="24"/>
        </w:rPr>
      </w:pPr>
      <w:r w:rsidRPr="001C25BD">
        <w:rPr>
          <w:rFonts w:ascii="Times New Roman" w:hAnsi="Times New Roman" w:cs="Times New Roman"/>
          <w:sz w:val="24"/>
          <w:szCs w:val="24"/>
        </w:rPr>
        <w:t xml:space="preserve">In the world of India's public sector banks, managing Non-Performing </w:t>
      </w:r>
      <w:r w:rsidR="00527A25" w:rsidRPr="001C25BD">
        <w:rPr>
          <w:rFonts w:ascii="Times New Roman" w:hAnsi="Times New Roman" w:cs="Times New Roman"/>
          <w:sz w:val="24"/>
          <w:szCs w:val="24"/>
        </w:rPr>
        <w:t>Assets has</w:t>
      </w:r>
      <w:r w:rsidRPr="001C25BD">
        <w:rPr>
          <w:rFonts w:ascii="Times New Roman" w:hAnsi="Times New Roman" w:cs="Times New Roman"/>
          <w:sz w:val="24"/>
          <w:szCs w:val="24"/>
        </w:rPr>
        <w:t xml:space="preserve"> always been a tough challenge. This research dug deep into the crucial connection between having enough money (capital adequacy) and being able to handle NPAs effectively. What we discovered is that when banks have more capital, they are better at dealing with NPAs, which is a key to financial stability.</w:t>
      </w:r>
    </w:p>
    <w:p w14:paraId="7770C7CE" w14:textId="77777777" w:rsidR="001C25BD" w:rsidRPr="001C25BD" w:rsidRDefault="001C25BD" w:rsidP="001C25BD">
      <w:pPr>
        <w:spacing w:after="0" w:line="360" w:lineRule="auto"/>
        <w:jc w:val="both"/>
        <w:rPr>
          <w:rFonts w:ascii="Times New Roman" w:hAnsi="Times New Roman" w:cs="Times New Roman"/>
          <w:sz w:val="12"/>
          <w:szCs w:val="12"/>
        </w:rPr>
      </w:pPr>
    </w:p>
    <w:p w14:paraId="06F5AD72" w14:textId="3CAE314F" w:rsidR="001C25BD" w:rsidRDefault="001C25BD" w:rsidP="001C25BD">
      <w:pPr>
        <w:spacing w:after="0" w:line="360" w:lineRule="auto"/>
        <w:jc w:val="both"/>
        <w:rPr>
          <w:rFonts w:ascii="Times New Roman" w:hAnsi="Times New Roman" w:cs="Times New Roman"/>
          <w:sz w:val="24"/>
          <w:szCs w:val="24"/>
        </w:rPr>
      </w:pPr>
      <w:r w:rsidRPr="001C25BD">
        <w:rPr>
          <w:rFonts w:ascii="Times New Roman" w:hAnsi="Times New Roman" w:cs="Times New Roman"/>
          <w:sz w:val="24"/>
          <w:szCs w:val="24"/>
        </w:rPr>
        <w:t>These findings have significant implications for banking strategies and rules. It's crystal clear that well-capitalized banks are essential for financial stability. As India's economic landscape changes, this research reminds us that having a strong financial foundation is like a safety net, helping banks and the entire economy navigate through rough times. In essence, this study highlights the vital relationship between financial strength and resilience against NPAs, offering a vital lesson for banks and regulators in ensuring the financial health of India's public sector banks and the stability of the country's economy.</w:t>
      </w:r>
    </w:p>
    <w:p w14:paraId="15921DC5" w14:textId="77777777" w:rsidR="000A4665" w:rsidRDefault="000A4665" w:rsidP="001C25BD">
      <w:pPr>
        <w:spacing w:after="0" w:line="360" w:lineRule="auto"/>
        <w:jc w:val="both"/>
        <w:rPr>
          <w:rFonts w:ascii="Times New Roman" w:hAnsi="Times New Roman" w:cs="Times New Roman"/>
          <w:sz w:val="24"/>
          <w:szCs w:val="24"/>
        </w:rPr>
      </w:pPr>
    </w:p>
    <w:p w14:paraId="083CF779" w14:textId="77777777" w:rsidR="00E4412F" w:rsidRDefault="00E4412F" w:rsidP="001C25BD">
      <w:pPr>
        <w:spacing w:after="0" w:line="360" w:lineRule="auto"/>
        <w:jc w:val="both"/>
        <w:rPr>
          <w:rFonts w:ascii="Times New Roman" w:hAnsi="Times New Roman" w:cs="Times New Roman"/>
          <w:sz w:val="24"/>
          <w:szCs w:val="24"/>
        </w:rPr>
      </w:pPr>
    </w:p>
    <w:p w14:paraId="09F9EAC1" w14:textId="29F386EC" w:rsidR="00E4412F" w:rsidRPr="002268D3" w:rsidRDefault="00E4412F" w:rsidP="002268D3">
      <w:pPr>
        <w:pStyle w:val="ListParagraph"/>
        <w:numPr>
          <w:ilvl w:val="0"/>
          <w:numId w:val="18"/>
        </w:numPr>
        <w:spacing w:after="0" w:line="360" w:lineRule="auto"/>
        <w:jc w:val="both"/>
        <w:rPr>
          <w:rFonts w:ascii="Times New Roman" w:hAnsi="Times New Roman" w:cs="Times New Roman"/>
          <w:sz w:val="24"/>
          <w:szCs w:val="24"/>
        </w:rPr>
      </w:pPr>
      <w:r w:rsidRPr="002268D3">
        <w:rPr>
          <w:rFonts w:ascii="Times New Roman" w:hAnsi="Times New Roman" w:cs="Times New Roman"/>
          <w:b/>
          <w:bCs/>
          <w:sz w:val="24"/>
          <w:szCs w:val="24"/>
        </w:rPr>
        <w:lastRenderedPageBreak/>
        <w:t>Reference</w:t>
      </w:r>
    </w:p>
    <w:p w14:paraId="726451BB" w14:textId="77777777" w:rsidR="00E4412F" w:rsidRPr="00E4412F" w:rsidRDefault="00E4412F" w:rsidP="00E4412F">
      <w:pPr>
        <w:pStyle w:val="ListParagraph"/>
        <w:numPr>
          <w:ilvl w:val="0"/>
          <w:numId w:val="17"/>
        </w:numPr>
        <w:spacing w:after="0" w:line="360" w:lineRule="auto"/>
        <w:jc w:val="both"/>
        <w:rPr>
          <w:rFonts w:ascii="Times New Roman" w:hAnsi="Times New Roman" w:cs="Times New Roman"/>
          <w:sz w:val="24"/>
          <w:szCs w:val="24"/>
        </w:rPr>
      </w:pPr>
      <w:r w:rsidRPr="00E4412F">
        <w:rPr>
          <w:rFonts w:ascii="Times New Roman" w:hAnsi="Times New Roman" w:cs="Times New Roman"/>
          <w:sz w:val="24"/>
          <w:szCs w:val="24"/>
        </w:rPr>
        <w:t>Mital, S., &amp; Mital, A. (2012). A comparative study of non-performing assets in SBI and other public sector banks in India. International Journal of Management and Social Sciences Research, 1(2), 56-62.</w:t>
      </w:r>
    </w:p>
    <w:p w14:paraId="0DA0778F" w14:textId="77777777" w:rsidR="00E4412F" w:rsidRPr="00E4412F" w:rsidRDefault="00E4412F" w:rsidP="00E4412F">
      <w:pPr>
        <w:spacing w:after="0" w:line="360" w:lineRule="auto"/>
        <w:jc w:val="both"/>
        <w:rPr>
          <w:rFonts w:ascii="Times New Roman" w:hAnsi="Times New Roman" w:cs="Times New Roman"/>
          <w:sz w:val="12"/>
          <w:szCs w:val="12"/>
        </w:rPr>
      </w:pPr>
    </w:p>
    <w:p w14:paraId="60176FE8" w14:textId="77777777" w:rsidR="00E4412F" w:rsidRPr="00E4412F" w:rsidRDefault="00E4412F" w:rsidP="00E4412F">
      <w:pPr>
        <w:pStyle w:val="ListParagraph"/>
        <w:numPr>
          <w:ilvl w:val="0"/>
          <w:numId w:val="17"/>
        </w:numPr>
        <w:spacing w:after="0" w:line="360" w:lineRule="auto"/>
        <w:jc w:val="both"/>
        <w:rPr>
          <w:rFonts w:ascii="Times New Roman" w:hAnsi="Times New Roman" w:cs="Times New Roman"/>
          <w:sz w:val="24"/>
          <w:szCs w:val="24"/>
        </w:rPr>
      </w:pPr>
      <w:r w:rsidRPr="00E4412F">
        <w:rPr>
          <w:rFonts w:ascii="Times New Roman" w:hAnsi="Times New Roman" w:cs="Times New Roman"/>
          <w:sz w:val="24"/>
          <w:szCs w:val="24"/>
        </w:rPr>
        <w:t>Namitha, A. (2017). A comparative analysis of non-performing assets in public sector and private sector banks in India. International Journal of Research in Finance and Marketing, 7(2), 1-9.</w:t>
      </w:r>
    </w:p>
    <w:p w14:paraId="7E2CF1A4" w14:textId="77777777" w:rsidR="00E4412F" w:rsidRPr="00E4412F" w:rsidRDefault="00E4412F" w:rsidP="00E4412F">
      <w:pPr>
        <w:spacing w:after="0" w:line="360" w:lineRule="auto"/>
        <w:jc w:val="both"/>
        <w:rPr>
          <w:rFonts w:ascii="Times New Roman" w:hAnsi="Times New Roman" w:cs="Times New Roman"/>
          <w:sz w:val="12"/>
          <w:szCs w:val="12"/>
        </w:rPr>
      </w:pPr>
    </w:p>
    <w:p w14:paraId="1D3F2308" w14:textId="77777777" w:rsidR="00E4412F" w:rsidRPr="00E4412F" w:rsidRDefault="00E4412F" w:rsidP="00E4412F">
      <w:pPr>
        <w:pStyle w:val="ListParagraph"/>
        <w:numPr>
          <w:ilvl w:val="0"/>
          <w:numId w:val="17"/>
        </w:numPr>
        <w:spacing w:after="0" w:line="360" w:lineRule="auto"/>
        <w:jc w:val="both"/>
        <w:rPr>
          <w:rFonts w:ascii="Times New Roman" w:hAnsi="Times New Roman" w:cs="Times New Roman"/>
          <w:sz w:val="24"/>
          <w:szCs w:val="24"/>
        </w:rPr>
      </w:pPr>
      <w:r w:rsidRPr="00E4412F">
        <w:rPr>
          <w:rFonts w:ascii="Times New Roman" w:hAnsi="Times New Roman" w:cs="Times New Roman"/>
          <w:sz w:val="24"/>
          <w:szCs w:val="24"/>
        </w:rPr>
        <w:t>Gupta, R., &amp; Bhushan, S. (2017). A comparative analysis of non-performing assets in public sector banks and private sector banks in India. International Journal of Engineering Technology Science and Research, 4(7), 429-433.</w:t>
      </w:r>
    </w:p>
    <w:p w14:paraId="1A2FA687" w14:textId="77777777" w:rsidR="00E4412F" w:rsidRPr="00E4412F" w:rsidRDefault="00E4412F" w:rsidP="00E4412F">
      <w:pPr>
        <w:spacing w:after="0" w:line="360" w:lineRule="auto"/>
        <w:jc w:val="both"/>
        <w:rPr>
          <w:rFonts w:ascii="Times New Roman" w:hAnsi="Times New Roman" w:cs="Times New Roman"/>
          <w:sz w:val="12"/>
          <w:szCs w:val="12"/>
        </w:rPr>
      </w:pPr>
    </w:p>
    <w:p w14:paraId="31143A7F" w14:textId="77777777" w:rsidR="00E4412F" w:rsidRPr="00E4412F" w:rsidRDefault="00E4412F" w:rsidP="00E4412F">
      <w:pPr>
        <w:pStyle w:val="ListParagraph"/>
        <w:numPr>
          <w:ilvl w:val="0"/>
          <w:numId w:val="17"/>
        </w:numPr>
        <w:spacing w:after="0" w:line="360" w:lineRule="auto"/>
        <w:jc w:val="both"/>
        <w:rPr>
          <w:rFonts w:ascii="Times New Roman" w:hAnsi="Times New Roman" w:cs="Times New Roman"/>
          <w:sz w:val="24"/>
          <w:szCs w:val="24"/>
        </w:rPr>
      </w:pPr>
      <w:r w:rsidRPr="00E4412F">
        <w:rPr>
          <w:rFonts w:ascii="Times New Roman" w:hAnsi="Times New Roman" w:cs="Times New Roman"/>
          <w:sz w:val="24"/>
          <w:szCs w:val="24"/>
        </w:rPr>
        <w:t>Sharma, A., &amp; Arora, A. (2019). Non-performing assets in Indian banking sector: Causes and solutions. International Journal of Research in Management, 9(1), 31-40.</w:t>
      </w:r>
    </w:p>
    <w:p w14:paraId="7014EF7A" w14:textId="77777777" w:rsidR="00E4412F" w:rsidRPr="00E4412F" w:rsidRDefault="00E4412F" w:rsidP="00E4412F">
      <w:pPr>
        <w:spacing w:after="0" w:line="360" w:lineRule="auto"/>
        <w:jc w:val="both"/>
        <w:rPr>
          <w:rFonts w:ascii="Times New Roman" w:hAnsi="Times New Roman" w:cs="Times New Roman"/>
          <w:sz w:val="12"/>
          <w:szCs w:val="12"/>
        </w:rPr>
      </w:pPr>
    </w:p>
    <w:p w14:paraId="6E341740" w14:textId="77777777" w:rsidR="00E4412F" w:rsidRPr="00E4412F" w:rsidRDefault="00E4412F" w:rsidP="00E4412F">
      <w:pPr>
        <w:pStyle w:val="ListParagraph"/>
        <w:numPr>
          <w:ilvl w:val="0"/>
          <w:numId w:val="17"/>
        </w:numPr>
        <w:spacing w:after="0" w:line="360" w:lineRule="auto"/>
        <w:jc w:val="both"/>
        <w:rPr>
          <w:rFonts w:ascii="Times New Roman" w:hAnsi="Times New Roman" w:cs="Times New Roman"/>
          <w:sz w:val="24"/>
          <w:szCs w:val="24"/>
        </w:rPr>
      </w:pPr>
      <w:r w:rsidRPr="00E4412F">
        <w:rPr>
          <w:rFonts w:ascii="Times New Roman" w:hAnsi="Times New Roman" w:cs="Times New Roman"/>
          <w:sz w:val="24"/>
          <w:szCs w:val="24"/>
        </w:rPr>
        <w:t>Rajak, D. (2018). Non-performing assets in State Bank of India: Causes and consequences. International Journal of Scientific Research and Review, 7(12), 176-182.</w:t>
      </w:r>
    </w:p>
    <w:p w14:paraId="5F6CDCDF" w14:textId="77777777" w:rsidR="00E4412F" w:rsidRPr="00E4412F" w:rsidRDefault="00E4412F" w:rsidP="00E4412F">
      <w:pPr>
        <w:spacing w:after="0" w:line="360" w:lineRule="auto"/>
        <w:jc w:val="both"/>
        <w:rPr>
          <w:rFonts w:ascii="Times New Roman" w:hAnsi="Times New Roman" w:cs="Times New Roman"/>
          <w:sz w:val="12"/>
          <w:szCs w:val="12"/>
        </w:rPr>
      </w:pPr>
    </w:p>
    <w:p w14:paraId="6E624321" w14:textId="77777777" w:rsidR="00E4412F" w:rsidRPr="00E4412F" w:rsidRDefault="00E4412F" w:rsidP="00E4412F">
      <w:pPr>
        <w:pStyle w:val="ListParagraph"/>
        <w:numPr>
          <w:ilvl w:val="0"/>
          <w:numId w:val="17"/>
        </w:numPr>
        <w:spacing w:after="0" w:line="360" w:lineRule="auto"/>
        <w:jc w:val="both"/>
        <w:rPr>
          <w:rFonts w:ascii="Times New Roman" w:hAnsi="Times New Roman" w:cs="Times New Roman"/>
          <w:sz w:val="24"/>
          <w:szCs w:val="24"/>
        </w:rPr>
      </w:pPr>
      <w:r w:rsidRPr="00E4412F">
        <w:rPr>
          <w:rFonts w:ascii="Times New Roman" w:hAnsi="Times New Roman" w:cs="Times New Roman"/>
          <w:sz w:val="24"/>
          <w:szCs w:val="24"/>
        </w:rPr>
        <w:t>Pathak, S. (2020). An empirical study of non-performing assets in State Bank of India and other public sector banks in India. International Journal of Finance and Banking Research, 6(2), 21-30.</w:t>
      </w:r>
    </w:p>
    <w:p w14:paraId="4AB64D50" w14:textId="77777777" w:rsidR="00E4412F" w:rsidRPr="00E4412F" w:rsidRDefault="00E4412F" w:rsidP="00E4412F">
      <w:pPr>
        <w:spacing w:after="0" w:line="360" w:lineRule="auto"/>
        <w:jc w:val="both"/>
        <w:rPr>
          <w:rFonts w:ascii="Times New Roman" w:hAnsi="Times New Roman" w:cs="Times New Roman"/>
          <w:sz w:val="12"/>
          <w:szCs w:val="12"/>
        </w:rPr>
      </w:pPr>
    </w:p>
    <w:p w14:paraId="4EC0C782" w14:textId="28F3714C" w:rsidR="00E4412F" w:rsidRPr="00E4412F" w:rsidRDefault="00E4412F" w:rsidP="00E4412F">
      <w:pPr>
        <w:pStyle w:val="ListParagraph"/>
        <w:numPr>
          <w:ilvl w:val="0"/>
          <w:numId w:val="17"/>
        </w:numPr>
        <w:spacing w:after="0" w:line="360" w:lineRule="auto"/>
        <w:jc w:val="both"/>
        <w:rPr>
          <w:rFonts w:ascii="Times New Roman" w:hAnsi="Times New Roman" w:cs="Times New Roman"/>
          <w:sz w:val="24"/>
          <w:szCs w:val="24"/>
        </w:rPr>
      </w:pPr>
      <w:r w:rsidRPr="00E4412F">
        <w:rPr>
          <w:rFonts w:ascii="Times New Roman" w:hAnsi="Times New Roman" w:cs="Times New Roman"/>
          <w:sz w:val="24"/>
          <w:szCs w:val="24"/>
        </w:rPr>
        <w:t>Reserve Bank of India (RBI). (2021). Annual Report 2020-2021</w:t>
      </w:r>
      <w:r>
        <w:rPr>
          <w:rFonts w:ascii="Times New Roman" w:hAnsi="Times New Roman" w:cs="Times New Roman"/>
          <w:sz w:val="24"/>
          <w:szCs w:val="24"/>
        </w:rPr>
        <w:t xml:space="preserve"> to 2022-2023</w:t>
      </w:r>
      <w:r w:rsidRPr="00E4412F">
        <w:rPr>
          <w:rFonts w:ascii="Times New Roman" w:hAnsi="Times New Roman" w:cs="Times New Roman"/>
          <w:sz w:val="24"/>
          <w:szCs w:val="24"/>
        </w:rPr>
        <w:t>. https://www.rbi.org.in/</w:t>
      </w:r>
    </w:p>
    <w:p w14:paraId="54B2B113" w14:textId="77777777" w:rsidR="00E4412F" w:rsidRPr="00E4412F" w:rsidRDefault="00E4412F" w:rsidP="00E4412F">
      <w:pPr>
        <w:spacing w:after="0" w:line="360" w:lineRule="auto"/>
        <w:jc w:val="both"/>
        <w:rPr>
          <w:rFonts w:ascii="Times New Roman" w:hAnsi="Times New Roman" w:cs="Times New Roman"/>
          <w:sz w:val="24"/>
          <w:szCs w:val="24"/>
        </w:rPr>
      </w:pPr>
    </w:p>
    <w:p w14:paraId="6640007D" w14:textId="77777777" w:rsidR="00E4412F" w:rsidRPr="00E4412F" w:rsidRDefault="00E4412F" w:rsidP="00E4412F">
      <w:pPr>
        <w:pStyle w:val="ListParagraph"/>
        <w:numPr>
          <w:ilvl w:val="0"/>
          <w:numId w:val="17"/>
        </w:numPr>
        <w:spacing w:after="0" w:line="360" w:lineRule="auto"/>
        <w:jc w:val="both"/>
        <w:rPr>
          <w:rFonts w:ascii="Times New Roman" w:hAnsi="Times New Roman" w:cs="Times New Roman"/>
          <w:sz w:val="24"/>
          <w:szCs w:val="24"/>
        </w:rPr>
      </w:pPr>
      <w:r w:rsidRPr="00E4412F">
        <w:rPr>
          <w:rFonts w:ascii="Times New Roman" w:hAnsi="Times New Roman" w:cs="Times New Roman"/>
          <w:sz w:val="24"/>
          <w:szCs w:val="24"/>
        </w:rPr>
        <w:t>Reserve Bank of India (RBI). (2022). Financial Stability Report. https://www.rbi.org.in/</w:t>
      </w:r>
    </w:p>
    <w:p w14:paraId="405FAC67" w14:textId="77777777" w:rsidR="00E4412F" w:rsidRPr="00E4412F" w:rsidRDefault="00E4412F" w:rsidP="00E4412F">
      <w:pPr>
        <w:spacing w:after="0" w:line="360" w:lineRule="auto"/>
        <w:jc w:val="both"/>
        <w:rPr>
          <w:rFonts w:ascii="Times New Roman" w:hAnsi="Times New Roman" w:cs="Times New Roman"/>
          <w:sz w:val="24"/>
          <w:szCs w:val="24"/>
        </w:rPr>
      </w:pPr>
    </w:p>
    <w:p w14:paraId="3165C1F6" w14:textId="2E390F44" w:rsidR="00E4412F" w:rsidRDefault="00E4412F" w:rsidP="00E4412F">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Money control</w:t>
      </w:r>
      <w:r w:rsidRPr="00E4412F">
        <w:rPr>
          <w:rFonts w:ascii="Times New Roman" w:hAnsi="Times New Roman" w:cs="Times New Roman"/>
          <w:sz w:val="24"/>
          <w:szCs w:val="24"/>
        </w:rPr>
        <w:t xml:space="preserve">. (2021). Annual Report. </w:t>
      </w:r>
      <w:hyperlink r:id="rId9" w:history="1">
        <w:r w:rsidRPr="00DE6E5E">
          <w:rPr>
            <w:rStyle w:val="Hyperlink"/>
            <w:rFonts w:ascii="Times New Roman" w:hAnsi="Times New Roman" w:cs="Times New Roman"/>
            <w:sz w:val="24"/>
            <w:szCs w:val="24"/>
          </w:rPr>
          <w:t>https://www.iba.org.in/</w:t>
        </w:r>
      </w:hyperlink>
    </w:p>
    <w:p w14:paraId="5E0B68B6" w14:textId="77777777" w:rsidR="00E4412F" w:rsidRPr="00E4412F" w:rsidRDefault="00E4412F" w:rsidP="00E4412F">
      <w:pPr>
        <w:pStyle w:val="ListParagraph"/>
        <w:rPr>
          <w:rFonts w:ascii="Times New Roman" w:hAnsi="Times New Roman" w:cs="Times New Roman"/>
          <w:sz w:val="24"/>
          <w:szCs w:val="24"/>
        </w:rPr>
      </w:pPr>
    </w:p>
    <w:p w14:paraId="738DD509" w14:textId="1B2DEB0F" w:rsidR="00E4412F" w:rsidRPr="00E4412F" w:rsidRDefault="00491FF2" w:rsidP="00E4412F">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Official website of each of the PSBs. Annual Reports 2020-2021 to 2022-2023.</w:t>
      </w:r>
    </w:p>
    <w:p w14:paraId="27CECC57" w14:textId="77777777" w:rsidR="00E4412F" w:rsidRPr="00E4412F" w:rsidRDefault="00E4412F" w:rsidP="00E4412F">
      <w:pPr>
        <w:spacing w:after="0" w:line="360" w:lineRule="auto"/>
        <w:jc w:val="both"/>
        <w:rPr>
          <w:rFonts w:ascii="Times New Roman" w:hAnsi="Times New Roman" w:cs="Times New Roman"/>
          <w:sz w:val="24"/>
          <w:szCs w:val="24"/>
        </w:rPr>
      </w:pPr>
    </w:p>
    <w:p w14:paraId="36ADF2ED" w14:textId="77777777" w:rsidR="00BD55A9" w:rsidRPr="00EC4336" w:rsidRDefault="00BD55A9" w:rsidP="00475740">
      <w:pPr>
        <w:spacing w:after="0" w:line="360" w:lineRule="auto"/>
        <w:jc w:val="both"/>
        <w:rPr>
          <w:rFonts w:ascii="Times New Roman" w:hAnsi="Times New Roman" w:cs="Times New Roman"/>
          <w:sz w:val="24"/>
          <w:szCs w:val="24"/>
        </w:rPr>
      </w:pPr>
    </w:p>
    <w:sectPr w:rsidR="00BD55A9" w:rsidRPr="00EC43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C741" w14:textId="77777777" w:rsidR="007006DA" w:rsidRDefault="007006DA" w:rsidP="005676DB">
      <w:pPr>
        <w:spacing w:after="0" w:line="240" w:lineRule="auto"/>
      </w:pPr>
      <w:r>
        <w:separator/>
      </w:r>
    </w:p>
  </w:endnote>
  <w:endnote w:type="continuationSeparator" w:id="0">
    <w:p w14:paraId="7ED51D2F" w14:textId="77777777" w:rsidR="007006DA" w:rsidRDefault="007006DA" w:rsidP="00567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623A5" w14:textId="77777777" w:rsidR="007006DA" w:rsidRDefault="007006DA" w:rsidP="005676DB">
      <w:pPr>
        <w:spacing w:after="0" w:line="240" w:lineRule="auto"/>
      </w:pPr>
      <w:r>
        <w:separator/>
      </w:r>
    </w:p>
  </w:footnote>
  <w:footnote w:type="continuationSeparator" w:id="0">
    <w:p w14:paraId="59E97018" w14:textId="77777777" w:rsidR="007006DA" w:rsidRDefault="007006DA" w:rsidP="00567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A36"/>
    <w:multiLevelType w:val="multilevel"/>
    <w:tmpl w:val="AF8E4AF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 w15:restartNumberingAfterBreak="0">
    <w:nsid w:val="19A03929"/>
    <w:multiLevelType w:val="hybridMultilevel"/>
    <w:tmpl w:val="41AA7A86"/>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B66B3C"/>
    <w:multiLevelType w:val="multilevel"/>
    <w:tmpl w:val="6B38A70A"/>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 w15:restartNumberingAfterBreak="0">
    <w:nsid w:val="250561AB"/>
    <w:multiLevelType w:val="hybridMultilevel"/>
    <w:tmpl w:val="B7DE630C"/>
    <w:lvl w:ilvl="0" w:tplc="3724CA06">
      <w:start w:val="6"/>
      <w:numFmt w:val="upperRoman"/>
      <w:lvlText w:val="%1."/>
      <w:lvlJc w:val="left"/>
      <w:pPr>
        <w:ind w:left="720" w:hanging="72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75B5769"/>
    <w:multiLevelType w:val="multilevel"/>
    <w:tmpl w:val="B396FC88"/>
    <w:lvl w:ilvl="0">
      <w:start w:val="1"/>
      <w:numFmt w:val="decimal"/>
      <w:lvlText w:val="%1."/>
      <w:lvlJc w:val="left"/>
      <w:pPr>
        <w:ind w:left="502"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44703E9D"/>
    <w:multiLevelType w:val="hybridMultilevel"/>
    <w:tmpl w:val="786E94F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463D66E6"/>
    <w:multiLevelType w:val="hybridMultilevel"/>
    <w:tmpl w:val="A0FA1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5C52225"/>
    <w:multiLevelType w:val="hybridMultilevel"/>
    <w:tmpl w:val="68E6CC3C"/>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61303C0A"/>
    <w:multiLevelType w:val="hybridMultilevel"/>
    <w:tmpl w:val="11F65E60"/>
    <w:lvl w:ilvl="0" w:tplc="245434D6">
      <w:start w:val="9"/>
      <w:numFmt w:val="upperRoman"/>
      <w:lvlText w:val="%1."/>
      <w:lvlJc w:val="left"/>
      <w:pPr>
        <w:ind w:left="720" w:hanging="720"/>
      </w:pPr>
      <w:rPr>
        <w:rFonts w:hint="default"/>
        <w:b/>
        <w:bCs/>
        <w:sz w:val="22"/>
        <w:szCs w:val="22"/>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68B4204F"/>
    <w:multiLevelType w:val="multilevel"/>
    <w:tmpl w:val="5DDAEDCE"/>
    <w:lvl w:ilvl="0">
      <w:start w:val="1"/>
      <w:numFmt w:val="decimal"/>
      <w:lvlText w:val="%1."/>
      <w:lvlJc w:val="left"/>
      <w:pPr>
        <w:ind w:left="720" w:hanging="360"/>
      </w:pPr>
      <w:rPr>
        <w:rFonts w:hint="default"/>
      </w:rPr>
    </w:lvl>
    <w:lvl w:ilvl="1">
      <w:start w:val="5"/>
      <w:numFmt w:val="decimal"/>
      <w:isLgl/>
      <w:lvlText w:val="%1.%2"/>
      <w:lvlJc w:val="left"/>
      <w:pPr>
        <w:ind w:left="502"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3296" w:hanging="1800"/>
      </w:pPr>
      <w:rPr>
        <w:rFonts w:hint="default"/>
      </w:rPr>
    </w:lvl>
  </w:abstractNum>
  <w:abstractNum w:abstractNumId="10" w15:restartNumberingAfterBreak="0">
    <w:nsid w:val="6D3B3BE3"/>
    <w:multiLevelType w:val="multilevel"/>
    <w:tmpl w:val="8D300C82"/>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7512087A"/>
    <w:multiLevelType w:val="hybridMultilevel"/>
    <w:tmpl w:val="1464C62E"/>
    <w:lvl w:ilvl="0" w:tplc="C036527E">
      <w:start w:val="9"/>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71D6866"/>
    <w:multiLevelType w:val="multilevel"/>
    <w:tmpl w:val="E0AE345C"/>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36567A"/>
    <w:multiLevelType w:val="hybridMultilevel"/>
    <w:tmpl w:val="76FC2A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B1768CE"/>
    <w:multiLevelType w:val="multilevel"/>
    <w:tmpl w:val="0AC230AE"/>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7BA70D67"/>
    <w:multiLevelType w:val="hybridMultilevel"/>
    <w:tmpl w:val="DAA227D4"/>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7D9E5E0E"/>
    <w:multiLevelType w:val="hybridMultilevel"/>
    <w:tmpl w:val="E77E737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205BBD"/>
    <w:multiLevelType w:val="hybridMultilevel"/>
    <w:tmpl w:val="819CB6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D32B70"/>
    <w:multiLevelType w:val="hybridMultilevel"/>
    <w:tmpl w:val="DC38CE88"/>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num w:numId="1" w16cid:durableId="1805077566">
    <w:abstractNumId w:val="7"/>
  </w:num>
  <w:num w:numId="2" w16cid:durableId="930316064">
    <w:abstractNumId w:val="17"/>
  </w:num>
  <w:num w:numId="3" w16cid:durableId="801461052">
    <w:abstractNumId w:val="0"/>
  </w:num>
  <w:num w:numId="4" w16cid:durableId="842863907">
    <w:abstractNumId w:val="12"/>
  </w:num>
  <w:num w:numId="5" w16cid:durableId="1470973402">
    <w:abstractNumId w:val="18"/>
  </w:num>
  <w:num w:numId="6" w16cid:durableId="328218085">
    <w:abstractNumId w:val="6"/>
  </w:num>
  <w:num w:numId="7" w16cid:durableId="135951785">
    <w:abstractNumId w:val="9"/>
  </w:num>
  <w:num w:numId="8" w16cid:durableId="163668645">
    <w:abstractNumId w:val="4"/>
  </w:num>
  <w:num w:numId="9" w16cid:durableId="2062122712">
    <w:abstractNumId w:val="14"/>
  </w:num>
  <w:num w:numId="10" w16cid:durableId="623580435">
    <w:abstractNumId w:val="10"/>
  </w:num>
  <w:num w:numId="11" w16cid:durableId="1374883052">
    <w:abstractNumId w:val="2"/>
  </w:num>
  <w:num w:numId="12" w16cid:durableId="916666196">
    <w:abstractNumId w:val="11"/>
  </w:num>
  <w:num w:numId="13" w16cid:durableId="147522946">
    <w:abstractNumId w:val="8"/>
  </w:num>
  <w:num w:numId="14" w16cid:durableId="1693333870">
    <w:abstractNumId w:val="16"/>
  </w:num>
  <w:num w:numId="15" w16cid:durableId="223416965">
    <w:abstractNumId w:val="1"/>
  </w:num>
  <w:num w:numId="16" w16cid:durableId="1219896948">
    <w:abstractNumId w:val="13"/>
  </w:num>
  <w:num w:numId="17" w16cid:durableId="848062258">
    <w:abstractNumId w:val="5"/>
  </w:num>
  <w:num w:numId="18" w16cid:durableId="878395245">
    <w:abstractNumId w:val="3"/>
  </w:num>
  <w:num w:numId="19" w16cid:durableId="2792651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519"/>
    <w:rsid w:val="00003390"/>
    <w:rsid w:val="0001764B"/>
    <w:rsid w:val="00050CAE"/>
    <w:rsid w:val="000A4665"/>
    <w:rsid w:val="000C7814"/>
    <w:rsid w:val="00102E25"/>
    <w:rsid w:val="00196D90"/>
    <w:rsid w:val="001A3908"/>
    <w:rsid w:val="001C25BD"/>
    <w:rsid w:val="001D3144"/>
    <w:rsid w:val="002268D3"/>
    <w:rsid w:val="002761E0"/>
    <w:rsid w:val="0033703C"/>
    <w:rsid w:val="0034269D"/>
    <w:rsid w:val="00385F83"/>
    <w:rsid w:val="003C783F"/>
    <w:rsid w:val="003F4B4A"/>
    <w:rsid w:val="004153EC"/>
    <w:rsid w:val="00462D59"/>
    <w:rsid w:val="004738AB"/>
    <w:rsid w:val="00475740"/>
    <w:rsid w:val="00491FF2"/>
    <w:rsid w:val="00496A80"/>
    <w:rsid w:val="00527A25"/>
    <w:rsid w:val="005461ED"/>
    <w:rsid w:val="005676DB"/>
    <w:rsid w:val="005F1FCA"/>
    <w:rsid w:val="005F487E"/>
    <w:rsid w:val="00634911"/>
    <w:rsid w:val="00672B3F"/>
    <w:rsid w:val="006B7AC5"/>
    <w:rsid w:val="006C610C"/>
    <w:rsid w:val="006E6BD3"/>
    <w:rsid w:val="007006DA"/>
    <w:rsid w:val="00705519"/>
    <w:rsid w:val="00743AD0"/>
    <w:rsid w:val="00763F08"/>
    <w:rsid w:val="00786296"/>
    <w:rsid w:val="007875F2"/>
    <w:rsid w:val="008432FA"/>
    <w:rsid w:val="00880E07"/>
    <w:rsid w:val="00895993"/>
    <w:rsid w:val="008D706D"/>
    <w:rsid w:val="009D28E3"/>
    <w:rsid w:val="009D3282"/>
    <w:rsid w:val="009F08AF"/>
    <w:rsid w:val="00A96028"/>
    <w:rsid w:val="00AB13EC"/>
    <w:rsid w:val="00AB7BF6"/>
    <w:rsid w:val="00AE6EC5"/>
    <w:rsid w:val="00AF7DED"/>
    <w:rsid w:val="00B84021"/>
    <w:rsid w:val="00BB6C3C"/>
    <w:rsid w:val="00BD0766"/>
    <w:rsid w:val="00BD55A9"/>
    <w:rsid w:val="00BE38F4"/>
    <w:rsid w:val="00C00449"/>
    <w:rsid w:val="00C40434"/>
    <w:rsid w:val="00C5599C"/>
    <w:rsid w:val="00C87442"/>
    <w:rsid w:val="00D93C4E"/>
    <w:rsid w:val="00D96E27"/>
    <w:rsid w:val="00DE2157"/>
    <w:rsid w:val="00DE4034"/>
    <w:rsid w:val="00E4412F"/>
    <w:rsid w:val="00E6760C"/>
    <w:rsid w:val="00E776C2"/>
    <w:rsid w:val="00EC4336"/>
    <w:rsid w:val="00EC704B"/>
    <w:rsid w:val="00F45D6A"/>
    <w:rsid w:val="00FA74BA"/>
    <w:rsid w:val="00FF22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FE48"/>
  <w15:chartTrackingRefBased/>
  <w15:docId w15:val="{E2122776-BC7E-4A9E-93E0-687F8FEC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BD3"/>
    <w:pPr>
      <w:ind w:left="720"/>
      <w:contextualSpacing/>
    </w:pPr>
  </w:style>
  <w:style w:type="paragraph" w:styleId="Header">
    <w:name w:val="header"/>
    <w:basedOn w:val="Normal"/>
    <w:link w:val="HeaderChar"/>
    <w:uiPriority w:val="99"/>
    <w:unhideWhenUsed/>
    <w:rsid w:val="005676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DB"/>
  </w:style>
  <w:style w:type="paragraph" w:styleId="Footer">
    <w:name w:val="footer"/>
    <w:basedOn w:val="Normal"/>
    <w:link w:val="FooterChar"/>
    <w:uiPriority w:val="99"/>
    <w:unhideWhenUsed/>
    <w:rsid w:val="005676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DB"/>
  </w:style>
  <w:style w:type="character" w:styleId="Hyperlink">
    <w:name w:val="Hyperlink"/>
    <w:basedOn w:val="DefaultParagraphFont"/>
    <w:uiPriority w:val="99"/>
    <w:unhideWhenUsed/>
    <w:rsid w:val="00E4412F"/>
    <w:rPr>
      <w:color w:val="0563C1" w:themeColor="hyperlink"/>
      <w:u w:val="single"/>
    </w:rPr>
  </w:style>
  <w:style w:type="character" w:styleId="UnresolvedMention">
    <w:name w:val="Unresolved Mention"/>
    <w:basedOn w:val="DefaultParagraphFont"/>
    <w:uiPriority w:val="99"/>
    <w:semiHidden/>
    <w:unhideWhenUsed/>
    <w:rsid w:val="00E44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60715">
      <w:bodyDiv w:val="1"/>
      <w:marLeft w:val="0"/>
      <w:marRight w:val="0"/>
      <w:marTop w:val="0"/>
      <w:marBottom w:val="0"/>
      <w:divBdr>
        <w:top w:val="none" w:sz="0" w:space="0" w:color="auto"/>
        <w:left w:val="none" w:sz="0" w:space="0" w:color="auto"/>
        <w:bottom w:val="none" w:sz="0" w:space="0" w:color="auto"/>
        <w:right w:val="none" w:sz="0" w:space="0" w:color="auto"/>
      </w:divBdr>
    </w:div>
    <w:div w:id="126974542">
      <w:bodyDiv w:val="1"/>
      <w:marLeft w:val="0"/>
      <w:marRight w:val="0"/>
      <w:marTop w:val="0"/>
      <w:marBottom w:val="0"/>
      <w:divBdr>
        <w:top w:val="none" w:sz="0" w:space="0" w:color="auto"/>
        <w:left w:val="none" w:sz="0" w:space="0" w:color="auto"/>
        <w:bottom w:val="none" w:sz="0" w:space="0" w:color="auto"/>
        <w:right w:val="none" w:sz="0" w:space="0" w:color="auto"/>
      </w:divBdr>
    </w:div>
    <w:div w:id="287396589">
      <w:bodyDiv w:val="1"/>
      <w:marLeft w:val="0"/>
      <w:marRight w:val="0"/>
      <w:marTop w:val="0"/>
      <w:marBottom w:val="0"/>
      <w:divBdr>
        <w:top w:val="none" w:sz="0" w:space="0" w:color="auto"/>
        <w:left w:val="none" w:sz="0" w:space="0" w:color="auto"/>
        <w:bottom w:val="none" w:sz="0" w:space="0" w:color="auto"/>
        <w:right w:val="none" w:sz="0" w:space="0" w:color="auto"/>
      </w:divBdr>
      <w:divsChild>
        <w:div w:id="48963266">
          <w:marLeft w:val="0"/>
          <w:marRight w:val="0"/>
          <w:marTop w:val="0"/>
          <w:marBottom w:val="0"/>
          <w:divBdr>
            <w:top w:val="single" w:sz="2" w:space="0" w:color="auto"/>
            <w:left w:val="single" w:sz="2" w:space="0" w:color="auto"/>
            <w:bottom w:val="single" w:sz="6" w:space="0" w:color="auto"/>
            <w:right w:val="single" w:sz="2" w:space="0" w:color="auto"/>
          </w:divBdr>
          <w:divsChild>
            <w:div w:id="241838059">
              <w:marLeft w:val="0"/>
              <w:marRight w:val="0"/>
              <w:marTop w:val="100"/>
              <w:marBottom w:val="100"/>
              <w:divBdr>
                <w:top w:val="single" w:sz="2" w:space="0" w:color="D9D9E3"/>
                <w:left w:val="single" w:sz="2" w:space="0" w:color="D9D9E3"/>
                <w:bottom w:val="single" w:sz="2" w:space="0" w:color="D9D9E3"/>
                <w:right w:val="single" w:sz="2" w:space="0" w:color="D9D9E3"/>
              </w:divBdr>
              <w:divsChild>
                <w:div w:id="494153578">
                  <w:marLeft w:val="0"/>
                  <w:marRight w:val="0"/>
                  <w:marTop w:val="0"/>
                  <w:marBottom w:val="0"/>
                  <w:divBdr>
                    <w:top w:val="single" w:sz="2" w:space="0" w:color="D9D9E3"/>
                    <w:left w:val="single" w:sz="2" w:space="0" w:color="D9D9E3"/>
                    <w:bottom w:val="single" w:sz="2" w:space="0" w:color="D9D9E3"/>
                    <w:right w:val="single" w:sz="2" w:space="0" w:color="D9D9E3"/>
                  </w:divBdr>
                  <w:divsChild>
                    <w:div w:id="966083606">
                      <w:marLeft w:val="0"/>
                      <w:marRight w:val="0"/>
                      <w:marTop w:val="0"/>
                      <w:marBottom w:val="0"/>
                      <w:divBdr>
                        <w:top w:val="single" w:sz="2" w:space="0" w:color="D9D9E3"/>
                        <w:left w:val="single" w:sz="2" w:space="0" w:color="D9D9E3"/>
                        <w:bottom w:val="single" w:sz="2" w:space="0" w:color="D9D9E3"/>
                        <w:right w:val="single" w:sz="2" w:space="0" w:color="D9D9E3"/>
                      </w:divBdr>
                      <w:divsChild>
                        <w:div w:id="1274052048">
                          <w:marLeft w:val="0"/>
                          <w:marRight w:val="0"/>
                          <w:marTop w:val="0"/>
                          <w:marBottom w:val="0"/>
                          <w:divBdr>
                            <w:top w:val="single" w:sz="2" w:space="0" w:color="D9D9E3"/>
                            <w:left w:val="single" w:sz="2" w:space="0" w:color="D9D9E3"/>
                            <w:bottom w:val="single" w:sz="2" w:space="0" w:color="D9D9E3"/>
                            <w:right w:val="single" w:sz="2" w:space="0" w:color="D9D9E3"/>
                          </w:divBdr>
                          <w:divsChild>
                            <w:div w:id="426001785">
                              <w:marLeft w:val="0"/>
                              <w:marRight w:val="0"/>
                              <w:marTop w:val="0"/>
                              <w:marBottom w:val="0"/>
                              <w:divBdr>
                                <w:top w:val="single" w:sz="2" w:space="0" w:color="D9D9E3"/>
                                <w:left w:val="single" w:sz="2" w:space="0" w:color="D9D9E3"/>
                                <w:bottom w:val="single" w:sz="2" w:space="0" w:color="D9D9E3"/>
                                <w:right w:val="single" w:sz="2" w:space="0" w:color="D9D9E3"/>
                              </w:divBdr>
                              <w:divsChild>
                                <w:div w:id="356542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1763953">
      <w:bodyDiv w:val="1"/>
      <w:marLeft w:val="0"/>
      <w:marRight w:val="0"/>
      <w:marTop w:val="0"/>
      <w:marBottom w:val="0"/>
      <w:divBdr>
        <w:top w:val="none" w:sz="0" w:space="0" w:color="auto"/>
        <w:left w:val="none" w:sz="0" w:space="0" w:color="auto"/>
        <w:bottom w:val="none" w:sz="0" w:space="0" w:color="auto"/>
        <w:right w:val="none" w:sz="0" w:space="0" w:color="auto"/>
      </w:divBdr>
    </w:div>
    <w:div w:id="885992420">
      <w:bodyDiv w:val="1"/>
      <w:marLeft w:val="0"/>
      <w:marRight w:val="0"/>
      <w:marTop w:val="0"/>
      <w:marBottom w:val="0"/>
      <w:divBdr>
        <w:top w:val="none" w:sz="0" w:space="0" w:color="auto"/>
        <w:left w:val="none" w:sz="0" w:space="0" w:color="auto"/>
        <w:bottom w:val="none" w:sz="0" w:space="0" w:color="auto"/>
        <w:right w:val="none" w:sz="0" w:space="0" w:color="auto"/>
      </w:divBdr>
    </w:div>
    <w:div w:id="1003749423">
      <w:bodyDiv w:val="1"/>
      <w:marLeft w:val="0"/>
      <w:marRight w:val="0"/>
      <w:marTop w:val="0"/>
      <w:marBottom w:val="0"/>
      <w:divBdr>
        <w:top w:val="none" w:sz="0" w:space="0" w:color="auto"/>
        <w:left w:val="none" w:sz="0" w:space="0" w:color="auto"/>
        <w:bottom w:val="none" w:sz="0" w:space="0" w:color="auto"/>
        <w:right w:val="none" w:sz="0" w:space="0" w:color="auto"/>
      </w:divBdr>
    </w:div>
    <w:div w:id="1162508414">
      <w:bodyDiv w:val="1"/>
      <w:marLeft w:val="0"/>
      <w:marRight w:val="0"/>
      <w:marTop w:val="0"/>
      <w:marBottom w:val="0"/>
      <w:divBdr>
        <w:top w:val="none" w:sz="0" w:space="0" w:color="auto"/>
        <w:left w:val="none" w:sz="0" w:space="0" w:color="auto"/>
        <w:bottom w:val="none" w:sz="0" w:space="0" w:color="auto"/>
        <w:right w:val="none" w:sz="0" w:space="0" w:color="auto"/>
      </w:divBdr>
    </w:div>
    <w:div w:id="1162892706">
      <w:bodyDiv w:val="1"/>
      <w:marLeft w:val="0"/>
      <w:marRight w:val="0"/>
      <w:marTop w:val="0"/>
      <w:marBottom w:val="0"/>
      <w:divBdr>
        <w:top w:val="none" w:sz="0" w:space="0" w:color="auto"/>
        <w:left w:val="none" w:sz="0" w:space="0" w:color="auto"/>
        <w:bottom w:val="none" w:sz="0" w:space="0" w:color="auto"/>
        <w:right w:val="none" w:sz="0" w:space="0" w:color="auto"/>
      </w:divBdr>
    </w:div>
    <w:div w:id="1294866863">
      <w:bodyDiv w:val="1"/>
      <w:marLeft w:val="0"/>
      <w:marRight w:val="0"/>
      <w:marTop w:val="0"/>
      <w:marBottom w:val="0"/>
      <w:divBdr>
        <w:top w:val="none" w:sz="0" w:space="0" w:color="auto"/>
        <w:left w:val="none" w:sz="0" w:space="0" w:color="auto"/>
        <w:bottom w:val="none" w:sz="0" w:space="0" w:color="auto"/>
        <w:right w:val="none" w:sz="0" w:space="0" w:color="auto"/>
      </w:divBdr>
    </w:div>
    <w:div w:id="1495992502">
      <w:bodyDiv w:val="1"/>
      <w:marLeft w:val="0"/>
      <w:marRight w:val="0"/>
      <w:marTop w:val="0"/>
      <w:marBottom w:val="0"/>
      <w:divBdr>
        <w:top w:val="none" w:sz="0" w:space="0" w:color="auto"/>
        <w:left w:val="none" w:sz="0" w:space="0" w:color="auto"/>
        <w:bottom w:val="none" w:sz="0" w:space="0" w:color="auto"/>
        <w:right w:val="none" w:sz="0" w:space="0" w:color="auto"/>
      </w:divBdr>
    </w:div>
    <w:div w:id="1505316010">
      <w:bodyDiv w:val="1"/>
      <w:marLeft w:val="0"/>
      <w:marRight w:val="0"/>
      <w:marTop w:val="0"/>
      <w:marBottom w:val="0"/>
      <w:divBdr>
        <w:top w:val="none" w:sz="0" w:space="0" w:color="auto"/>
        <w:left w:val="none" w:sz="0" w:space="0" w:color="auto"/>
        <w:bottom w:val="none" w:sz="0" w:space="0" w:color="auto"/>
        <w:right w:val="none" w:sz="0" w:space="0" w:color="auto"/>
      </w:divBdr>
    </w:div>
    <w:div w:id="1923181427">
      <w:bodyDiv w:val="1"/>
      <w:marLeft w:val="0"/>
      <w:marRight w:val="0"/>
      <w:marTop w:val="0"/>
      <w:marBottom w:val="0"/>
      <w:divBdr>
        <w:top w:val="none" w:sz="0" w:space="0" w:color="auto"/>
        <w:left w:val="none" w:sz="0" w:space="0" w:color="auto"/>
        <w:bottom w:val="none" w:sz="0" w:space="0" w:color="auto"/>
        <w:right w:val="none" w:sz="0" w:space="0" w:color="auto"/>
      </w:divBdr>
      <w:divsChild>
        <w:div w:id="1986470616">
          <w:marLeft w:val="0"/>
          <w:marRight w:val="0"/>
          <w:marTop w:val="0"/>
          <w:marBottom w:val="0"/>
          <w:divBdr>
            <w:top w:val="single" w:sz="2" w:space="0" w:color="D9D9E3"/>
            <w:left w:val="single" w:sz="2" w:space="0" w:color="D9D9E3"/>
            <w:bottom w:val="single" w:sz="2" w:space="0" w:color="D9D9E3"/>
            <w:right w:val="single" w:sz="2" w:space="0" w:color="D9D9E3"/>
          </w:divBdr>
          <w:divsChild>
            <w:div w:id="1227111271">
              <w:marLeft w:val="0"/>
              <w:marRight w:val="0"/>
              <w:marTop w:val="0"/>
              <w:marBottom w:val="0"/>
              <w:divBdr>
                <w:top w:val="single" w:sz="2" w:space="0" w:color="D9D9E3"/>
                <w:left w:val="single" w:sz="2" w:space="0" w:color="D9D9E3"/>
                <w:bottom w:val="single" w:sz="2" w:space="0" w:color="D9D9E3"/>
                <w:right w:val="single" w:sz="2" w:space="0" w:color="D9D9E3"/>
              </w:divBdr>
              <w:divsChild>
                <w:div w:id="1276015996">
                  <w:marLeft w:val="0"/>
                  <w:marRight w:val="0"/>
                  <w:marTop w:val="0"/>
                  <w:marBottom w:val="0"/>
                  <w:divBdr>
                    <w:top w:val="single" w:sz="2" w:space="0" w:color="D9D9E3"/>
                    <w:left w:val="single" w:sz="2" w:space="0" w:color="D9D9E3"/>
                    <w:bottom w:val="single" w:sz="2" w:space="0" w:color="D9D9E3"/>
                    <w:right w:val="single" w:sz="2" w:space="0" w:color="D9D9E3"/>
                  </w:divBdr>
                  <w:divsChild>
                    <w:div w:id="2132623383">
                      <w:marLeft w:val="0"/>
                      <w:marRight w:val="0"/>
                      <w:marTop w:val="0"/>
                      <w:marBottom w:val="0"/>
                      <w:divBdr>
                        <w:top w:val="single" w:sz="2" w:space="0" w:color="D9D9E3"/>
                        <w:left w:val="single" w:sz="2" w:space="0" w:color="D9D9E3"/>
                        <w:bottom w:val="single" w:sz="2" w:space="0" w:color="D9D9E3"/>
                        <w:right w:val="single" w:sz="2" w:space="0" w:color="D9D9E3"/>
                      </w:divBdr>
                      <w:divsChild>
                        <w:div w:id="670068597">
                          <w:marLeft w:val="0"/>
                          <w:marRight w:val="0"/>
                          <w:marTop w:val="0"/>
                          <w:marBottom w:val="0"/>
                          <w:divBdr>
                            <w:top w:val="single" w:sz="2" w:space="0" w:color="auto"/>
                            <w:left w:val="single" w:sz="2" w:space="0" w:color="auto"/>
                            <w:bottom w:val="single" w:sz="6" w:space="0" w:color="auto"/>
                            <w:right w:val="single" w:sz="2" w:space="0" w:color="auto"/>
                          </w:divBdr>
                          <w:divsChild>
                            <w:div w:id="10550882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183776">
                                  <w:marLeft w:val="0"/>
                                  <w:marRight w:val="0"/>
                                  <w:marTop w:val="0"/>
                                  <w:marBottom w:val="0"/>
                                  <w:divBdr>
                                    <w:top w:val="single" w:sz="2" w:space="0" w:color="D9D9E3"/>
                                    <w:left w:val="single" w:sz="2" w:space="0" w:color="D9D9E3"/>
                                    <w:bottom w:val="single" w:sz="2" w:space="0" w:color="D9D9E3"/>
                                    <w:right w:val="single" w:sz="2" w:space="0" w:color="D9D9E3"/>
                                  </w:divBdr>
                                  <w:divsChild>
                                    <w:div w:id="1715227866">
                                      <w:marLeft w:val="0"/>
                                      <w:marRight w:val="0"/>
                                      <w:marTop w:val="0"/>
                                      <w:marBottom w:val="0"/>
                                      <w:divBdr>
                                        <w:top w:val="single" w:sz="2" w:space="0" w:color="D9D9E3"/>
                                        <w:left w:val="single" w:sz="2" w:space="0" w:color="D9D9E3"/>
                                        <w:bottom w:val="single" w:sz="2" w:space="0" w:color="D9D9E3"/>
                                        <w:right w:val="single" w:sz="2" w:space="0" w:color="D9D9E3"/>
                                      </w:divBdr>
                                      <w:divsChild>
                                        <w:div w:id="2026049910">
                                          <w:marLeft w:val="0"/>
                                          <w:marRight w:val="0"/>
                                          <w:marTop w:val="0"/>
                                          <w:marBottom w:val="0"/>
                                          <w:divBdr>
                                            <w:top w:val="single" w:sz="2" w:space="0" w:color="D9D9E3"/>
                                            <w:left w:val="single" w:sz="2" w:space="0" w:color="D9D9E3"/>
                                            <w:bottom w:val="single" w:sz="2" w:space="0" w:color="D9D9E3"/>
                                            <w:right w:val="single" w:sz="2" w:space="0" w:color="D9D9E3"/>
                                          </w:divBdr>
                                          <w:divsChild>
                                            <w:div w:id="1504323286">
                                              <w:marLeft w:val="0"/>
                                              <w:marRight w:val="0"/>
                                              <w:marTop w:val="0"/>
                                              <w:marBottom w:val="0"/>
                                              <w:divBdr>
                                                <w:top w:val="single" w:sz="2" w:space="0" w:color="D9D9E3"/>
                                                <w:left w:val="single" w:sz="2" w:space="0" w:color="D9D9E3"/>
                                                <w:bottom w:val="single" w:sz="2" w:space="0" w:color="D9D9E3"/>
                                                <w:right w:val="single" w:sz="2" w:space="0" w:color="D9D9E3"/>
                                              </w:divBdr>
                                              <w:divsChild>
                                                <w:div w:id="253897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07804828">
          <w:marLeft w:val="0"/>
          <w:marRight w:val="0"/>
          <w:marTop w:val="0"/>
          <w:marBottom w:val="0"/>
          <w:divBdr>
            <w:top w:val="none" w:sz="0" w:space="0" w:color="auto"/>
            <w:left w:val="none" w:sz="0" w:space="0" w:color="auto"/>
            <w:bottom w:val="none" w:sz="0" w:space="0" w:color="auto"/>
            <w:right w:val="none" w:sz="0" w:space="0" w:color="auto"/>
          </w:divBdr>
        </w:div>
      </w:divsChild>
    </w:div>
    <w:div w:id="2097287809">
      <w:bodyDiv w:val="1"/>
      <w:marLeft w:val="0"/>
      <w:marRight w:val="0"/>
      <w:marTop w:val="0"/>
      <w:marBottom w:val="0"/>
      <w:divBdr>
        <w:top w:val="none" w:sz="0" w:space="0" w:color="auto"/>
        <w:left w:val="none" w:sz="0" w:space="0" w:color="auto"/>
        <w:bottom w:val="none" w:sz="0" w:space="0" w:color="auto"/>
        <w:right w:val="none" w:sz="0" w:space="0" w:color="auto"/>
      </w:divBdr>
    </w:div>
    <w:div w:id="214179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ba.org.i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0a2e026d4f3a05d/Desktop/NPA/NPA%20of%20PS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ikas\OneDrive\Desktop\NPA\898%20SPSSss%20(PSBs)%2055.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'[NPA of PSB.xlsx]Sheet5'!$AE$13</c:f>
              <c:strCache>
                <c:ptCount val="1"/>
                <c:pt idx="0">
                  <c:v>Gross NPA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2023</c:v>
              </c:pt>
              <c:pt idx="1">
                <c:v>2022</c:v>
              </c:pt>
              <c:pt idx="2">
                <c:v>2021</c:v>
              </c:pt>
            </c:numLit>
          </c:cat>
          <c:val>
            <c:numRef>
              <c:f>'[NPA of PSB.xlsx]Sheet5'!$AE$14:$AE$16</c:f>
              <c:numCache>
                <c:formatCode>General</c:formatCode>
                <c:ptCount val="3"/>
                <c:pt idx="0">
                  <c:v>2.78</c:v>
                </c:pt>
                <c:pt idx="1">
                  <c:v>3.97</c:v>
                </c:pt>
                <c:pt idx="2">
                  <c:v>4.9800000000000004</c:v>
                </c:pt>
              </c:numCache>
            </c:numRef>
          </c:val>
          <c:smooth val="0"/>
          <c:extLst>
            <c:ext xmlns:c16="http://schemas.microsoft.com/office/drawing/2014/chart" uri="{C3380CC4-5D6E-409C-BE32-E72D297353CC}">
              <c16:uniqueId val="{00000000-BF7D-4298-B2F7-16CDBB5C418A}"/>
            </c:ext>
          </c:extLst>
        </c:ser>
        <c:dLbls>
          <c:showLegendKey val="0"/>
          <c:showVal val="1"/>
          <c:showCatName val="0"/>
          <c:showSerName val="0"/>
          <c:showPercent val="0"/>
          <c:showBubbleSize val="0"/>
        </c:dLbls>
        <c:marker val="1"/>
        <c:smooth val="0"/>
        <c:axId val="1025190192"/>
        <c:axId val="1025194992"/>
        <c:extLst>
          <c:ext xmlns:c15="http://schemas.microsoft.com/office/drawing/2012/chart" uri="{02D57815-91ED-43cb-92C2-25804820EDAC}">
            <c15:filteredLineSeries>
              <c15:ser>
                <c:idx val="0"/>
                <c:order val="0"/>
                <c:tx>
                  <c:strRef>
                    <c:extLst>
                      <c:ext uri="{02D57815-91ED-43cb-92C2-25804820EDAC}">
                        <c15:formulaRef>
                          <c15:sqref>'[NPA of PSB.xlsx]Sheet5'!$AC$13</c15:sqref>
                        </c15:formulaRef>
                      </c:ext>
                    </c:extLst>
                    <c:strCache>
                      <c:ptCount val="1"/>
                      <c:pt idx="0">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2023</c:v>
                    </c:pt>
                    <c:pt idx="1">
                      <c:v>2022</c:v>
                    </c:pt>
                    <c:pt idx="2">
                      <c:v>2021</c:v>
                    </c:pt>
                  </c:numLit>
                </c:cat>
                <c:val>
                  <c:numRef>
                    <c:extLst>
                      <c:ext uri="{02D57815-91ED-43cb-92C2-25804820EDAC}">
                        <c15:formulaRef>
                          <c15:sqref>'[NPA of PSB.xlsx]Sheet5'!$AC$14:$AC$16</c15:sqref>
                        </c15:formulaRef>
                      </c:ext>
                    </c:extLst>
                    <c:numCache>
                      <c:formatCode>General</c:formatCode>
                      <c:ptCount val="3"/>
                      <c:pt idx="0">
                        <c:v>2023</c:v>
                      </c:pt>
                      <c:pt idx="1">
                        <c:v>2022</c:v>
                      </c:pt>
                      <c:pt idx="2">
                        <c:v>2021</c:v>
                      </c:pt>
                    </c:numCache>
                  </c:numRef>
                </c:val>
                <c:smooth val="0"/>
                <c:extLst>
                  <c:ext xmlns:c16="http://schemas.microsoft.com/office/drawing/2014/chart" uri="{C3380CC4-5D6E-409C-BE32-E72D297353CC}">
                    <c16:uniqueId val="{00000002-BF7D-4298-B2F7-16CDBB5C418A}"/>
                  </c:ext>
                </c:extLst>
              </c15:ser>
            </c15:filteredLineSeries>
          </c:ext>
        </c:extLst>
      </c:lineChart>
      <c:lineChart>
        <c:grouping val="standard"/>
        <c:varyColors val="0"/>
        <c:ser>
          <c:idx val="1"/>
          <c:order val="1"/>
          <c:tx>
            <c:strRef>
              <c:f>'[NPA of PSB.xlsx]Sheet5'!$AD$13</c:f>
              <c:strCache>
                <c:ptCount val="1"/>
                <c:pt idx="0">
                  <c:v>Capital Adequacy Ratio</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2023</c:v>
              </c:pt>
              <c:pt idx="1">
                <c:v>2022</c:v>
              </c:pt>
              <c:pt idx="2">
                <c:v>2021</c:v>
              </c:pt>
            </c:numLit>
          </c:cat>
          <c:val>
            <c:numRef>
              <c:f>'[NPA of PSB.xlsx]Sheet5'!$AD$14:$AD$16</c:f>
              <c:numCache>
                <c:formatCode>General</c:formatCode>
                <c:ptCount val="3"/>
                <c:pt idx="0">
                  <c:v>14.68</c:v>
                </c:pt>
                <c:pt idx="1">
                  <c:v>13.83</c:v>
                </c:pt>
                <c:pt idx="2">
                  <c:v>13.74</c:v>
                </c:pt>
              </c:numCache>
            </c:numRef>
          </c:val>
          <c:smooth val="0"/>
          <c:extLst>
            <c:ext xmlns:c16="http://schemas.microsoft.com/office/drawing/2014/chart" uri="{C3380CC4-5D6E-409C-BE32-E72D297353CC}">
              <c16:uniqueId val="{00000001-BF7D-4298-B2F7-16CDBB5C418A}"/>
            </c:ext>
          </c:extLst>
        </c:ser>
        <c:dLbls>
          <c:showLegendKey val="0"/>
          <c:showVal val="1"/>
          <c:showCatName val="0"/>
          <c:showSerName val="0"/>
          <c:showPercent val="0"/>
          <c:showBubbleSize val="0"/>
        </c:dLbls>
        <c:marker val="1"/>
        <c:smooth val="0"/>
        <c:axId val="1025191632"/>
        <c:axId val="1025169552"/>
      </c:lineChart>
      <c:catAx>
        <c:axId val="102519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194992"/>
        <c:crosses val="autoZero"/>
        <c:auto val="1"/>
        <c:lblAlgn val="ctr"/>
        <c:lblOffset val="100"/>
        <c:noMultiLvlLbl val="0"/>
      </c:catAx>
      <c:valAx>
        <c:axId val="1025194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190192"/>
        <c:crosses val="autoZero"/>
        <c:crossBetween val="between"/>
      </c:valAx>
      <c:valAx>
        <c:axId val="102516955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5191632"/>
        <c:crosses val="max"/>
        <c:crossBetween val="between"/>
      </c:valAx>
      <c:catAx>
        <c:axId val="1025191632"/>
        <c:scaling>
          <c:orientation val="minMax"/>
        </c:scaling>
        <c:delete val="1"/>
        <c:axPos val="b"/>
        <c:numFmt formatCode="General" sourceLinked="1"/>
        <c:majorTickMark val="out"/>
        <c:minorTickMark val="none"/>
        <c:tickLblPos val="nextTo"/>
        <c:crossAx val="10251695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2"/>
          <c:order val="2"/>
          <c:tx>
            <c:strRef>
              <c:f>Sheet1!$I$2</c:f>
              <c:strCache>
                <c:ptCount val="1"/>
                <c:pt idx="0">
                  <c:v>Gross NPA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2023</c:v>
              </c:pt>
              <c:pt idx="1">
                <c:v>2022</c:v>
              </c:pt>
              <c:pt idx="2">
                <c:v>2021</c:v>
              </c:pt>
            </c:numLit>
          </c:cat>
          <c:val>
            <c:numRef>
              <c:f>Sheet1!$I$3:$I$5</c:f>
              <c:numCache>
                <c:formatCode>General</c:formatCode>
                <c:ptCount val="3"/>
                <c:pt idx="0">
                  <c:v>6.25</c:v>
                </c:pt>
                <c:pt idx="1">
                  <c:v>9.4700000000000006</c:v>
                </c:pt>
                <c:pt idx="2">
                  <c:v>11.65</c:v>
                </c:pt>
              </c:numCache>
            </c:numRef>
          </c:val>
          <c:smooth val="0"/>
          <c:extLst>
            <c:ext xmlns:c16="http://schemas.microsoft.com/office/drawing/2014/chart" uri="{C3380CC4-5D6E-409C-BE32-E72D297353CC}">
              <c16:uniqueId val="{00000000-9EC7-4A36-B4DD-C76774FAAED4}"/>
            </c:ext>
          </c:extLst>
        </c:ser>
        <c:dLbls>
          <c:showLegendKey val="0"/>
          <c:showVal val="1"/>
          <c:showCatName val="0"/>
          <c:showSerName val="0"/>
          <c:showPercent val="0"/>
          <c:showBubbleSize val="0"/>
        </c:dLbls>
        <c:marker val="1"/>
        <c:smooth val="0"/>
        <c:axId val="513316687"/>
        <c:axId val="513305167"/>
        <c:extLst>
          <c:ext xmlns:c15="http://schemas.microsoft.com/office/drawing/2012/chart" uri="{02D57815-91ED-43cb-92C2-25804820EDAC}">
            <c15:filteredLineSeries>
              <c15:ser>
                <c:idx val="0"/>
                <c:order val="0"/>
                <c:tx>
                  <c:strRef>
                    <c:extLst>
                      <c:ext uri="{02D57815-91ED-43cb-92C2-25804820EDAC}">
                        <c15:formulaRef>
                          <c15:sqref>Sheet1!$G$2</c15:sqref>
                        </c15:formulaRef>
                      </c:ext>
                    </c:extLst>
                    <c:strCache>
                      <c:ptCount val="1"/>
                      <c:pt idx="0">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2023</c:v>
                    </c:pt>
                    <c:pt idx="1">
                      <c:v>2022</c:v>
                    </c:pt>
                    <c:pt idx="2">
                      <c:v>2021</c:v>
                    </c:pt>
                  </c:numLit>
                </c:cat>
                <c:val>
                  <c:numRef>
                    <c:extLst>
                      <c:ext uri="{02D57815-91ED-43cb-92C2-25804820EDAC}">
                        <c15:formulaRef>
                          <c15:sqref>Sheet1!$G$3:$G$5</c15:sqref>
                        </c15:formulaRef>
                      </c:ext>
                    </c:extLst>
                    <c:numCache>
                      <c:formatCode>General</c:formatCode>
                      <c:ptCount val="3"/>
                      <c:pt idx="0">
                        <c:v>2023</c:v>
                      </c:pt>
                      <c:pt idx="1">
                        <c:v>2022</c:v>
                      </c:pt>
                      <c:pt idx="2">
                        <c:v>2021</c:v>
                      </c:pt>
                    </c:numCache>
                  </c:numRef>
                </c:val>
                <c:smooth val="0"/>
                <c:extLst>
                  <c:ext xmlns:c16="http://schemas.microsoft.com/office/drawing/2014/chart" uri="{C3380CC4-5D6E-409C-BE32-E72D297353CC}">
                    <c16:uniqueId val="{00000002-9EC7-4A36-B4DD-C76774FAAED4}"/>
                  </c:ext>
                </c:extLst>
              </c15:ser>
            </c15:filteredLineSeries>
          </c:ext>
        </c:extLst>
      </c:lineChart>
      <c:lineChart>
        <c:grouping val="standard"/>
        <c:varyColors val="0"/>
        <c:ser>
          <c:idx val="1"/>
          <c:order val="1"/>
          <c:tx>
            <c:strRef>
              <c:f>Sheet1!$H$2</c:f>
              <c:strCache>
                <c:ptCount val="1"/>
                <c:pt idx="0">
                  <c:v>Capital Adequacy Ratio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2023</c:v>
              </c:pt>
              <c:pt idx="1">
                <c:v>2022</c:v>
              </c:pt>
              <c:pt idx="2">
                <c:v>2021</c:v>
              </c:pt>
            </c:numLit>
          </c:cat>
          <c:val>
            <c:numRef>
              <c:f>Sheet1!$H$3:$H$5</c:f>
              <c:numCache>
                <c:formatCode>General</c:formatCode>
                <c:ptCount val="3"/>
                <c:pt idx="0">
                  <c:v>16.21</c:v>
                </c:pt>
                <c:pt idx="1">
                  <c:v>15.35</c:v>
                </c:pt>
                <c:pt idx="2">
                  <c:v>14.61</c:v>
                </c:pt>
              </c:numCache>
            </c:numRef>
          </c:val>
          <c:smooth val="0"/>
          <c:extLst>
            <c:ext xmlns:c16="http://schemas.microsoft.com/office/drawing/2014/chart" uri="{C3380CC4-5D6E-409C-BE32-E72D297353CC}">
              <c16:uniqueId val="{00000001-9EC7-4A36-B4DD-C76774FAAED4}"/>
            </c:ext>
          </c:extLst>
        </c:ser>
        <c:dLbls>
          <c:showLegendKey val="0"/>
          <c:showVal val="1"/>
          <c:showCatName val="0"/>
          <c:showSerName val="0"/>
          <c:showPercent val="0"/>
          <c:showBubbleSize val="0"/>
        </c:dLbls>
        <c:marker val="1"/>
        <c:smooth val="0"/>
        <c:axId val="1033865199"/>
        <c:axId val="1033883439"/>
      </c:lineChart>
      <c:catAx>
        <c:axId val="513316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305167"/>
        <c:crosses val="autoZero"/>
        <c:auto val="1"/>
        <c:lblAlgn val="ctr"/>
        <c:lblOffset val="100"/>
        <c:noMultiLvlLbl val="0"/>
      </c:catAx>
      <c:valAx>
        <c:axId val="51330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316687"/>
        <c:crosses val="autoZero"/>
        <c:crossBetween val="between"/>
      </c:valAx>
      <c:valAx>
        <c:axId val="1033883439"/>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865199"/>
        <c:crosses val="max"/>
        <c:crossBetween val="between"/>
      </c:valAx>
      <c:catAx>
        <c:axId val="1033865199"/>
        <c:scaling>
          <c:orientation val="minMax"/>
        </c:scaling>
        <c:delete val="1"/>
        <c:axPos val="b"/>
        <c:numFmt formatCode="General" sourceLinked="1"/>
        <c:majorTickMark val="out"/>
        <c:minorTickMark val="none"/>
        <c:tickLblPos val="nextTo"/>
        <c:crossAx val="103388343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KUMAR SHETTY</dc:creator>
  <cp:keywords/>
  <dc:description/>
  <cp:lastModifiedBy>VIKAS KUMAR SHETTY</cp:lastModifiedBy>
  <cp:revision>3</cp:revision>
  <cp:lastPrinted>2023-09-06T06:59:00Z</cp:lastPrinted>
  <dcterms:created xsi:type="dcterms:W3CDTF">2023-09-06T16:51:00Z</dcterms:created>
  <dcterms:modified xsi:type="dcterms:W3CDTF">2023-09-06T17:02:00Z</dcterms:modified>
</cp:coreProperties>
</file>