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C79" w:rsidRPr="00F97843" w:rsidRDefault="00222C79" w:rsidP="00222C79">
      <w:pPr>
        <w:spacing w:line="240" w:lineRule="auto"/>
        <w:jc w:val="center"/>
        <w:rPr>
          <w:rFonts w:ascii="Times New Roman" w:hAnsi="Times New Roman" w:cs="Times New Roman"/>
          <w:sz w:val="2"/>
          <w:szCs w:val="24"/>
        </w:rPr>
      </w:pPr>
    </w:p>
    <w:p w:rsidR="006B52C6" w:rsidRPr="006B52C6" w:rsidRDefault="006B52C6" w:rsidP="00222C79">
      <w:pPr>
        <w:spacing w:line="240" w:lineRule="auto"/>
        <w:contextualSpacing/>
        <w:jc w:val="center"/>
        <w:rPr>
          <w:rFonts w:ascii="Times New Roman" w:hAnsi="Times New Roman" w:cs="Times New Roman"/>
          <w:b/>
          <w:color w:val="244061" w:themeColor="accent1" w:themeShade="80"/>
          <w:sz w:val="24"/>
          <w:szCs w:val="24"/>
        </w:rPr>
      </w:pPr>
      <w:r w:rsidRPr="006B52C6">
        <w:rPr>
          <w:rFonts w:ascii="Times New Roman" w:hAnsi="Times New Roman" w:cs="Times New Roman"/>
          <w:b/>
          <w:color w:val="244061" w:themeColor="accent1" w:themeShade="80"/>
          <w:sz w:val="24"/>
          <w:szCs w:val="24"/>
        </w:rPr>
        <w:t>FUNDAMENTAL AND TECHNICAL ANALYSIS OF SELECT INDUSTRIES</w:t>
      </w:r>
    </w:p>
    <w:p w:rsidR="006B52C6" w:rsidRPr="009B759C" w:rsidRDefault="006B52C6" w:rsidP="006B52C6">
      <w:pPr>
        <w:jc w:val="center"/>
        <w:rPr>
          <w:rFonts w:asciiTheme="majorHAnsi" w:hAnsiTheme="majorHAnsi" w:cs="Times New Roman"/>
          <w:sz w:val="24"/>
          <w:szCs w:val="24"/>
        </w:rPr>
      </w:pPr>
      <w:r w:rsidRPr="009B759C">
        <w:rPr>
          <w:rFonts w:asciiTheme="majorHAnsi" w:hAnsiTheme="majorHAnsi" w:cs="Times New Roman"/>
          <w:b/>
          <w:bCs/>
          <w:sz w:val="24"/>
          <w:szCs w:val="24"/>
          <w:vertAlign w:val="superscript"/>
        </w:rPr>
        <w:t>1</w:t>
      </w:r>
      <w:r>
        <w:rPr>
          <w:rFonts w:asciiTheme="majorHAnsi" w:hAnsiTheme="majorHAnsi" w:cs="Times New Roman"/>
          <w:sz w:val="24"/>
          <w:szCs w:val="24"/>
        </w:rPr>
        <w:t>Mrs.M. Vijaya Lakshmi</w:t>
      </w:r>
    </w:p>
    <w:p w:rsidR="006B52C6" w:rsidRPr="009B759C" w:rsidRDefault="006B52C6" w:rsidP="006B52C6">
      <w:pPr>
        <w:rPr>
          <w:rFonts w:asciiTheme="majorHAnsi" w:hAnsiTheme="majorHAnsi" w:cs="Times New Roman"/>
          <w:szCs w:val="32"/>
        </w:rPr>
      </w:pPr>
      <w:r>
        <w:rPr>
          <w:rFonts w:asciiTheme="majorHAnsi" w:hAnsiTheme="majorHAnsi" w:cs="Times New Roman"/>
          <w:szCs w:val="32"/>
          <w:vertAlign w:val="superscript"/>
        </w:rPr>
        <w:t xml:space="preserve">             </w:t>
      </w:r>
      <w:r w:rsidRPr="009B759C">
        <w:rPr>
          <w:rFonts w:asciiTheme="majorHAnsi" w:hAnsiTheme="majorHAnsi" w:cs="Times New Roman"/>
          <w:szCs w:val="32"/>
          <w:vertAlign w:val="superscript"/>
        </w:rPr>
        <w:t>1</w:t>
      </w:r>
      <w:r>
        <w:rPr>
          <w:rFonts w:asciiTheme="majorHAnsi" w:hAnsiTheme="majorHAnsi" w:cs="Times New Roman"/>
          <w:szCs w:val="32"/>
        </w:rPr>
        <w:t>Assistant</w:t>
      </w:r>
      <w:r w:rsidRPr="009B759C">
        <w:rPr>
          <w:rFonts w:asciiTheme="majorHAnsi" w:hAnsiTheme="majorHAnsi" w:cs="Times New Roman"/>
          <w:szCs w:val="32"/>
        </w:rPr>
        <w:t xml:space="preserve"> Professor, Santhiram Engineering College</w:t>
      </w:r>
      <w:r>
        <w:rPr>
          <w:rFonts w:asciiTheme="majorHAnsi" w:hAnsiTheme="majorHAnsi" w:cs="Times New Roman"/>
          <w:szCs w:val="32"/>
        </w:rPr>
        <w:t xml:space="preserve"> (Autonomous)</w:t>
      </w:r>
      <w:r w:rsidRPr="009B759C">
        <w:rPr>
          <w:rFonts w:asciiTheme="majorHAnsi" w:hAnsiTheme="majorHAnsi" w:cs="Times New Roman"/>
          <w:szCs w:val="32"/>
        </w:rPr>
        <w:t>,Nandyal, A.P., India.</w:t>
      </w:r>
    </w:p>
    <w:p w:rsidR="006B52C6" w:rsidRDefault="006B52C6" w:rsidP="00222C79">
      <w:pPr>
        <w:spacing w:line="240" w:lineRule="auto"/>
        <w:contextualSpacing/>
        <w:jc w:val="center"/>
        <w:rPr>
          <w:rFonts w:ascii="Times New Roman" w:hAnsi="Times New Roman" w:cs="Times New Roman"/>
          <w:b/>
          <w:color w:val="C0504D" w:themeColor="accent2"/>
          <w:sz w:val="24"/>
          <w:szCs w:val="24"/>
        </w:rPr>
      </w:pPr>
    </w:p>
    <w:p w:rsidR="00222C79" w:rsidRDefault="00222C79" w:rsidP="00222C79">
      <w:pPr>
        <w:rPr>
          <w:rFonts w:ascii="Times New Roman" w:hAnsi="Times New Roman" w:cs="Times New Roman"/>
          <w:b/>
          <w:bCs/>
          <w:sz w:val="24"/>
          <w:szCs w:val="24"/>
        </w:rPr>
      </w:pPr>
      <w:r w:rsidRPr="00222C79">
        <w:rPr>
          <w:rFonts w:ascii="Times New Roman" w:hAnsi="Times New Roman" w:cs="Times New Roman"/>
          <w:b/>
          <w:bCs/>
          <w:sz w:val="24"/>
          <w:szCs w:val="24"/>
        </w:rPr>
        <w:t>Abstract</w:t>
      </w:r>
    </w:p>
    <w:p w:rsidR="00AC75EB" w:rsidRPr="00AC75EB" w:rsidRDefault="00AC75EB" w:rsidP="00AC75EB">
      <w:pPr>
        <w:spacing w:line="360" w:lineRule="auto"/>
        <w:ind w:firstLine="720"/>
        <w:jc w:val="both"/>
        <w:rPr>
          <w:rStyle w:val="tutorialsmainbody1"/>
          <w:rFonts w:ascii="Times New Roman" w:hAnsi="Times New Roman" w:cs="Times New Roman"/>
          <w:color w:val="000000"/>
          <w:sz w:val="24"/>
          <w:szCs w:val="24"/>
        </w:rPr>
      </w:pPr>
      <w:r w:rsidRPr="00AC75EB">
        <w:rPr>
          <w:rStyle w:val="tutorialsmainbody1"/>
          <w:rFonts w:ascii="Times New Roman" w:hAnsi="Times New Roman" w:cs="Times New Roman"/>
          <w:color w:val="000000"/>
          <w:sz w:val="24"/>
          <w:szCs w:val="24"/>
        </w:rPr>
        <w:t xml:space="preserve">Technical analysis and fundamental analysis are the two main schools of thought in the financial markets. As we've mentioned, technical analysis looks at the price movement of a security and uses this data to predict its future price movements. Fundamental analysis, on the other hand, looks at economic factors, known as fundamentals. Let's get into the details of how these two approaches differ, the criticisms against technical analysis and how technical and fundamental analysis can be used together to analyze securities. By looking at the </w:t>
      </w:r>
      <w:hyperlink r:id="rId7" w:history="1">
        <w:r w:rsidRPr="00AC75EB">
          <w:rPr>
            <w:rStyle w:val="Hyperlink"/>
            <w:rFonts w:ascii="Times New Roman" w:hAnsi="Times New Roman" w:cs="Times New Roman"/>
            <w:color w:val="000000"/>
            <w:sz w:val="24"/>
            <w:szCs w:val="24"/>
            <w:u w:val="none"/>
          </w:rPr>
          <w:t>balance sheet</w:t>
        </w:r>
      </w:hyperlink>
      <w:r w:rsidRPr="00AC75EB">
        <w:rPr>
          <w:rStyle w:val="tutorialsmainbody1"/>
          <w:rFonts w:ascii="Times New Roman" w:hAnsi="Times New Roman" w:cs="Times New Roman"/>
          <w:color w:val="000000"/>
          <w:sz w:val="24"/>
          <w:szCs w:val="24"/>
        </w:rPr>
        <w:t xml:space="preserve">, </w:t>
      </w:r>
      <w:hyperlink r:id="rId8" w:history="1">
        <w:r w:rsidRPr="00AC75EB">
          <w:rPr>
            <w:rStyle w:val="Hyperlink"/>
            <w:rFonts w:ascii="Times New Roman" w:hAnsi="Times New Roman" w:cs="Times New Roman"/>
            <w:color w:val="000000"/>
            <w:sz w:val="24"/>
            <w:szCs w:val="24"/>
            <w:u w:val="none"/>
          </w:rPr>
          <w:t>cash flow statement</w:t>
        </w:r>
      </w:hyperlink>
      <w:r w:rsidRPr="00AC75EB">
        <w:rPr>
          <w:rStyle w:val="tutorialsmainbody1"/>
          <w:rFonts w:ascii="Times New Roman" w:hAnsi="Times New Roman" w:cs="Times New Roman"/>
          <w:color w:val="000000"/>
          <w:sz w:val="24"/>
          <w:szCs w:val="24"/>
        </w:rPr>
        <w:t xml:space="preserve"> and </w:t>
      </w:r>
      <w:hyperlink r:id="rId9" w:history="1">
        <w:r w:rsidRPr="00AC75EB">
          <w:rPr>
            <w:rStyle w:val="Hyperlink"/>
            <w:rFonts w:ascii="Times New Roman" w:hAnsi="Times New Roman" w:cs="Times New Roman"/>
            <w:color w:val="000000"/>
            <w:sz w:val="24"/>
            <w:szCs w:val="24"/>
            <w:u w:val="none"/>
          </w:rPr>
          <w:t>income statement</w:t>
        </w:r>
      </w:hyperlink>
      <w:r w:rsidRPr="00AC75EB">
        <w:rPr>
          <w:rStyle w:val="tutorialsmainbody1"/>
          <w:rFonts w:ascii="Times New Roman" w:hAnsi="Times New Roman" w:cs="Times New Roman"/>
          <w:color w:val="000000"/>
          <w:sz w:val="24"/>
          <w:szCs w:val="24"/>
        </w:rPr>
        <w:t xml:space="preserve">, a fundamental analyst tries to determine a company's value. In financial terms, an analyst attempts to measure a company's intrinsic value. In this approach, investment decisions are fairly easy to make - if the price of a stock trades below its intrinsic value, it's a good investment. Although this is an oversimplification (fundamental analysis goes beyond just the financial statements) for the purposes of this tutorial, this simple tenet holds true. </w:t>
      </w:r>
    </w:p>
    <w:p w:rsidR="00222C79" w:rsidRDefault="00AC75EB" w:rsidP="00AC75EB">
      <w:pPr>
        <w:pBdr>
          <w:bottom w:val="single" w:sz="12" w:space="1" w:color="auto"/>
        </w:pBdr>
        <w:rPr>
          <w:rFonts w:ascii="Times New Roman" w:hAnsi="Times New Roman" w:cs="Times New Roman"/>
          <w:sz w:val="24"/>
          <w:szCs w:val="24"/>
        </w:rPr>
      </w:pPr>
      <w:r>
        <w:rPr>
          <w:rFonts w:ascii="Times New Roman" w:hAnsi="Times New Roman" w:cs="Times New Roman"/>
          <w:b/>
          <w:bCs/>
          <w:sz w:val="24"/>
          <w:szCs w:val="24"/>
        </w:rPr>
        <w:t xml:space="preserve">Key words: </w:t>
      </w:r>
      <w:r w:rsidRPr="00AC75EB">
        <w:rPr>
          <w:rFonts w:ascii="Times New Roman" w:hAnsi="Times New Roman" w:cs="Times New Roman"/>
          <w:sz w:val="24"/>
          <w:szCs w:val="24"/>
        </w:rPr>
        <w:t>EPS, Fundamental, ROE, Technical.</w:t>
      </w:r>
    </w:p>
    <w:p w:rsidR="00AC75EB" w:rsidRDefault="00AC75EB" w:rsidP="00AC75EB">
      <w:pPr>
        <w:pBdr>
          <w:bottom w:val="single" w:sz="12" w:space="1" w:color="auto"/>
        </w:pBdr>
        <w:rPr>
          <w:rFonts w:ascii="Times New Roman" w:hAnsi="Times New Roman" w:cs="Times New Roman"/>
          <w:b/>
          <w:bCs/>
          <w:sz w:val="28"/>
          <w:szCs w:val="24"/>
        </w:rPr>
      </w:pPr>
    </w:p>
    <w:p w:rsidR="00AC75EB" w:rsidRDefault="00AC75EB" w:rsidP="00222C79">
      <w:pPr>
        <w:rPr>
          <w:rFonts w:ascii="Times New Roman" w:hAnsi="Times New Roman" w:cs="Times New Roman"/>
          <w:b/>
          <w:bCs/>
          <w:sz w:val="28"/>
          <w:szCs w:val="24"/>
        </w:rPr>
      </w:pPr>
    </w:p>
    <w:p w:rsidR="00222C79" w:rsidRDefault="00222C79" w:rsidP="00222C79">
      <w:pPr>
        <w:rPr>
          <w:rFonts w:ascii="Times New Roman" w:hAnsi="Times New Roman" w:cs="Times New Roman"/>
          <w:b/>
          <w:bCs/>
          <w:sz w:val="28"/>
          <w:szCs w:val="24"/>
        </w:rPr>
      </w:pPr>
      <w:r w:rsidRPr="00222C79">
        <w:rPr>
          <w:rFonts w:ascii="Times New Roman" w:hAnsi="Times New Roman" w:cs="Times New Roman"/>
          <w:b/>
          <w:bCs/>
          <w:sz w:val="28"/>
          <w:szCs w:val="24"/>
        </w:rPr>
        <w:t>Introduction</w:t>
      </w:r>
    </w:p>
    <w:p w:rsidR="00222C79" w:rsidRDefault="00222C79" w:rsidP="00222C79">
      <w:pPr>
        <w:spacing w:line="360" w:lineRule="auto"/>
        <w:ind w:left="720" w:firstLine="705"/>
        <w:jc w:val="both"/>
        <w:rPr>
          <w:rFonts w:ascii="Times New Roman" w:hAnsi="Times New Roman" w:cs="Times New Roman"/>
          <w:color w:val="000000"/>
          <w:sz w:val="24"/>
          <w:szCs w:val="24"/>
        </w:rPr>
      </w:pPr>
      <w:r w:rsidRPr="00222C79">
        <w:rPr>
          <w:rFonts w:ascii="Times New Roman" w:hAnsi="Times New Roman" w:cs="Times New Roman"/>
          <w:color w:val="000000"/>
          <w:sz w:val="24"/>
          <w:szCs w:val="24"/>
        </w:rPr>
        <w:t>A method of evaluating a security by attempting to measure its intrinsic value by examining related economic, financial and other qualitative and quantitative factors. Fundamental analysts attempt to study everything that can affect the security’s value, including macroeconomic factors (like the overall economy and industry conditions) and individually specific factors (like the financial condition and management of companies).</w:t>
      </w:r>
    </w:p>
    <w:p w:rsidR="00222C79" w:rsidRPr="00222C79" w:rsidRDefault="00222C79" w:rsidP="00222C79">
      <w:pPr>
        <w:spacing w:line="360" w:lineRule="auto"/>
        <w:ind w:left="720" w:firstLine="705"/>
        <w:jc w:val="both"/>
        <w:rPr>
          <w:rFonts w:ascii="Times New Roman" w:hAnsi="Times New Roman" w:cs="Times New Roman"/>
          <w:sz w:val="24"/>
          <w:szCs w:val="24"/>
        </w:rPr>
      </w:pPr>
      <w:r w:rsidRPr="00222C79">
        <w:rPr>
          <w:rFonts w:ascii="Times New Roman" w:hAnsi="Times New Roman" w:cs="Times New Roman"/>
          <w:sz w:val="24"/>
          <w:szCs w:val="24"/>
        </w:rPr>
        <w:lastRenderedPageBreak/>
        <w:t>The intrinsic value of an equity share depends on a multitude of factors. The earning of the company, the growth rate and the risk exposure of the company has a direct bearing on the share.  These factors in turn rely on other factors like economic environment in which they function, the industry they belong to, and finally companies own performance.</w:t>
      </w:r>
    </w:p>
    <w:p w:rsidR="00222C79" w:rsidRPr="00222C79" w:rsidRDefault="00222C79" w:rsidP="00222C79">
      <w:pPr>
        <w:spacing w:line="360" w:lineRule="auto"/>
        <w:ind w:left="720" w:firstLine="705"/>
        <w:jc w:val="both"/>
        <w:rPr>
          <w:rFonts w:ascii="Times New Roman" w:hAnsi="Times New Roman" w:cs="Times New Roman"/>
          <w:color w:val="000000"/>
          <w:sz w:val="24"/>
          <w:szCs w:val="24"/>
        </w:rPr>
      </w:pPr>
      <w:r w:rsidRPr="00222C79">
        <w:rPr>
          <w:rStyle w:val="tutorialsmainbody1"/>
          <w:rFonts w:ascii="Times New Roman" w:hAnsi="Times New Roman" w:cs="Times New Roman"/>
          <w:color w:val="000000"/>
          <w:sz w:val="24"/>
          <w:szCs w:val="24"/>
        </w:rPr>
        <w:t>The methods used to analyze securities and make investment decisions fall into two very broad categories: </w:t>
      </w:r>
      <w:hyperlink r:id="rId10" w:history="1">
        <w:r w:rsidRPr="00222C79">
          <w:rPr>
            <w:rStyle w:val="Hyperlink"/>
            <w:rFonts w:ascii="Times New Roman" w:hAnsi="Times New Roman" w:cs="Times New Roman"/>
            <w:color w:val="000000"/>
            <w:sz w:val="24"/>
            <w:szCs w:val="24"/>
            <w:u w:val="none"/>
          </w:rPr>
          <w:t>fundamental analysis</w:t>
        </w:r>
      </w:hyperlink>
      <w:r w:rsidRPr="00222C79">
        <w:rPr>
          <w:rStyle w:val="tutorialsmainbody1"/>
          <w:rFonts w:ascii="Times New Roman" w:hAnsi="Times New Roman" w:cs="Times New Roman"/>
          <w:color w:val="000000"/>
          <w:sz w:val="24"/>
          <w:szCs w:val="24"/>
        </w:rPr>
        <w:t xml:space="preserve"> and </w:t>
      </w:r>
      <w:hyperlink r:id="rId11" w:history="1">
        <w:r w:rsidRPr="00222C79">
          <w:rPr>
            <w:rStyle w:val="Hyperlink"/>
            <w:rFonts w:ascii="Times New Roman" w:hAnsi="Times New Roman" w:cs="Times New Roman"/>
            <w:color w:val="000000"/>
            <w:sz w:val="24"/>
            <w:szCs w:val="24"/>
            <w:u w:val="none"/>
          </w:rPr>
          <w:t>technical analysis</w:t>
        </w:r>
      </w:hyperlink>
      <w:r w:rsidRPr="00222C79">
        <w:rPr>
          <w:rStyle w:val="tutorialsmainbody1"/>
          <w:rFonts w:ascii="Times New Roman" w:hAnsi="Times New Roman" w:cs="Times New Roman"/>
          <w:color w:val="000000"/>
          <w:sz w:val="24"/>
          <w:szCs w:val="24"/>
        </w:rPr>
        <w:t xml:space="preserve">. Fundamental analysis involves analyzing the characteristics of a company in order to estimate its value. Technical analysis takes a completely different approach; it doesn’t care one bit about the “value” of a company or a commodity. Technicians (sometimes called </w:t>
      </w:r>
      <w:hyperlink r:id="rId12" w:history="1">
        <w:r w:rsidRPr="00222C79">
          <w:rPr>
            <w:rStyle w:val="Hyperlink"/>
            <w:rFonts w:ascii="Times New Roman" w:hAnsi="Times New Roman" w:cs="Times New Roman"/>
            <w:color w:val="000000"/>
            <w:sz w:val="24"/>
            <w:szCs w:val="24"/>
            <w:u w:val="none"/>
          </w:rPr>
          <w:t>chartists</w:t>
        </w:r>
      </w:hyperlink>
      <w:r w:rsidRPr="00222C79">
        <w:rPr>
          <w:rStyle w:val="tutorialsmainbody1"/>
          <w:rFonts w:ascii="Times New Roman" w:hAnsi="Times New Roman" w:cs="Times New Roman"/>
          <w:color w:val="000000"/>
          <w:sz w:val="24"/>
          <w:szCs w:val="24"/>
        </w:rPr>
        <w:t>) are only interested in the price movements in the market.</w:t>
      </w:r>
      <w:r w:rsidRPr="00222C79">
        <w:rPr>
          <w:rFonts w:ascii="Times New Roman" w:hAnsi="Times New Roman" w:cs="Times New Roman"/>
          <w:color w:val="000000"/>
          <w:sz w:val="24"/>
          <w:szCs w:val="24"/>
        </w:rPr>
        <w:t xml:space="preserve"> </w:t>
      </w:r>
    </w:p>
    <w:p w:rsidR="00222C79" w:rsidRDefault="00222C79" w:rsidP="00222C79">
      <w:pPr>
        <w:spacing w:line="360" w:lineRule="auto"/>
        <w:jc w:val="both"/>
        <w:rPr>
          <w:rFonts w:ascii="Times New Roman" w:hAnsi="Times New Roman" w:cs="Times New Roman"/>
          <w:b/>
          <w:bCs/>
          <w:color w:val="000000"/>
          <w:sz w:val="28"/>
          <w:szCs w:val="24"/>
        </w:rPr>
      </w:pPr>
      <w:r w:rsidRPr="00222C79">
        <w:rPr>
          <w:rFonts w:ascii="Times New Roman" w:hAnsi="Times New Roman" w:cs="Times New Roman"/>
          <w:b/>
          <w:bCs/>
          <w:color w:val="000000"/>
          <w:sz w:val="28"/>
          <w:szCs w:val="24"/>
        </w:rPr>
        <w:t>Research Methodology</w:t>
      </w:r>
    </w:p>
    <w:p w:rsidR="00222C79" w:rsidRPr="00BD0B40" w:rsidRDefault="00222C79" w:rsidP="00222C79">
      <w:pPr>
        <w:spacing w:line="360" w:lineRule="auto"/>
        <w:ind w:firstLine="720"/>
        <w:jc w:val="both"/>
        <w:rPr>
          <w:rStyle w:val="tutorialsmainbody1"/>
          <w:rFonts w:ascii="Times New Roman" w:hAnsi="Times New Roman" w:cs="Times New Roman"/>
          <w:sz w:val="24"/>
          <w:szCs w:val="24"/>
        </w:rPr>
      </w:pPr>
      <w:r w:rsidRPr="00BD0B40">
        <w:rPr>
          <w:rStyle w:val="tutorialsmainbody1"/>
          <w:rFonts w:ascii="Times New Roman" w:hAnsi="Times New Roman" w:cs="Times New Roman"/>
          <w:sz w:val="24"/>
          <w:szCs w:val="24"/>
        </w:rPr>
        <w:t>For the preparation of this report the collection of relevant data is very essential. The type of research adopted is descriptive nature and the data collected for the study is secondary data.</w:t>
      </w:r>
    </w:p>
    <w:p w:rsidR="00222C79" w:rsidRPr="00BD0B40" w:rsidRDefault="00222C79" w:rsidP="00222C79">
      <w:pPr>
        <w:spacing w:line="360" w:lineRule="auto"/>
        <w:jc w:val="both"/>
        <w:rPr>
          <w:rStyle w:val="tutorialsmainbody1"/>
          <w:rFonts w:ascii="Times New Roman" w:hAnsi="Times New Roman" w:cs="Times New Roman"/>
          <w:b/>
          <w:sz w:val="24"/>
          <w:szCs w:val="24"/>
        </w:rPr>
      </w:pPr>
      <w:r w:rsidRPr="00BD0B40">
        <w:rPr>
          <w:rStyle w:val="tutorialsmainbody1"/>
          <w:rFonts w:ascii="Times New Roman" w:hAnsi="Times New Roman" w:cs="Times New Roman"/>
          <w:b/>
          <w:sz w:val="28"/>
          <w:szCs w:val="28"/>
        </w:rPr>
        <w:t>Source of data</w:t>
      </w:r>
    </w:p>
    <w:p w:rsidR="00222C79" w:rsidRPr="00BD0B40" w:rsidRDefault="00222C79" w:rsidP="00222C79">
      <w:pPr>
        <w:spacing w:line="360" w:lineRule="auto"/>
        <w:jc w:val="both"/>
        <w:rPr>
          <w:rStyle w:val="tutorialsmainbody1"/>
          <w:rFonts w:ascii="Times New Roman" w:hAnsi="Times New Roman" w:cs="Times New Roman"/>
          <w:b/>
          <w:sz w:val="24"/>
          <w:szCs w:val="24"/>
        </w:rPr>
      </w:pPr>
      <w:r w:rsidRPr="00BD0B40">
        <w:rPr>
          <w:rStyle w:val="tutorialsmainbody1"/>
          <w:rFonts w:ascii="Times New Roman" w:hAnsi="Times New Roman" w:cs="Times New Roman"/>
          <w:b/>
          <w:sz w:val="24"/>
          <w:szCs w:val="24"/>
        </w:rPr>
        <w:t xml:space="preserve">The primary source for the project is based on secondary data which is collected through </w:t>
      </w:r>
    </w:p>
    <w:p w:rsidR="00222C79" w:rsidRPr="00BD0B40" w:rsidRDefault="00222C79" w:rsidP="00222C79">
      <w:pPr>
        <w:spacing w:line="360" w:lineRule="auto"/>
        <w:jc w:val="both"/>
        <w:rPr>
          <w:rStyle w:val="tutorialsmainbody1"/>
          <w:rFonts w:ascii="Times New Roman" w:hAnsi="Times New Roman" w:cs="Times New Roman"/>
          <w:sz w:val="24"/>
          <w:szCs w:val="24"/>
        </w:rPr>
      </w:pPr>
      <w:r w:rsidRPr="00BD0B40">
        <w:rPr>
          <w:rStyle w:val="tutorialsmainbody1"/>
          <w:rFonts w:ascii="Times New Roman" w:hAnsi="Times New Roman" w:cs="Times New Roman"/>
          <w:sz w:val="24"/>
          <w:szCs w:val="24"/>
        </w:rPr>
        <w:t xml:space="preserve">         It was collected from the following sources:</w:t>
      </w:r>
    </w:p>
    <w:p w:rsidR="00222C79" w:rsidRPr="00222C79" w:rsidRDefault="00222C79" w:rsidP="00222C79">
      <w:pPr>
        <w:pStyle w:val="ListParagraph"/>
        <w:numPr>
          <w:ilvl w:val="0"/>
          <w:numId w:val="3"/>
        </w:numPr>
        <w:spacing w:after="0" w:line="360" w:lineRule="auto"/>
        <w:jc w:val="both"/>
        <w:rPr>
          <w:rStyle w:val="tutorialsmainbody1"/>
          <w:rFonts w:ascii="Times New Roman" w:hAnsi="Times New Roman" w:cs="Times New Roman"/>
          <w:sz w:val="24"/>
          <w:szCs w:val="24"/>
        </w:rPr>
      </w:pPr>
      <w:r w:rsidRPr="00222C79">
        <w:rPr>
          <w:rStyle w:val="tutorialsmainbody1"/>
          <w:rFonts w:ascii="Times New Roman" w:hAnsi="Times New Roman" w:cs="Times New Roman"/>
          <w:sz w:val="24"/>
          <w:szCs w:val="24"/>
        </w:rPr>
        <w:t>Newspapers</w:t>
      </w:r>
    </w:p>
    <w:p w:rsidR="00222C79" w:rsidRPr="00222C79" w:rsidRDefault="00222C79" w:rsidP="00222C79">
      <w:pPr>
        <w:pStyle w:val="ListParagraph"/>
        <w:numPr>
          <w:ilvl w:val="0"/>
          <w:numId w:val="3"/>
        </w:numPr>
        <w:spacing w:after="0" w:line="360" w:lineRule="auto"/>
        <w:jc w:val="both"/>
        <w:rPr>
          <w:rStyle w:val="tutorialsmainbody1"/>
          <w:rFonts w:ascii="Times New Roman" w:hAnsi="Times New Roman" w:cs="Times New Roman"/>
          <w:sz w:val="24"/>
          <w:szCs w:val="24"/>
        </w:rPr>
      </w:pPr>
      <w:r w:rsidRPr="00222C79">
        <w:rPr>
          <w:rStyle w:val="tutorialsmainbody1"/>
          <w:rFonts w:ascii="Times New Roman" w:hAnsi="Times New Roman" w:cs="Times New Roman"/>
          <w:sz w:val="24"/>
          <w:szCs w:val="24"/>
        </w:rPr>
        <w:t>Business Magazines</w:t>
      </w:r>
    </w:p>
    <w:p w:rsidR="00222C79" w:rsidRPr="00222C79" w:rsidRDefault="00222C79" w:rsidP="00222C79">
      <w:pPr>
        <w:pStyle w:val="ListParagraph"/>
        <w:numPr>
          <w:ilvl w:val="0"/>
          <w:numId w:val="3"/>
        </w:numPr>
        <w:spacing w:after="0" w:line="360" w:lineRule="auto"/>
        <w:jc w:val="both"/>
        <w:rPr>
          <w:rStyle w:val="tutorialsmainbody1"/>
          <w:rFonts w:ascii="Times New Roman" w:hAnsi="Times New Roman" w:cs="Times New Roman"/>
          <w:sz w:val="24"/>
          <w:szCs w:val="24"/>
        </w:rPr>
      </w:pPr>
      <w:r w:rsidRPr="00222C79">
        <w:rPr>
          <w:rStyle w:val="tutorialsmainbody1"/>
          <w:rFonts w:ascii="Times New Roman" w:hAnsi="Times New Roman" w:cs="Times New Roman"/>
          <w:sz w:val="24"/>
          <w:szCs w:val="24"/>
        </w:rPr>
        <w:t>Internet</w:t>
      </w:r>
    </w:p>
    <w:p w:rsidR="00222C79" w:rsidRPr="00222C79" w:rsidRDefault="00222C79" w:rsidP="00222C79">
      <w:pPr>
        <w:pStyle w:val="ListParagraph"/>
        <w:numPr>
          <w:ilvl w:val="0"/>
          <w:numId w:val="3"/>
        </w:numPr>
        <w:spacing w:after="0" w:line="360" w:lineRule="auto"/>
        <w:jc w:val="both"/>
        <w:rPr>
          <w:rStyle w:val="tutorialsmainbody1"/>
          <w:rFonts w:ascii="Times New Roman" w:hAnsi="Times New Roman" w:cs="Times New Roman"/>
          <w:sz w:val="24"/>
          <w:szCs w:val="24"/>
        </w:rPr>
      </w:pPr>
      <w:r w:rsidRPr="00222C79">
        <w:rPr>
          <w:rStyle w:val="tutorialsmainbody1"/>
          <w:rFonts w:ascii="Times New Roman" w:hAnsi="Times New Roman" w:cs="Times New Roman"/>
          <w:sz w:val="24"/>
          <w:szCs w:val="24"/>
        </w:rPr>
        <w:t>Textbooks</w:t>
      </w:r>
    </w:p>
    <w:p w:rsidR="00222C79" w:rsidRPr="00222C79" w:rsidRDefault="00222C79" w:rsidP="00222C79">
      <w:pPr>
        <w:tabs>
          <w:tab w:val="left" w:pos="426"/>
        </w:tabs>
        <w:spacing w:line="360" w:lineRule="auto"/>
        <w:jc w:val="both"/>
        <w:rPr>
          <w:rStyle w:val="tutorialsmainbody1"/>
          <w:rFonts w:ascii="Times New Roman" w:hAnsi="Times New Roman" w:cs="Times New Roman"/>
          <w:b/>
          <w:sz w:val="24"/>
          <w:szCs w:val="24"/>
        </w:rPr>
      </w:pPr>
      <w:r w:rsidRPr="00222C79">
        <w:rPr>
          <w:rStyle w:val="tutorialsmainbody1"/>
          <w:rFonts w:ascii="Times New Roman" w:hAnsi="Times New Roman" w:cs="Times New Roman"/>
          <w:b/>
          <w:sz w:val="24"/>
          <w:szCs w:val="24"/>
        </w:rPr>
        <w:t>Tools Used:</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t>Financial analysis</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t xml:space="preserve">P/E ratio </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t>EPS</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t xml:space="preserve">ROE </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t xml:space="preserve">DEBT Equity ratio </w:t>
      </w:r>
    </w:p>
    <w:p w:rsidR="00222C79" w:rsidRPr="00F73B0B" w:rsidRDefault="00222C79" w:rsidP="00222C79">
      <w:pPr>
        <w:numPr>
          <w:ilvl w:val="0"/>
          <w:numId w:val="4"/>
        </w:numPr>
        <w:tabs>
          <w:tab w:val="left" w:pos="426"/>
        </w:tabs>
        <w:spacing w:after="0" w:line="360" w:lineRule="auto"/>
        <w:jc w:val="both"/>
        <w:rPr>
          <w:rStyle w:val="tutorialsmainbody1"/>
          <w:rFonts w:ascii="Times New Roman" w:hAnsi="Times New Roman" w:cs="Times New Roman"/>
          <w:b/>
          <w:sz w:val="24"/>
          <w:szCs w:val="24"/>
        </w:rPr>
      </w:pPr>
      <w:r w:rsidRPr="00F73B0B">
        <w:rPr>
          <w:rStyle w:val="tutorialsmainbody1"/>
          <w:rFonts w:ascii="Times New Roman" w:hAnsi="Times New Roman" w:cs="Times New Roman"/>
          <w:sz w:val="24"/>
          <w:szCs w:val="24"/>
        </w:rPr>
        <w:lastRenderedPageBreak/>
        <w:t>Book value of the share</w:t>
      </w:r>
    </w:p>
    <w:p w:rsidR="00222C79" w:rsidRPr="00222C79" w:rsidRDefault="00222C79" w:rsidP="00222C79">
      <w:pPr>
        <w:spacing w:line="360" w:lineRule="auto"/>
        <w:jc w:val="both"/>
        <w:rPr>
          <w:rFonts w:ascii="Times New Roman" w:hAnsi="Times New Roman" w:cs="Times New Roman"/>
          <w:b/>
          <w:bCs/>
          <w:color w:val="000000"/>
          <w:sz w:val="28"/>
          <w:szCs w:val="24"/>
        </w:rPr>
      </w:pPr>
    </w:p>
    <w:p w:rsidR="00222C79" w:rsidRPr="00BD0B40" w:rsidRDefault="00222C79" w:rsidP="00222C79">
      <w:pPr>
        <w:tabs>
          <w:tab w:val="left" w:pos="1800"/>
          <w:tab w:val="left" w:pos="3615"/>
        </w:tabs>
        <w:spacing w:line="360" w:lineRule="auto"/>
        <w:rPr>
          <w:rStyle w:val="tutorialsmainbody1"/>
          <w:rFonts w:ascii="Times New Roman" w:hAnsi="Times New Roman" w:cs="Times New Roman"/>
          <w:b/>
          <w:szCs w:val="24"/>
        </w:rPr>
      </w:pPr>
      <w:r>
        <w:rPr>
          <w:rStyle w:val="Strong"/>
          <w:sz w:val="28"/>
          <w:szCs w:val="28"/>
        </w:rPr>
        <w:t>Objectives of t</w:t>
      </w:r>
      <w:r w:rsidRPr="00BD0B40">
        <w:rPr>
          <w:rStyle w:val="Strong"/>
          <w:sz w:val="28"/>
          <w:szCs w:val="28"/>
        </w:rPr>
        <w:t>he Study</w:t>
      </w:r>
    </w:p>
    <w:p w:rsidR="00222C79" w:rsidRPr="00BD0B40" w:rsidRDefault="00222C79" w:rsidP="00222C79">
      <w:pPr>
        <w:numPr>
          <w:ilvl w:val="0"/>
          <w:numId w:val="5"/>
        </w:numPr>
        <w:tabs>
          <w:tab w:val="left" w:pos="1800"/>
          <w:tab w:val="left" w:pos="3615"/>
        </w:tabs>
        <w:spacing w:after="0" w:line="360" w:lineRule="auto"/>
        <w:jc w:val="both"/>
        <w:rPr>
          <w:rStyle w:val="tutorialsmainbody1"/>
          <w:rFonts w:ascii="Times New Roman" w:hAnsi="Times New Roman" w:cs="Times New Roman"/>
          <w:szCs w:val="24"/>
        </w:rPr>
      </w:pPr>
      <w:r w:rsidRPr="00BD0B40">
        <w:rPr>
          <w:rStyle w:val="tutorialsmainbody1"/>
          <w:rFonts w:ascii="Times New Roman" w:hAnsi="Times New Roman" w:cs="Times New Roman"/>
          <w:sz w:val="24"/>
          <w:szCs w:val="24"/>
        </w:rPr>
        <w:t>To examine the internal and external factors affects  the future price of the company</w:t>
      </w:r>
    </w:p>
    <w:p w:rsidR="00222C79" w:rsidRPr="00F73B0B" w:rsidRDefault="00222C79" w:rsidP="00222C79">
      <w:pPr>
        <w:numPr>
          <w:ilvl w:val="0"/>
          <w:numId w:val="5"/>
        </w:numPr>
        <w:tabs>
          <w:tab w:val="left" w:pos="1800"/>
          <w:tab w:val="left" w:pos="3615"/>
        </w:tabs>
        <w:spacing w:after="0" w:line="360" w:lineRule="auto"/>
        <w:jc w:val="both"/>
        <w:rPr>
          <w:rStyle w:val="tutorialsmainbody1"/>
          <w:rFonts w:ascii="Times New Roman" w:hAnsi="Times New Roman" w:cs="Times New Roman"/>
          <w:szCs w:val="24"/>
        </w:rPr>
      </w:pPr>
      <w:r w:rsidRPr="00BD0B40">
        <w:rPr>
          <w:rStyle w:val="tutorialsmainbody1"/>
          <w:rFonts w:ascii="Times New Roman" w:hAnsi="Times New Roman" w:cs="Times New Roman"/>
          <w:sz w:val="24"/>
          <w:szCs w:val="24"/>
        </w:rPr>
        <w:t>The purpose also serves the investors to decide whether to invest in a particular company shares or not</w:t>
      </w:r>
      <w:r>
        <w:rPr>
          <w:rStyle w:val="tutorialsmainbody1"/>
          <w:rFonts w:ascii="Times New Roman" w:hAnsi="Times New Roman" w:cs="Times New Roman"/>
          <w:sz w:val="24"/>
          <w:szCs w:val="24"/>
        </w:rPr>
        <w:t>.</w:t>
      </w:r>
    </w:p>
    <w:p w:rsidR="00222C79" w:rsidRDefault="00222C79" w:rsidP="00222C79">
      <w:pPr>
        <w:pStyle w:val="BodyText"/>
        <w:numPr>
          <w:ilvl w:val="0"/>
          <w:numId w:val="5"/>
        </w:numPr>
        <w:spacing w:before="120" w:after="120" w:line="360" w:lineRule="auto"/>
      </w:pPr>
      <w:r w:rsidRPr="00BD0B40">
        <w:t>To analyze the various factors which influence the share prices of IIFL</w:t>
      </w:r>
    </w:p>
    <w:p w:rsidR="00222C79" w:rsidRDefault="00222C79" w:rsidP="00222C79">
      <w:pPr>
        <w:pStyle w:val="BodyText"/>
        <w:numPr>
          <w:ilvl w:val="0"/>
          <w:numId w:val="5"/>
        </w:numPr>
        <w:spacing w:before="120" w:after="120" w:line="360" w:lineRule="auto"/>
      </w:pPr>
      <w:r w:rsidRPr="00BD0B40">
        <w:t>To analyze the market value of  IIFL</w:t>
      </w:r>
    </w:p>
    <w:p w:rsidR="00222C79" w:rsidRPr="00BD0B40" w:rsidRDefault="00222C79" w:rsidP="00222C79">
      <w:pPr>
        <w:pStyle w:val="BodyText"/>
        <w:spacing w:before="120" w:after="120" w:line="360" w:lineRule="auto"/>
      </w:pPr>
    </w:p>
    <w:p w:rsidR="00222C79" w:rsidRDefault="000D1A35" w:rsidP="00222C79">
      <w:pPr>
        <w:rPr>
          <w:rFonts w:ascii="Times New Roman" w:hAnsi="Times New Roman" w:cs="Times New Roman"/>
          <w:b/>
          <w:bCs/>
          <w:sz w:val="28"/>
          <w:szCs w:val="24"/>
        </w:rPr>
      </w:pPr>
      <w:r w:rsidRPr="000D1A35">
        <w:rPr>
          <w:rFonts w:ascii="Times New Roman" w:hAnsi="Times New Roman" w:cs="Times New Roman"/>
          <w:b/>
          <w:bCs/>
          <w:sz w:val="28"/>
          <w:szCs w:val="24"/>
        </w:rPr>
        <w:t>Analysis</w:t>
      </w:r>
    </w:p>
    <w:p w:rsidR="000D1A35" w:rsidRDefault="000D1A35" w:rsidP="00326A63">
      <w:pPr>
        <w:jc w:val="center"/>
        <w:rPr>
          <w:rFonts w:ascii="Times New Roman" w:hAnsi="Times New Roman" w:cs="Times New Roman"/>
          <w:b/>
          <w:bCs/>
          <w:sz w:val="28"/>
          <w:szCs w:val="24"/>
        </w:rPr>
      </w:pPr>
      <w:r>
        <w:rPr>
          <w:rFonts w:ascii="Times New Roman" w:hAnsi="Times New Roman" w:cs="Times New Roman"/>
          <w:b/>
          <w:bCs/>
          <w:sz w:val="28"/>
          <w:szCs w:val="24"/>
        </w:rPr>
        <w:t>Axis Bank</w:t>
      </w:r>
    </w:p>
    <w:tbl>
      <w:tblPr>
        <w:tblW w:w="4867" w:type="pct"/>
        <w:jc w:val="center"/>
        <w:tblCellSpacing w:w="7" w:type="dxa"/>
        <w:tblCellMar>
          <w:top w:w="30" w:type="dxa"/>
          <w:left w:w="30" w:type="dxa"/>
          <w:bottom w:w="30" w:type="dxa"/>
          <w:right w:w="30" w:type="dxa"/>
        </w:tblCellMar>
        <w:tblLook w:val="0000"/>
      </w:tblPr>
      <w:tblGrid>
        <w:gridCol w:w="2725"/>
        <w:gridCol w:w="1293"/>
        <w:gridCol w:w="1293"/>
        <w:gridCol w:w="1293"/>
        <w:gridCol w:w="1293"/>
        <w:gridCol w:w="1300"/>
      </w:tblGrid>
      <w:tr w:rsidR="000D1A35" w:rsidRPr="009C7DB5" w:rsidTr="00326A63">
        <w:trPr>
          <w:trHeight w:val="195"/>
          <w:tblCellSpacing w:w="7" w:type="dxa"/>
          <w:jc w:val="center"/>
        </w:trPr>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Year end</w:t>
            </w:r>
          </w:p>
        </w:tc>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Mar 22</w:t>
            </w:r>
          </w:p>
        </w:tc>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 xml:space="preserve">Mar 21 </w:t>
            </w:r>
          </w:p>
        </w:tc>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 xml:space="preserve">Mar 20 </w:t>
            </w:r>
          </w:p>
        </w:tc>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 xml:space="preserve">Mar 19 </w:t>
            </w:r>
          </w:p>
        </w:tc>
        <w:tc>
          <w:tcPr>
            <w:tcW w:w="0" w:type="auto"/>
            <w:shd w:val="clear" w:color="auto" w:fill="999966"/>
            <w:vAlign w:val="center"/>
          </w:tcPr>
          <w:p w:rsidR="000D1A35" w:rsidRPr="009C7DB5" w:rsidRDefault="000D1A35" w:rsidP="007A09B9">
            <w:pPr>
              <w:jc w:val="both"/>
              <w:rPr>
                <w:b/>
                <w:bCs/>
                <w:color w:val="000000"/>
                <w:sz w:val="20"/>
                <w:szCs w:val="20"/>
              </w:rPr>
            </w:pPr>
            <w:r w:rsidRPr="009C7DB5">
              <w:rPr>
                <w:b/>
                <w:bCs/>
                <w:color w:val="000000"/>
                <w:sz w:val="20"/>
                <w:szCs w:val="20"/>
              </w:rPr>
              <w:t xml:space="preserve">Mar 18 </w:t>
            </w:r>
          </w:p>
        </w:tc>
      </w:tr>
      <w:tr w:rsidR="000D1A35" w:rsidRPr="009C7DB5" w:rsidTr="00326A63">
        <w:trPr>
          <w:trHeight w:val="231"/>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EPS(Rs)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22.62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16.97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11.91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11.70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9.35 </w:t>
            </w:r>
          </w:p>
        </w:tc>
      </w:tr>
      <w:tr w:rsidR="000D1A35" w:rsidRPr="009C7DB5" w:rsidTr="00326A63">
        <w:trPr>
          <w:trHeight w:val="244"/>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Book value(Rs)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120.49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103.07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97.95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49.08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39.99 </w:t>
            </w:r>
          </w:p>
        </w:tc>
      </w:tr>
      <w:tr w:rsidR="000D1A35" w:rsidRPr="009C7DB5" w:rsidTr="00326A63">
        <w:trPr>
          <w:trHeight w:val="231"/>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CEPS(Rs)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26.59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20.19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14.79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14.37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10.47 </w:t>
            </w:r>
          </w:p>
        </w:tc>
      </w:tr>
      <w:tr w:rsidR="000D1A35" w:rsidRPr="009C7DB5" w:rsidTr="00326A63">
        <w:trPr>
          <w:trHeight w:val="231"/>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NPM(%)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r>
      <w:tr w:rsidR="000D1A35" w:rsidRPr="009C7DB5" w:rsidTr="00326A63">
        <w:trPr>
          <w:trHeight w:val="244"/>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OPM(%)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r>
      <w:tr w:rsidR="000D1A35" w:rsidRPr="009C7DB5" w:rsidTr="00326A63">
        <w:trPr>
          <w:trHeight w:val="231"/>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ROCE(%)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r>
      <w:tr w:rsidR="000D1A35" w:rsidRPr="009C7DB5" w:rsidTr="00326A63">
        <w:trPr>
          <w:trHeight w:val="231"/>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ROE(%)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21.05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19.37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19.99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27.09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25.08 </w:t>
            </w:r>
          </w:p>
        </w:tc>
      </w:tr>
      <w:tr w:rsidR="000D1A35" w:rsidRPr="009C7DB5" w:rsidTr="00326A63">
        <w:trPr>
          <w:trHeight w:val="244"/>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Debt/equity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r>
      <w:tr w:rsidR="000D1A35" w:rsidRPr="009C7DB5" w:rsidTr="00326A63">
        <w:trPr>
          <w:trHeight w:val="244"/>
          <w:tblCellSpacing w:w="7" w:type="dxa"/>
          <w:jc w:val="center"/>
        </w:trPr>
        <w:tc>
          <w:tcPr>
            <w:tcW w:w="0" w:type="auto"/>
            <w:shd w:val="clear" w:color="auto" w:fill="FFFFFF"/>
            <w:vAlign w:val="center"/>
          </w:tcPr>
          <w:p w:rsidR="000D1A35" w:rsidRPr="009C7DB5" w:rsidRDefault="000D1A35" w:rsidP="007A09B9">
            <w:pPr>
              <w:jc w:val="both"/>
              <w:rPr>
                <w:color w:val="000000"/>
              </w:rPr>
            </w:pPr>
            <w:r w:rsidRPr="009C7DB5">
              <w:rPr>
                <w:color w:val="000000"/>
              </w:rPr>
              <w:t xml:space="preserve">Interest cover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c>
          <w:tcPr>
            <w:tcW w:w="0" w:type="auto"/>
            <w:shd w:val="clear" w:color="auto" w:fill="FFFFCC"/>
            <w:vAlign w:val="center"/>
          </w:tcPr>
          <w:p w:rsidR="000D1A35" w:rsidRPr="009C7DB5" w:rsidRDefault="000D1A35" w:rsidP="007A09B9">
            <w:pPr>
              <w:jc w:val="both"/>
              <w:rPr>
                <w:color w:val="000000"/>
                <w:sz w:val="20"/>
                <w:szCs w:val="20"/>
              </w:rPr>
            </w:pPr>
            <w:r w:rsidRPr="009C7DB5">
              <w:rPr>
                <w:color w:val="000000"/>
                <w:sz w:val="20"/>
                <w:szCs w:val="20"/>
              </w:rPr>
              <w:t xml:space="preserve">- </w:t>
            </w:r>
          </w:p>
        </w:tc>
      </w:tr>
    </w:tbl>
    <w:p w:rsidR="000D1A35" w:rsidRDefault="000D1A35" w:rsidP="00222C79">
      <w:pPr>
        <w:rPr>
          <w:rFonts w:ascii="Times New Roman" w:hAnsi="Times New Roman" w:cs="Times New Roman"/>
          <w:b/>
          <w:bCs/>
          <w:sz w:val="28"/>
          <w:szCs w:val="24"/>
        </w:rPr>
      </w:pPr>
    </w:p>
    <w:p w:rsidR="000D1A35" w:rsidRPr="000D1A35" w:rsidRDefault="000D1A35" w:rsidP="000D1A35">
      <w:pPr>
        <w:spacing w:line="360" w:lineRule="auto"/>
        <w:ind w:firstLine="720"/>
        <w:jc w:val="both"/>
        <w:rPr>
          <w:rFonts w:ascii="Times New Roman" w:hAnsi="Times New Roman" w:cs="Times New Roman"/>
          <w:sz w:val="24"/>
          <w:szCs w:val="24"/>
        </w:rPr>
      </w:pPr>
      <w:r w:rsidRPr="000D1A35">
        <w:rPr>
          <w:rFonts w:ascii="Times New Roman" w:hAnsi="Times New Roman" w:cs="Times New Roman"/>
          <w:sz w:val="24"/>
          <w:szCs w:val="24"/>
        </w:rPr>
        <w:lastRenderedPageBreak/>
        <w:t>The study was done on the AXIS Bank during the month of December, even though there are fluctuations in the prices the over all performance of the organization is bullish in nature. During the analysis period the share price has reached a high of Rs. 2476and Rs.2302</w:t>
      </w:r>
    </w:p>
    <w:p w:rsidR="000D1A35" w:rsidRDefault="000D1A35" w:rsidP="00326A63">
      <w:pPr>
        <w:jc w:val="center"/>
        <w:rPr>
          <w:rFonts w:ascii="Times New Roman" w:hAnsi="Times New Roman" w:cs="Times New Roman"/>
          <w:b/>
          <w:bCs/>
          <w:sz w:val="28"/>
          <w:szCs w:val="24"/>
        </w:rPr>
      </w:pPr>
      <w:r>
        <w:rPr>
          <w:rFonts w:ascii="Times New Roman" w:hAnsi="Times New Roman" w:cs="Times New Roman"/>
          <w:b/>
          <w:bCs/>
          <w:sz w:val="28"/>
          <w:szCs w:val="24"/>
        </w:rPr>
        <w:t>SBI</w:t>
      </w:r>
    </w:p>
    <w:tbl>
      <w:tblPr>
        <w:tblW w:w="5000" w:type="pct"/>
        <w:jc w:val="center"/>
        <w:tblCellSpacing w:w="7" w:type="dxa"/>
        <w:tblCellMar>
          <w:top w:w="30" w:type="dxa"/>
          <w:left w:w="30" w:type="dxa"/>
          <w:bottom w:w="30" w:type="dxa"/>
          <w:right w:w="30" w:type="dxa"/>
        </w:tblCellMar>
        <w:tblLook w:val="0000"/>
      </w:tblPr>
      <w:tblGrid>
        <w:gridCol w:w="2801"/>
        <w:gridCol w:w="1328"/>
        <w:gridCol w:w="1328"/>
        <w:gridCol w:w="1328"/>
        <w:gridCol w:w="1328"/>
        <w:gridCol w:w="1335"/>
      </w:tblGrid>
      <w:tr w:rsidR="000D1A35" w:rsidRPr="00BD0B40" w:rsidTr="00326A63">
        <w:trPr>
          <w:tblCellSpacing w:w="7" w:type="dxa"/>
          <w:jc w:val="center"/>
        </w:trPr>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Year end</w:t>
            </w:r>
          </w:p>
        </w:tc>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Mar 22</w:t>
            </w:r>
          </w:p>
        </w:tc>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 xml:space="preserve">Mar 21 </w:t>
            </w:r>
          </w:p>
        </w:tc>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 xml:space="preserve">Mar 20 </w:t>
            </w:r>
          </w:p>
        </w:tc>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 xml:space="preserve">Mar 19 </w:t>
            </w:r>
          </w:p>
        </w:tc>
        <w:tc>
          <w:tcPr>
            <w:tcW w:w="0" w:type="auto"/>
            <w:shd w:val="clear" w:color="auto" w:fill="999966"/>
            <w:vAlign w:val="center"/>
          </w:tcPr>
          <w:p w:rsidR="000D1A35" w:rsidRPr="00BD0B40" w:rsidRDefault="000D1A35" w:rsidP="007A09B9">
            <w:pPr>
              <w:jc w:val="both"/>
              <w:rPr>
                <w:b/>
                <w:bCs/>
                <w:color w:val="FFFFCC"/>
                <w:sz w:val="20"/>
                <w:szCs w:val="20"/>
              </w:rPr>
            </w:pPr>
            <w:r w:rsidRPr="00BD0B40">
              <w:rPr>
                <w:b/>
                <w:bCs/>
                <w:color w:val="FFFFCC"/>
                <w:sz w:val="20"/>
                <w:szCs w:val="20"/>
              </w:rPr>
              <w:t xml:space="preserve">Mar 18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EPS(Rs)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93.91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91.77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90.01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69.53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57.91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Book value(Rs)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594.69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525.25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457.39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394.41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326.97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CEPS(Rs)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95.91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96.29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94.30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91.90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67.29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NPM(%)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OPM(%)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ROCE(%)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15.41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17.05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19.43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19.67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19.15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Debt/equity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Interest cover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r>
    </w:tbl>
    <w:p w:rsidR="000D1A35" w:rsidRDefault="000D1A35" w:rsidP="000D1A35">
      <w:pPr>
        <w:spacing w:line="360" w:lineRule="auto"/>
        <w:jc w:val="both"/>
      </w:pPr>
    </w:p>
    <w:p w:rsidR="000D1A35" w:rsidRDefault="000D1A35" w:rsidP="000D1A35">
      <w:pPr>
        <w:spacing w:line="360" w:lineRule="auto"/>
        <w:ind w:firstLine="720"/>
        <w:jc w:val="both"/>
        <w:rPr>
          <w:rFonts w:ascii="Times New Roman" w:hAnsi="Times New Roman" w:cs="Times New Roman"/>
          <w:sz w:val="24"/>
          <w:szCs w:val="24"/>
        </w:rPr>
      </w:pPr>
      <w:r w:rsidRPr="000D1A35">
        <w:rPr>
          <w:rFonts w:ascii="Times New Roman" w:hAnsi="Times New Roman" w:cs="Times New Roman"/>
          <w:sz w:val="24"/>
          <w:szCs w:val="24"/>
        </w:rPr>
        <w:t>The study was done on the SBI Bank during the month of December, even though there are fluctuations in the prices the over all performance of the organization is bullish in nature. During the analysis period the share price has reached a high of Rs. 2476and Rs.230</w:t>
      </w:r>
      <w:r>
        <w:rPr>
          <w:rFonts w:ascii="Times New Roman" w:hAnsi="Times New Roman" w:cs="Times New Roman"/>
          <w:sz w:val="24"/>
          <w:szCs w:val="24"/>
        </w:rPr>
        <w:t>.</w:t>
      </w:r>
    </w:p>
    <w:p w:rsidR="000D1A35" w:rsidRDefault="000D1A35" w:rsidP="000D1A35">
      <w:pPr>
        <w:spacing w:line="360" w:lineRule="auto"/>
        <w:ind w:firstLine="720"/>
        <w:jc w:val="both"/>
        <w:rPr>
          <w:rFonts w:ascii="Times New Roman" w:hAnsi="Times New Roman" w:cs="Times New Roman"/>
          <w:sz w:val="24"/>
          <w:szCs w:val="24"/>
        </w:rPr>
      </w:pPr>
    </w:p>
    <w:p w:rsidR="000D1A35" w:rsidRPr="000D1A35" w:rsidRDefault="000D1A35" w:rsidP="00326A63">
      <w:pPr>
        <w:spacing w:line="360" w:lineRule="auto"/>
        <w:jc w:val="center"/>
        <w:rPr>
          <w:rFonts w:ascii="Times New Roman" w:hAnsi="Times New Roman" w:cs="Times New Roman"/>
          <w:b/>
          <w:bCs/>
          <w:sz w:val="28"/>
          <w:szCs w:val="24"/>
        </w:rPr>
      </w:pPr>
      <w:r w:rsidRPr="000D1A35">
        <w:rPr>
          <w:rFonts w:ascii="Times New Roman" w:hAnsi="Times New Roman" w:cs="Times New Roman"/>
          <w:b/>
          <w:bCs/>
          <w:sz w:val="28"/>
          <w:szCs w:val="24"/>
        </w:rPr>
        <w:t>Bajaj Hindustan Sugar Industry</w:t>
      </w:r>
    </w:p>
    <w:tbl>
      <w:tblPr>
        <w:tblW w:w="5000" w:type="pct"/>
        <w:jc w:val="center"/>
        <w:tblCellSpacing w:w="7" w:type="dxa"/>
        <w:tblCellMar>
          <w:top w:w="30" w:type="dxa"/>
          <w:left w:w="30" w:type="dxa"/>
          <w:bottom w:w="30" w:type="dxa"/>
          <w:right w:w="30" w:type="dxa"/>
        </w:tblCellMar>
        <w:tblLook w:val="0000"/>
      </w:tblPr>
      <w:tblGrid>
        <w:gridCol w:w="2731"/>
        <w:gridCol w:w="1411"/>
        <w:gridCol w:w="1411"/>
        <w:gridCol w:w="1296"/>
        <w:gridCol w:w="1296"/>
        <w:gridCol w:w="1303"/>
      </w:tblGrid>
      <w:tr w:rsidR="000D1A35" w:rsidRPr="00BD0B40" w:rsidTr="00326A63">
        <w:trPr>
          <w:tblCellSpacing w:w="7" w:type="dxa"/>
          <w:jc w:val="center"/>
        </w:trPr>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Year end</w:t>
            </w:r>
          </w:p>
        </w:tc>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Sep 022</w:t>
            </w:r>
          </w:p>
        </w:tc>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Sep 021</w:t>
            </w:r>
          </w:p>
        </w:tc>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Mar 20</w:t>
            </w:r>
          </w:p>
        </w:tc>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Mar 19</w:t>
            </w:r>
          </w:p>
        </w:tc>
        <w:tc>
          <w:tcPr>
            <w:tcW w:w="0" w:type="auto"/>
            <w:shd w:val="clear" w:color="auto" w:fill="999966"/>
            <w:vAlign w:val="center"/>
          </w:tcPr>
          <w:p w:rsidR="000D1A35" w:rsidRPr="00BD0B40" w:rsidRDefault="000D1A35" w:rsidP="00326A63">
            <w:pPr>
              <w:rPr>
                <w:b/>
                <w:bCs/>
                <w:color w:val="FFFFCC"/>
                <w:sz w:val="20"/>
                <w:szCs w:val="20"/>
              </w:rPr>
            </w:pPr>
            <w:r w:rsidRPr="00BD0B40">
              <w:rPr>
                <w:b/>
                <w:bCs/>
                <w:color w:val="FFFFCC"/>
                <w:sz w:val="20"/>
                <w:szCs w:val="20"/>
              </w:rPr>
              <w:t>Mar 18</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326A63">
            <w:r w:rsidRPr="00BD0B40">
              <w:t>EPS(Rs)</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0.37</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326A63">
            <w:r w:rsidRPr="00BD0B40">
              <w:t>Book value(Rs)</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9.90</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-0.30</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-4.79</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13.47</w:t>
            </w:r>
          </w:p>
        </w:tc>
        <w:tc>
          <w:tcPr>
            <w:tcW w:w="0" w:type="auto"/>
            <w:shd w:val="clear" w:color="auto" w:fill="FFFFCC"/>
            <w:vAlign w:val="center"/>
          </w:tcPr>
          <w:p w:rsidR="000D1A35" w:rsidRPr="00BD0B40" w:rsidRDefault="000D1A35" w:rsidP="00326A63">
            <w:pPr>
              <w:rPr>
                <w:color w:val="000000"/>
                <w:sz w:val="20"/>
                <w:szCs w:val="20"/>
              </w:rPr>
            </w:pPr>
            <w:r w:rsidRPr="00BD0B40">
              <w:rPr>
                <w:color w:val="000000"/>
                <w:sz w:val="20"/>
                <w:szCs w:val="20"/>
              </w:rPr>
              <w:t>20.91</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lastRenderedPageBreak/>
              <w:t xml:space="preserve">CEPS(Rs)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-2.56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0.49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-9.25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6.31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5.99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NPM(%)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-34.65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1.51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-9.42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7.99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-2.09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OPM(%)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-33.79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7.22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-2.02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19.63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17.99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ROCE(%)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3.67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9.63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70.79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-13.45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Debt/equity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21.76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45.75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9.67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6.93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Interest cover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-15.69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1.96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-1.08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1.70 </w:t>
            </w:r>
          </w:p>
        </w:tc>
        <w:tc>
          <w:tcPr>
            <w:tcW w:w="0" w:type="auto"/>
            <w:shd w:val="clear" w:color="auto" w:fill="FFFFCC"/>
            <w:vAlign w:val="center"/>
          </w:tcPr>
          <w:p w:rsidR="000D1A35" w:rsidRPr="00BD0B40" w:rsidRDefault="000D1A35" w:rsidP="007A09B9">
            <w:pPr>
              <w:jc w:val="both"/>
              <w:rPr>
                <w:color w:val="000000"/>
                <w:sz w:val="20"/>
                <w:szCs w:val="20"/>
              </w:rPr>
            </w:pPr>
            <w:r w:rsidRPr="00BD0B40">
              <w:rPr>
                <w:color w:val="000000"/>
                <w:sz w:val="20"/>
                <w:szCs w:val="20"/>
              </w:rPr>
              <w:t xml:space="preserve">1.07 </w:t>
            </w:r>
          </w:p>
        </w:tc>
      </w:tr>
    </w:tbl>
    <w:p w:rsidR="000D1A35" w:rsidRDefault="000D1A35" w:rsidP="000D1A35">
      <w:pPr>
        <w:spacing w:line="360" w:lineRule="auto"/>
        <w:jc w:val="both"/>
        <w:rPr>
          <w:rFonts w:ascii="Times New Roman" w:hAnsi="Times New Roman" w:cs="Times New Roman"/>
          <w:sz w:val="24"/>
          <w:szCs w:val="24"/>
        </w:rPr>
      </w:pPr>
      <w:r w:rsidRPr="000D1A35">
        <w:rPr>
          <w:rFonts w:ascii="Times New Roman" w:hAnsi="Times New Roman" w:cs="Times New Roman"/>
          <w:sz w:val="24"/>
          <w:szCs w:val="24"/>
        </w:rPr>
        <w:t xml:space="preserve">       </w:t>
      </w:r>
    </w:p>
    <w:p w:rsidR="000D1A35" w:rsidRDefault="000D1A35" w:rsidP="000D1A35">
      <w:pPr>
        <w:spacing w:line="360" w:lineRule="auto"/>
        <w:jc w:val="both"/>
        <w:rPr>
          <w:rFonts w:ascii="Times New Roman" w:hAnsi="Times New Roman" w:cs="Times New Roman"/>
          <w:sz w:val="24"/>
          <w:szCs w:val="24"/>
        </w:rPr>
      </w:pPr>
      <w:r w:rsidRPr="000D1A35">
        <w:rPr>
          <w:rFonts w:ascii="Times New Roman" w:hAnsi="Times New Roman" w:cs="Times New Roman"/>
          <w:sz w:val="24"/>
          <w:szCs w:val="24"/>
        </w:rPr>
        <w:t xml:space="preserve">   The study was done on the BAJAJ HINDUSTAN SUGAR INDUSTRY during the month of December; even though there are fluc</w:t>
      </w:r>
      <w:r>
        <w:rPr>
          <w:rFonts w:ascii="Times New Roman" w:hAnsi="Times New Roman" w:cs="Times New Roman"/>
          <w:sz w:val="24"/>
          <w:szCs w:val="24"/>
        </w:rPr>
        <w:t>tuations in the prices the over</w:t>
      </w:r>
      <w:r w:rsidRPr="000D1A35">
        <w:rPr>
          <w:rFonts w:ascii="Times New Roman" w:hAnsi="Times New Roman" w:cs="Times New Roman"/>
          <w:sz w:val="24"/>
          <w:szCs w:val="24"/>
        </w:rPr>
        <w:t>all performance of the organization is bullish in nature. During the analysis period the share price has reached a high of Rs. 2476and Rs.2302.</w:t>
      </w:r>
    </w:p>
    <w:p w:rsidR="000D1A35" w:rsidRDefault="000D1A35" w:rsidP="000D1A35">
      <w:pPr>
        <w:spacing w:line="360" w:lineRule="auto"/>
        <w:jc w:val="both"/>
        <w:rPr>
          <w:rFonts w:ascii="Times New Roman" w:hAnsi="Times New Roman" w:cs="Times New Roman"/>
          <w:sz w:val="24"/>
          <w:szCs w:val="24"/>
        </w:rPr>
      </w:pPr>
    </w:p>
    <w:p w:rsidR="000D1A35" w:rsidRPr="000D1A35" w:rsidRDefault="000D1A35" w:rsidP="00326A63">
      <w:pPr>
        <w:spacing w:line="360" w:lineRule="auto"/>
        <w:jc w:val="center"/>
        <w:rPr>
          <w:rFonts w:ascii="Times New Roman" w:hAnsi="Times New Roman" w:cs="Times New Roman"/>
          <w:b/>
          <w:bCs/>
          <w:sz w:val="24"/>
          <w:szCs w:val="24"/>
        </w:rPr>
      </w:pPr>
      <w:r w:rsidRPr="000D1A35">
        <w:rPr>
          <w:rFonts w:ascii="Times New Roman" w:hAnsi="Times New Roman" w:cs="Times New Roman"/>
          <w:b/>
          <w:bCs/>
          <w:sz w:val="24"/>
          <w:szCs w:val="24"/>
        </w:rPr>
        <w:t>Andhra Sugar Industry</w:t>
      </w:r>
    </w:p>
    <w:tbl>
      <w:tblPr>
        <w:tblW w:w="5000" w:type="pct"/>
        <w:tblCellSpacing w:w="7" w:type="dxa"/>
        <w:tblCellMar>
          <w:left w:w="0" w:type="dxa"/>
          <w:right w:w="0" w:type="dxa"/>
        </w:tblCellMar>
        <w:tblLook w:val="0000"/>
      </w:tblPr>
      <w:tblGrid>
        <w:gridCol w:w="9388"/>
      </w:tblGrid>
      <w:tr w:rsidR="000D1A35" w:rsidRPr="00BD0B40" w:rsidTr="007A09B9">
        <w:trPr>
          <w:trHeight w:val="1500"/>
          <w:tblCellSpacing w:w="7" w:type="dxa"/>
        </w:trPr>
        <w:tc>
          <w:tcPr>
            <w:tcW w:w="0" w:type="auto"/>
            <w:shd w:val="clear" w:color="auto" w:fill="666633"/>
            <w:vAlign w:val="center"/>
          </w:tcPr>
          <w:tbl>
            <w:tblPr>
              <w:tblW w:w="5000" w:type="pct"/>
              <w:jc w:val="center"/>
              <w:tblCellSpacing w:w="7" w:type="dxa"/>
              <w:tblCellMar>
                <w:top w:w="30" w:type="dxa"/>
                <w:left w:w="30" w:type="dxa"/>
                <w:bottom w:w="30" w:type="dxa"/>
                <w:right w:w="30" w:type="dxa"/>
              </w:tblCellMar>
              <w:tblLook w:val="0000"/>
            </w:tblPr>
            <w:tblGrid>
              <w:gridCol w:w="2609"/>
              <w:gridCol w:w="1348"/>
              <w:gridCol w:w="1349"/>
              <w:gridCol w:w="1349"/>
              <w:gridCol w:w="1349"/>
              <w:gridCol w:w="1356"/>
            </w:tblGrid>
            <w:tr w:rsidR="000D1A35" w:rsidRPr="00BD0B40" w:rsidTr="00326A63">
              <w:trPr>
                <w:tblCellSpacing w:w="7" w:type="dxa"/>
                <w:jc w:val="center"/>
              </w:trPr>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Year end</w:t>
                  </w:r>
                </w:p>
              </w:tc>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Mar 22</w:t>
                  </w:r>
                </w:p>
              </w:tc>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 xml:space="preserve">Mar 21 </w:t>
                  </w:r>
                </w:p>
              </w:tc>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 xml:space="preserve">Mar 20 </w:t>
                  </w:r>
                </w:p>
              </w:tc>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 xml:space="preserve">Mar 19 </w:t>
                  </w:r>
                </w:p>
              </w:tc>
              <w:tc>
                <w:tcPr>
                  <w:tcW w:w="0" w:type="auto"/>
                  <w:shd w:val="clear" w:color="auto" w:fill="999966"/>
                  <w:vAlign w:val="center"/>
                </w:tcPr>
                <w:p w:rsidR="000D1A35" w:rsidRPr="00BD0B40" w:rsidRDefault="000D1A35" w:rsidP="007A09B9">
                  <w:pPr>
                    <w:jc w:val="both"/>
                    <w:rPr>
                      <w:b/>
                      <w:bCs/>
                      <w:color w:val="FFFFCC"/>
                    </w:rPr>
                  </w:pPr>
                  <w:r w:rsidRPr="00BD0B40">
                    <w:rPr>
                      <w:b/>
                      <w:bCs/>
                      <w:color w:val="FFFFCC"/>
                    </w:rPr>
                    <w:t xml:space="preserve">Mar 18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EPS(Rs)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22.64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21.20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15.25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9.97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9.57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Book value(Rs)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101.60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94.96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71.26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64.32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59.44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CEPS(Rs)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33.55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30.41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22.69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16.49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13.69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NPM(%)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10.15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11.13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9.53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7.10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6.97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OPM(%)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23.20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24.60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22.72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21.32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21.46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ROCE(%)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20.53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20.27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19.24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17.43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17.95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ROE(%)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25.37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29.49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23.74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16.94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16.06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lastRenderedPageBreak/>
                    <w:t xml:space="preserve">Debt/equity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1.25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1.52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1.50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1.30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1.29 </w:t>
                  </w:r>
                </w:p>
              </w:tc>
            </w:tr>
            <w:tr w:rsidR="000D1A35" w:rsidRPr="00BD0B40" w:rsidTr="00326A63">
              <w:trPr>
                <w:tblCellSpacing w:w="7" w:type="dxa"/>
                <w:jc w:val="center"/>
              </w:trPr>
              <w:tc>
                <w:tcPr>
                  <w:tcW w:w="0" w:type="auto"/>
                  <w:shd w:val="clear" w:color="auto" w:fill="FFFFFF"/>
                  <w:vAlign w:val="center"/>
                </w:tcPr>
                <w:p w:rsidR="000D1A35" w:rsidRPr="00BD0B40" w:rsidRDefault="000D1A35" w:rsidP="007A09B9">
                  <w:pPr>
                    <w:jc w:val="both"/>
                  </w:pPr>
                  <w:r w:rsidRPr="00BD0B40">
                    <w:t xml:space="preserve">Interest cover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5.00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4.60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4.36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2.92 </w:t>
                  </w:r>
                </w:p>
              </w:tc>
              <w:tc>
                <w:tcPr>
                  <w:tcW w:w="0" w:type="auto"/>
                  <w:shd w:val="clear" w:color="auto" w:fill="FFFFCC"/>
                  <w:vAlign w:val="center"/>
                </w:tcPr>
                <w:p w:rsidR="000D1A35" w:rsidRPr="00BD0B40" w:rsidRDefault="000D1A35" w:rsidP="007A09B9">
                  <w:pPr>
                    <w:jc w:val="both"/>
                    <w:rPr>
                      <w:color w:val="000000"/>
                    </w:rPr>
                  </w:pPr>
                  <w:r w:rsidRPr="00BD0B40">
                    <w:rPr>
                      <w:color w:val="000000"/>
                    </w:rPr>
                    <w:t xml:space="preserve">2.62 </w:t>
                  </w:r>
                </w:p>
              </w:tc>
            </w:tr>
          </w:tbl>
          <w:p w:rsidR="000D1A35" w:rsidRPr="00BD0B40" w:rsidRDefault="000D1A35" w:rsidP="007A09B9">
            <w:pPr>
              <w:jc w:val="both"/>
            </w:pPr>
          </w:p>
        </w:tc>
      </w:tr>
    </w:tbl>
    <w:p w:rsidR="000D1A35" w:rsidRPr="000D1A35" w:rsidRDefault="000D1A35" w:rsidP="000D1A35">
      <w:pPr>
        <w:spacing w:line="360" w:lineRule="auto"/>
        <w:ind w:firstLine="720"/>
        <w:jc w:val="both"/>
        <w:rPr>
          <w:rFonts w:ascii="Times New Roman" w:hAnsi="Times New Roman" w:cs="Times New Roman"/>
          <w:sz w:val="24"/>
          <w:szCs w:val="24"/>
        </w:rPr>
      </w:pPr>
    </w:p>
    <w:p w:rsidR="000D1A35" w:rsidRDefault="000D1A35" w:rsidP="000D1A35">
      <w:pPr>
        <w:spacing w:line="360" w:lineRule="auto"/>
        <w:ind w:firstLine="720"/>
        <w:jc w:val="both"/>
        <w:rPr>
          <w:rFonts w:ascii="Times New Roman" w:hAnsi="Times New Roman" w:cs="Times New Roman"/>
          <w:sz w:val="24"/>
          <w:szCs w:val="24"/>
        </w:rPr>
      </w:pPr>
      <w:r w:rsidRPr="000D1A35">
        <w:rPr>
          <w:rFonts w:ascii="Times New Roman" w:hAnsi="Times New Roman" w:cs="Times New Roman"/>
          <w:sz w:val="24"/>
          <w:szCs w:val="24"/>
        </w:rPr>
        <w:t>The study was done on the ANDHRA SUGAR INDUSTRY during the month of December, even though there are fluctuations in the prices the over all performance of the organization is bullish in nature. During the analysis period the share price has reached a high of Rs. 2476and Rs.2302.</w:t>
      </w:r>
    </w:p>
    <w:p w:rsidR="000D1A35" w:rsidRDefault="000D1A35" w:rsidP="000D1A35">
      <w:pPr>
        <w:spacing w:line="360" w:lineRule="auto"/>
        <w:rPr>
          <w:rFonts w:ascii="Times New Roman" w:hAnsi="Times New Roman" w:cs="Times New Roman"/>
          <w:b/>
          <w:sz w:val="28"/>
          <w:szCs w:val="28"/>
        </w:rPr>
      </w:pPr>
      <w:r w:rsidRPr="000D1A35">
        <w:rPr>
          <w:rFonts w:ascii="Times New Roman" w:hAnsi="Times New Roman" w:cs="Times New Roman"/>
          <w:b/>
          <w:sz w:val="28"/>
          <w:szCs w:val="28"/>
        </w:rPr>
        <w:t>Findings</w:t>
      </w:r>
    </w:p>
    <w:p w:rsidR="000D1A35" w:rsidRPr="00BD0B40" w:rsidRDefault="000D1A35" w:rsidP="000D1A35">
      <w:pPr>
        <w:numPr>
          <w:ilvl w:val="0"/>
          <w:numId w:val="7"/>
        </w:numPr>
        <w:spacing w:after="0" w:line="360" w:lineRule="auto"/>
        <w:jc w:val="both"/>
      </w:pPr>
      <w:r w:rsidRPr="00BD0B40">
        <w:t>The investor can know the risk and return of the shares using this analysis.</w:t>
      </w:r>
    </w:p>
    <w:p w:rsidR="000D1A35" w:rsidRPr="00BD0B40" w:rsidRDefault="000D1A35" w:rsidP="000D1A35">
      <w:pPr>
        <w:numPr>
          <w:ilvl w:val="0"/>
          <w:numId w:val="7"/>
        </w:numPr>
        <w:spacing w:after="0" w:line="360" w:lineRule="auto"/>
        <w:jc w:val="both"/>
      </w:pPr>
      <w:r w:rsidRPr="00BD0B40">
        <w:t>The study is useful for investor to decide about the time horizon of investment.</w:t>
      </w:r>
    </w:p>
    <w:p w:rsidR="000D1A35" w:rsidRPr="00BD0B40" w:rsidRDefault="000D1A35" w:rsidP="000D1A35">
      <w:pPr>
        <w:numPr>
          <w:ilvl w:val="0"/>
          <w:numId w:val="7"/>
        </w:numPr>
        <w:spacing w:after="0" w:line="360" w:lineRule="auto"/>
        <w:jc w:val="both"/>
      </w:pPr>
      <w:r w:rsidRPr="00BD0B40">
        <w:t>The investor can estimate the future EPS and DPS with the help of the economics indicators.</w:t>
      </w:r>
    </w:p>
    <w:p w:rsidR="000D1A35" w:rsidRPr="00BD0B40" w:rsidRDefault="000D1A35" w:rsidP="000D1A35">
      <w:pPr>
        <w:numPr>
          <w:ilvl w:val="0"/>
          <w:numId w:val="7"/>
        </w:numPr>
        <w:spacing w:after="0" w:line="360" w:lineRule="auto"/>
        <w:jc w:val="both"/>
      </w:pPr>
      <w:r w:rsidRPr="00BD0B40">
        <w:t>The financial health of the company could be analyzed with funds-flow and cash statements.  The ratio analysis helps the investor to study the individual parameters like profitability, liquidity, leverage and the value of the stock.</w:t>
      </w:r>
    </w:p>
    <w:p w:rsidR="000D1A35" w:rsidRPr="00BD0B40" w:rsidRDefault="000D1A35" w:rsidP="000D1A35">
      <w:pPr>
        <w:numPr>
          <w:ilvl w:val="0"/>
          <w:numId w:val="7"/>
        </w:numPr>
        <w:spacing w:after="0" w:line="360" w:lineRule="auto"/>
        <w:jc w:val="both"/>
      </w:pPr>
      <w:r w:rsidRPr="00BD0B40">
        <w:t>The financial statements of the company reveal the information for the investor to make investments decision.</w:t>
      </w:r>
    </w:p>
    <w:p w:rsidR="000D1A35" w:rsidRDefault="000D1A35" w:rsidP="000D1A35">
      <w:pPr>
        <w:numPr>
          <w:ilvl w:val="0"/>
          <w:numId w:val="7"/>
        </w:numPr>
        <w:spacing w:after="0" w:line="360" w:lineRule="auto"/>
        <w:jc w:val="both"/>
      </w:pPr>
      <w:r w:rsidRPr="00BD0B40">
        <w:t>Technical analysis forecast the supply and demand by studying the price and volume of the trading.  Technical analysis is used to predict short-term share price movements.</w:t>
      </w:r>
    </w:p>
    <w:p w:rsidR="00762B8D" w:rsidRPr="00762B8D" w:rsidRDefault="00762B8D" w:rsidP="00762B8D">
      <w:pPr>
        <w:spacing w:after="0" w:line="360" w:lineRule="auto"/>
        <w:jc w:val="both"/>
        <w:rPr>
          <w:rFonts w:ascii="Times New Roman" w:hAnsi="Times New Roman" w:cs="Times New Roman"/>
          <w:b/>
          <w:bCs/>
          <w:sz w:val="28"/>
        </w:rPr>
      </w:pPr>
      <w:r w:rsidRPr="00762B8D">
        <w:rPr>
          <w:rFonts w:ascii="Times New Roman" w:hAnsi="Times New Roman" w:cs="Times New Roman"/>
          <w:b/>
          <w:bCs/>
          <w:sz w:val="28"/>
        </w:rPr>
        <w:t>Suggestions</w:t>
      </w:r>
    </w:p>
    <w:p w:rsidR="000D1A35" w:rsidRPr="00BD0B40" w:rsidRDefault="000D1A35" w:rsidP="000D1A35">
      <w:pPr>
        <w:numPr>
          <w:ilvl w:val="0"/>
          <w:numId w:val="7"/>
        </w:numPr>
        <w:tabs>
          <w:tab w:val="left" w:pos="360"/>
        </w:tabs>
        <w:spacing w:after="0" w:line="360" w:lineRule="auto"/>
        <w:jc w:val="both"/>
      </w:pPr>
      <w:r w:rsidRPr="00BD0B40">
        <w:t>The investor must check the position of liquidity prior to the investment in the shares.  All ‘A’ group shares have high liquidity, investment in ‘A’ group are of low risk.</w:t>
      </w:r>
    </w:p>
    <w:p w:rsidR="000D1A35" w:rsidRPr="00BD0B40" w:rsidRDefault="000D1A35" w:rsidP="000D1A35">
      <w:pPr>
        <w:numPr>
          <w:ilvl w:val="0"/>
          <w:numId w:val="7"/>
        </w:numPr>
        <w:tabs>
          <w:tab w:val="left" w:pos="360"/>
        </w:tabs>
        <w:spacing w:after="0" w:line="360" w:lineRule="auto"/>
        <w:jc w:val="both"/>
      </w:pPr>
      <w:r w:rsidRPr="00BD0B40">
        <w:t>Avoid buying the shares of the company that have an equity capital of less than 10 crores.</w:t>
      </w:r>
    </w:p>
    <w:p w:rsidR="000D1A35" w:rsidRPr="00BD0B40" w:rsidRDefault="000D1A35" w:rsidP="000D1A35">
      <w:pPr>
        <w:numPr>
          <w:ilvl w:val="0"/>
          <w:numId w:val="7"/>
        </w:numPr>
        <w:tabs>
          <w:tab w:val="left" w:pos="360"/>
        </w:tabs>
        <w:spacing w:after="0" w:line="360" w:lineRule="auto"/>
        <w:jc w:val="both"/>
      </w:pPr>
      <w:r w:rsidRPr="00BD0B40">
        <w:t>Avoid buying the shares of the company where the number of share holders is less than ten thousand.</w:t>
      </w:r>
    </w:p>
    <w:p w:rsidR="000D1A35" w:rsidRDefault="000D1A35" w:rsidP="000D1A35">
      <w:pPr>
        <w:numPr>
          <w:ilvl w:val="0"/>
          <w:numId w:val="7"/>
        </w:numPr>
        <w:tabs>
          <w:tab w:val="left" w:pos="360"/>
        </w:tabs>
        <w:spacing w:after="0" w:line="360" w:lineRule="auto"/>
        <w:jc w:val="both"/>
      </w:pPr>
      <w:r w:rsidRPr="00BD0B40">
        <w:t>Avoid buying the shares of the company that are traded infrequently or not traded in the stock exchanges.</w:t>
      </w:r>
    </w:p>
    <w:p w:rsidR="005A521B" w:rsidRDefault="005A521B" w:rsidP="005A521B">
      <w:pPr>
        <w:tabs>
          <w:tab w:val="left" w:pos="360"/>
        </w:tabs>
        <w:spacing w:after="0" w:line="360" w:lineRule="auto"/>
        <w:jc w:val="both"/>
      </w:pPr>
    </w:p>
    <w:p w:rsidR="005A521B" w:rsidRDefault="005A521B" w:rsidP="005A521B">
      <w:pPr>
        <w:tabs>
          <w:tab w:val="left" w:pos="360"/>
        </w:tabs>
        <w:spacing w:after="0" w:line="360" w:lineRule="auto"/>
        <w:jc w:val="both"/>
      </w:pPr>
    </w:p>
    <w:p w:rsidR="005A521B" w:rsidRDefault="005A521B" w:rsidP="005A521B">
      <w:pPr>
        <w:tabs>
          <w:tab w:val="left" w:pos="360"/>
        </w:tabs>
        <w:spacing w:after="0" w:line="360" w:lineRule="auto"/>
        <w:jc w:val="both"/>
      </w:pPr>
    </w:p>
    <w:p w:rsidR="005A521B" w:rsidRDefault="005A521B" w:rsidP="005A521B">
      <w:pPr>
        <w:tabs>
          <w:tab w:val="left" w:pos="360"/>
        </w:tabs>
        <w:spacing w:after="0" w:line="360" w:lineRule="auto"/>
        <w:jc w:val="both"/>
      </w:pPr>
    </w:p>
    <w:p w:rsidR="005A521B" w:rsidRDefault="005A521B" w:rsidP="005A521B">
      <w:pPr>
        <w:tabs>
          <w:tab w:val="left" w:pos="360"/>
        </w:tabs>
        <w:spacing w:after="0" w:line="360" w:lineRule="auto"/>
        <w:jc w:val="both"/>
      </w:pPr>
    </w:p>
    <w:p w:rsidR="005A521B" w:rsidRDefault="005A521B" w:rsidP="005A521B">
      <w:pPr>
        <w:tabs>
          <w:tab w:val="left" w:pos="360"/>
        </w:tabs>
        <w:spacing w:after="0" w:line="360" w:lineRule="auto"/>
        <w:jc w:val="both"/>
        <w:rPr>
          <w:rFonts w:ascii="Times New Roman" w:hAnsi="Times New Roman" w:cs="Times New Roman"/>
          <w:b/>
          <w:bCs/>
          <w:sz w:val="28"/>
        </w:rPr>
      </w:pPr>
      <w:r w:rsidRPr="005A521B">
        <w:rPr>
          <w:rFonts w:ascii="Times New Roman" w:hAnsi="Times New Roman" w:cs="Times New Roman"/>
          <w:b/>
          <w:bCs/>
          <w:sz w:val="28"/>
        </w:rPr>
        <w:t>Conclusion</w:t>
      </w:r>
    </w:p>
    <w:p w:rsidR="005A521B" w:rsidRPr="005A521B" w:rsidRDefault="005A521B" w:rsidP="005A521B">
      <w:pPr>
        <w:tabs>
          <w:tab w:val="left" w:pos="1800"/>
          <w:tab w:val="left" w:pos="3615"/>
        </w:tabs>
        <w:spacing w:line="360" w:lineRule="auto"/>
        <w:jc w:val="both"/>
        <w:rPr>
          <w:rFonts w:ascii="Times New Roman" w:hAnsi="Times New Roman" w:cs="Times New Roman"/>
          <w:color w:val="111111"/>
          <w:spacing w:val="1"/>
          <w:sz w:val="24"/>
          <w:szCs w:val="24"/>
          <w:shd w:val="clear" w:color="auto" w:fill="FFFFFF"/>
        </w:rPr>
      </w:pPr>
      <w:r>
        <w:rPr>
          <w:color w:val="111111"/>
          <w:spacing w:val="1"/>
          <w:shd w:val="clear" w:color="auto" w:fill="FFFFFF"/>
        </w:rPr>
        <w:tab/>
      </w:r>
      <w:r w:rsidRPr="005A521B">
        <w:rPr>
          <w:rFonts w:ascii="Times New Roman" w:hAnsi="Times New Roman" w:cs="Times New Roman"/>
          <w:color w:val="111111"/>
          <w:spacing w:val="1"/>
          <w:sz w:val="24"/>
          <w:szCs w:val="24"/>
          <w:shd w:val="clear" w:color="auto" w:fill="FFFFFF"/>
        </w:rPr>
        <w:t>Fundamental analysis allows you to see what the market value for a company should be. Many investors only look at the price a stock is currently trading at and what it has traded at instead of analyzing what lies behind the stock. A stock is issued by a company, so its overall performance is related to the financial performance of the company.</w:t>
      </w:r>
      <w:r w:rsidRPr="005A521B">
        <w:rPr>
          <w:rFonts w:ascii="Times New Roman" w:hAnsi="Times New Roman" w:cs="Times New Roman"/>
          <w:sz w:val="24"/>
          <w:szCs w:val="24"/>
        </w:rPr>
        <w:t xml:space="preserve"> </w:t>
      </w:r>
      <w:r w:rsidRPr="005A521B">
        <w:rPr>
          <w:rFonts w:ascii="Times New Roman" w:hAnsi="Times New Roman" w:cs="Times New Roman"/>
          <w:color w:val="111111"/>
          <w:spacing w:val="1"/>
          <w:sz w:val="24"/>
          <w:szCs w:val="24"/>
          <w:shd w:val="clear" w:color="auto" w:fill="FFFFFF"/>
        </w:rPr>
        <w:t xml:space="preserve"> The earning of the company, the growth rate and the risk exposure of the company has a direct bearing on the share. These factors in turn rely on other factors like economic environment in which they function, the industry they belong to, and finally companies own performance. </w:t>
      </w:r>
    </w:p>
    <w:p w:rsidR="00762B8D" w:rsidRPr="00762B8D" w:rsidRDefault="00762B8D" w:rsidP="00762B8D">
      <w:pPr>
        <w:rPr>
          <w:rFonts w:ascii="Times New Roman" w:hAnsi="Times New Roman" w:cs="Times New Roman"/>
          <w:b/>
          <w:sz w:val="28"/>
          <w:szCs w:val="28"/>
        </w:rPr>
      </w:pPr>
      <w:r w:rsidRPr="00762B8D">
        <w:rPr>
          <w:rFonts w:ascii="Times New Roman" w:hAnsi="Times New Roman" w:cs="Times New Roman"/>
          <w:b/>
          <w:sz w:val="28"/>
          <w:szCs w:val="28"/>
        </w:rPr>
        <w:t>Bibliograph</w:t>
      </w:r>
      <w:r>
        <w:rPr>
          <w:rFonts w:ascii="Times New Roman" w:hAnsi="Times New Roman" w:cs="Times New Roman"/>
          <w:b/>
          <w:sz w:val="28"/>
          <w:szCs w:val="28"/>
        </w:rPr>
        <w:t>y</w:t>
      </w:r>
    </w:p>
    <w:p w:rsidR="00762B8D" w:rsidRPr="00762B8D" w:rsidRDefault="00762B8D" w:rsidP="00762B8D">
      <w:pPr>
        <w:jc w:val="both"/>
        <w:rPr>
          <w:rFonts w:ascii="Times New Roman" w:hAnsi="Times New Roman" w:cs="Times New Roman"/>
          <w:b/>
          <w:sz w:val="24"/>
          <w:szCs w:val="24"/>
        </w:rPr>
      </w:pPr>
      <w:r>
        <w:rPr>
          <w:rFonts w:ascii="Times New Roman" w:hAnsi="Times New Roman" w:cs="Times New Roman"/>
          <w:b/>
          <w:sz w:val="24"/>
          <w:szCs w:val="24"/>
        </w:rPr>
        <w:t xml:space="preserve">Books </w:t>
      </w:r>
    </w:p>
    <w:p w:rsidR="00762B8D" w:rsidRPr="00BD0B40" w:rsidRDefault="00762B8D" w:rsidP="00762B8D">
      <w:pPr>
        <w:numPr>
          <w:ilvl w:val="0"/>
          <w:numId w:val="9"/>
        </w:numPr>
        <w:spacing w:after="0" w:line="360" w:lineRule="auto"/>
        <w:jc w:val="both"/>
      </w:pPr>
      <w:r w:rsidRPr="00BD0B40">
        <w:t>Security analysis and portfolio management</w:t>
      </w:r>
    </w:p>
    <w:p w:rsidR="00762B8D" w:rsidRPr="00BD0B40" w:rsidRDefault="00762B8D" w:rsidP="00762B8D">
      <w:pPr>
        <w:pStyle w:val="Subtitle"/>
        <w:numPr>
          <w:ilvl w:val="0"/>
          <w:numId w:val="9"/>
        </w:numPr>
        <w:spacing w:line="360" w:lineRule="auto"/>
        <w:jc w:val="left"/>
        <w:rPr>
          <w:sz w:val="24"/>
        </w:rPr>
      </w:pPr>
      <w:r w:rsidRPr="00BD0B40">
        <w:rPr>
          <w:sz w:val="24"/>
        </w:rPr>
        <w:t>Punithiavathy pandian, “Security Analysis and portfolio Management” Vikas Publishing House Pvt. Ltd</w:t>
      </w:r>
    </w:p>
    <w:p w:rsidR="00762B8D" w:rsidRPr="00BD0B40" w:rsidRDefault="00762B8D" w:rsidP="00762B8D">
      <w:pPr>
        <w:pStyle w:val="Subtitle"/>
        <w:numPr>
          <w:ilvl w:val="0"/>
          <w:numId w:val="9"/>
        </w:numPr>
        <w:spacing w:line="360" w:lineRule="auto"/>
        <w:jc w:val="left"/>
        <w:rPr>
          <w:sz w:val="24"/>
        </w:rPr>
      </w:pPr>
      <w:r w:rsidRPr="00BD0B40">
        <w:rPr>
          <w:sz w:val="24"/>
        </w:rPr>
        <w:t>Book of Readings, “Security Analysis”, ICFAI University</w:t>
      </w:r>
    </w:p>
    <w:p w:rsidR="00762B8D" w:rsidRPr="00BD0B40" w:rsidRDefault="00762B8D" w:rsidP="00762B8D">
      <w:pPr>
        <w:pStyle w:val="Subtitle"/>
        <w:numPr>
          <w:ilvl w:val="0"/>
          <w:numId w:val="9"/>
        </w:numPr>
        <w:spacing w:line="360" w:lineRule="auto"/>
        <w:jc w:val="left"/>
        <w:rPr>
          <w:sz w:val="24"/>
        </w:rPr>
      </w:pPr>
      <w:r w:rsidRPr="00BD0B40">
        <w:rPr>
          <w:sz w:val="24"/>
        </w:rPr>
        <w:t xml:space="preserve">S. Kevin, “security analysis and portfolio management” </w:t>
      </w:r>
      <w:r w:rsidRPr="00BD0B40">
        <w:rPr>
          <w:color w:val="000000"/>
          <w:sz w:val="24"/>
          <w:shd w:val="clear" w:color="auto" w:fill="FFFFFF"/>
        </w:rPr>
        <w:t>PHI Learning Pvt. Ltd.</w:t>
      </w:r>
    </w:p>
    <w:p w:rsidR="00762B8D" w:rsidRPr="00BD0B40" w:rsidRDefault="00762B8D" w:rsidP="00762B8D">
      <w:pPr>
        <w:pStyle w:val="Subtitle"/>
        <w:numPr>
          <w:ilvl w:val="0"/>
          <w:numId w:val="9"/>
        </w:numPr>
        <w:spacing w:line="360" w:lineRule="auto"/>
        <w:jc w:val="left"/>
        <w:rPr>
          <w:sz w:val="24"/>
        </w:rPr>
      </w:pPr>
      <w:r w:rsidRPr="00BD0B40">
        <w:rPr>
          <w:sz w:val="24"/>
        </w:rPr>
        <w:t>Prasanna Chandra “ investment analysis and portfolio management” TMH 3</w:t>
      </w:r>
      <w:r w:rsidRPr="00BD0B40">
        <w:rPr>
          <w:sz w:val="24"/>
          <w:vertAlign w:val="superscript"/>
        </w:rPr>
        <w:t>rd</w:t>
      </w:r>
      <w:r w:rsidRPr="00BD0B40">
        <w:rPr>
          <w:sz w:val="24"/>
        </w:rPr>
        <w:t xml:space="preserve"> ED</w:t>
      </w:r>
    </w:p>
    <w:p w:rsidR="00762B8D" w:rsidRPr="00BD0B40" w:rsidRDefault="00762B8D" w:rsidP="00762B8D">
      <w:pPr>
        <w:pStyle w:val="Subtitle"/>
        <w:spacing w:line="360" w:lineRule="auto"/>
        <w:ind w:left="720"/>
        <w:jc w:val="left"/>
        <w:rPr>
          <w:sz w:val="24"/>
        </w:rPr>
      </w:pPr>
    </w:p>
    <w:p w:rsidR="00762B8D" w:rsidRPr="00762B8D" w:rsidRDefault="00762B8D" w:rsidP="00762B8D">
      <w:pPr>
        <w:jc w:val="both"/>
        <w:rPr>
          <w:rFonts w:ascii="Times New Roman" w:hAnsi="Times New Roman" w:cs="Times New Roman"/>
          <w:b/>
          <w:sz w:val="24"/>
          <w:szCs w:val="24"/>
        </w:rPr>
      </w:pPr>
      <w:r w:rsidRPr="00762B8D">
        <w:rPr>
          <w:rFonts w:ascii="Times New Roman" w:hAnsi="Times New Roman" w:cs="Times New Roman"/>
          <w:b/>
          <w:sz w:val="24"/>
          <w:szCs w:val="24"/>
        </w:rPr>
        <w:t>Websites</w:t>
      </w:r>
    </w:p>
    <w:p w:rsidR="00762B8D" w:rsidRPr="00CB5AC9" w:rsidRDefault="00762B8D" w:rsidP="00762B8D">
      <w:pPr>
        <w:numPr>
          <w:ilvl w:val="0"/>
          <w:numId w:val="10"/>
        </w:numPr>
        <w:spacing w:after="0" w:line="360" w:lineRule="auto"/>
        <w:jc w:val="both"/>
        <w:rPr>
          <w:color w:val="000000"/>
        </w:rPr>
      </w:pPr>
      <w:r w:rsidRPr="00CB5AC9">
        <w:rPr>
          <w:color w:val="000000"/>
        </w:rPr>
        <w:t xml:space="preserve"> </w:t>
      </w:r>
      <w:hyperlink r:id="rId13" w:history="1">
        <w:r w:rsidRPr="000B2B07">
          <w:rPr>
            <w:rStyle w:val="Hyperlink"/>
          </w:rPr>
          <w:t>www.nseIndia.com</w:t>
        </w:r>
      </w:hyperlink>
      <w:r>
        <w:rPr>
          <w:color w:val="000000"/>
        </w:rPr>
        <w:t xml:space="preserve"> </w:t>
      </w:r>
    </w:p>
    <w:p w:rsidR="00762B8D" w:rsidRPr="00CB5AC9" w:rsidRDefault="005E581E" w:rsidP="00762B8D">
      <w:pPr>
        <w:numPr>
          <w:ilvl w:val="0"/>
          <w:numId w:val="10"/>
        </w:numPr>
        <w:spacing w:after="0" w:line="360" w:lineRule="auto"/>
        <w:jc w:val="both"/>
        <w:rPr>
          <w:color w:val="000000"/>
        </w:rPr>
      </w:pPr>
      <w:hyperlink r:id="rId14" w:history="1">
        <w:r w:rsidR="00762B8D" w:rsidRPr="000B2B07">
          <w:rPr>
            <w:rStyle w:val="Hyperlink"/>
          </w:rPr>
          <w:t>www.moneypore.com</w:t>
        </w:r>
      </w:hyperlink>
      <w:r w:rsidR="00762B8D">
        <w:rPr>
          <w:color w:val="000000"/>
        </w:rPr>
        <w:t xml:space="preserve"> </w:t>
      </w:r>
    </w:p>
    <w:p w:rsidR="00762B8D" w:rsidRPr="00CB5AC9" w:rsidRDefault="005E581E" w:rsidP="00762B8D">
      <w:pPr>
        <w:numPr>
          <w:ilvl w:val="0"/>
          <w:numId w:val="10"/>
        </w:numPr>
        <w:spacing w:after="0" w:line="360" w:lineRule="auto"/>
        <w:jc w:val="both"/>
        <w:rPr>
          <w:color w:val="000000"/>
        </w:rPr>
      </w:pPr>
      <w:hyperlink r:id="rId15" w:history="1">
        <w:r w:rsidR="00762B8D" w:rsidRPr="000B2B07">
          <w:rPr>
            <w:rStyle w:val="Hyperlink"/>
          </w:rPr>
          <w:t>www.yahoofinance.com</w:t>
        </w:r>
      </w:hyperlink>
      <w:r w:rsidR="00762B8D">
        <w:rPr>
          <w:color w:val="000000"/>
        </w:rPr>
        <w:t xml:space="preserve"> </w:t>
      </w:r>
    </w:p>
    <w:p w:rsidR="00762B8D" w:rsidRPr="00CB5AC9" w:rsidRDefault="005E581E" w:rsidP="00762B8D">
      <w:pPr>
        <w:numPr>
          <w:ilvl w:val="0"/>
          <w:numId w:val="10"/>
        </w:numPr>
        <w:spacing w:after="0" w:line="360" w:lineRule="auto"/>
        <w:jc w:val="both"/>
        <w:rPr>
          <w:color w:val="000000"/>
        </w:rPr>
      </w:pPr>
      <w:hyperlink r:id="rId16" w:history="1">
        <w:r w:rsidR="00762B8D" w:rsidRPr="000B2B07">
          <w:rPr>
            <w:rStyle w:val="Hyperlink"/>
          </w:rPr>
          <w:t>www.bseIndia.com</w:t>
        </w:r>
      </w:hyperlink>
    </w:p>
    <w:p w:rsidR="00762B8D" w:rsidRPr="00CB5AC9" w:rsidRDefault="005E581E" w:rsidP="00762B8D">
      <w:pPr>
        <w:numPr>
          <w:ilvl w:val="0"/>
          <w:numId w:val="10"/>
        </w:numPr>
        <w:spacing w:after="0" w:line="360" w:lineRule="auto"/>
        <w:jc w:val="both"/>
        <w:rPr>
          <w:color w:val="000000"/>
        </w:rPr>
      </w:pPr>
      <w:hyperlink r:id="rId17" w:history="1">
        <w:r w:rsidR="00762B8D" w:rsidRPr="000B2B07">
          <w:rPr>
            <w:rStyle w:val="Hyperlink"/>
          </w:rPr>
          <w:t>www.Kotaksec.com</w:t>
        </w:r>
      </w:hyperlink>
      <w:r w:rsidR="00762B8D">
        <w:rPr>
          <w:color w:val="000000"/>
        </w:rPr>
        <w:t xml:space="preserve"> </w:t>
      </w:r>
    </w:p>
    <w:p w:rsidR="00762B8D" w:rsidRPr="00BD0B40" w:rsidRDefault="00762B8D" w:rsidP="00762B8D">
      <w:pPr>
        <w:tabs>
          <w:tab w:val="left" w:pos="360"/>
        </w:tabs>
        <w:spacing w:after="0" w:line="360" w:lineRule="auto"/>
        <w:jc w:val="both"/>
      </w:pPr>
    </w:p>
    <w:p w:rsidR="000D1A35" w:rsidRPr="00BD0B40" w:rsidRDefault="000D1A35" w:rsidP="000D1A35">
      <w:pPr>
        <w:spacing w:after="0" w:line="360" w:lineRule="auto"/>
        <w:jc w:val="both"/>
      </w:pPr>
    </w:p>
    <w:p w:rsidR="000D1A35" w:rsidRPr="000D1A35" w:rsidRDefault="000D1A35" w:rsidP="000D1A35">
      <w:pPr>
        <w:spacing w:line="360" w:lineRule="auto"/>
        <w:rPr>
          <w:rFonts w:ascii="Times New Roman" w:hAnsi="Times New Roman" w:cs="Times New Roman"/>
          <w:sz w:val="24"/>
          <w:szCs w:val="24"/>
        </w:rPr>
      </w:pPr>
    </w:p>
    <w:p w:rsidR="000D1A35" w:rsidRDefault="000D1A35" w:rsidP="00222C79">
      <w:pPr>
        <w:rPr>
          <w:rFonts w:ascii="Times New Roman" w:hAnsi="Times New Roman" w:cs="Times New Roman"/>
          <w:b/>
          <w:bCs/>
          <w:sz w:val="28"/>
          <w:szCs w:val="24"/>
        </w:rPr>
      </w:pPr>
    </w:p>
    <w:p w:rsidR="000D1A35" w:rsidRPr="000D1A35" w:rsidRDefault="000D1A35" w:rsidP="00222C79">
      <w:pPr>
        <w:rPr>
          <w:rFonts w:ascii="Times New Roman" w:hAnsi="Times New Roman" w:cs="Times New Roman"/>
          <w:b/>
          <w:bCs/>
          <w:sz w:val="28"/>
          <w:szCs w:val="24"/>
        </w:rPr>
      </w:pPr>
    </w:p>
    <w:sectPr w:rsidR="000D1A35" w:rsidRPr="000D1A35" w:rsidSect="00B66D4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5F9" w:rsidRDefault="00B845F9" w:rsidP="005A521B">
      <w:pPr>
        <w:spacing w:after="0" w:line="240" w:lineRule="auto"/>
      </w:pPr>
      <w:r>
        <w:separator/>
      </w:r>
    </w:p>
  </w:endnote>
  <w:endnote w:type="continuationSeparator" w:id="1">
    <w:p w:rsidR="00B845F9" w:rsidRDefault="00B845F9" w:rsidP="005A5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5F9" w:rsidRDefault="00B845F9" w:rsidP="005A521B">
      <w:pPr>
        <w:spacing w:after="0" w:line="240" w:lineRule="auto"/>
      </w:pPr>
      <w:r>
        <w:separator/>
      </w:r>
    </w:p>
  </w:footnote>
  <w:footnote w:type="continuationSeparator" w:id="1">
    <w:p w:rsidR="00B845F9" w:rsidRDefault="00B845F9" w:rsidP="005A52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D92"/>
    <w:multiLevelType w:val="hybridMultilevel"/>
    <w:tmpl w:val="4754D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C19CE"/>
    <w:multiLevelType w:val="hybridMultilevel"/>
    <w:tmpl w:val="518E0956"/>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42B6AD0"/>
    <w:multiLevelType w:val="hybridMultilevel"/>
    <w:tmpl w:val="FABEFE0C"/>
    <w:lvl w:ilvl="0" w:tplc="0409000D">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nsid w:val="2F910778"/>
    <w:multiLevelType w:val="hybridMultilevel"/>
    <w:tmpl w:val="8D186748"/>
    <w:lvl w:ilvl="0" w:tplc="40090011">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
    <w:nsid w:val="36215CF1"/>
    <w:multiLevelType w:val="hybridMultilevel"/>
    <w:tmpl w:val="3822EDB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5">
    <w:nsid w:val="415631A6"/>
    <w:multiLevelType w:val="hybridMultilevel"/>
    <w:tmpl w:val="CAD62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AE210E4"/>
    <w:multiLevelType w:val="hybridMultilevel"/>
    <w:tmpl w:val="64DA7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7261E0"/>
    <w:multiLevelType w:val="hybridMultilevel"/>
    <w:tmpl w:val="2BC2408A"/>
    <w:lvl w:ilvl="0" w:tplc="04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9A4159F"/>
    <w:multiLevelType w:val="hybridMultilevel"/>
    <w:tmpl w:val="76448D9A"/>
    <w:lvl w:ilvl="0" w:tplc="04090001">
      <w:start w:val="1"/>
      <w:numFmt w:val="bullet"/>
      <w:lvlText w:val=""/>
      <w:lvlJc w:val="left"/>
      <w:pPr>
        <w:ind w:left="820" w:hanging="360"/>
      </w:pPr>
      <w:rPr>
        <w:rFonts w:ascii="Symbol" w:hAnsi="Symbol"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nsid w:val="6B9511D0"/>
    <w:multiLevelType w:val="hybridMultilevel"/>
    <w:tmpl w:val="FC780A9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
  </w:num>
  <w:num w:numId="7">
    <w:abstractNumId w:val="7"/>
  </w:num>
  <w:num w:numId="8">
    <w:abstractNumId w:val="4"/>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222C79"/>
    <w:rsid w:val="000D1A35"/>
    <w:rsid w:val="0016216F"/>
    <w:rsid w:val="00222C79"/>
    <w:rsid w:val="00326A63"/>
    <w:rsid w:val="005A521B"/>
    <w:rsid w:val="005E581E"/>
    <w:rsid w:val="006B52C6"/>
    <w:rsid w:val="00762B8D"/>
    <w:rsid w:val="009B52E2"/>
    <w:rsid w:val="00AC75EB"/>
    <w:rsid w:val="00B66D4C"/>
    <w:rsid w:val="00B845F9"/>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2C79"/>
    <w:rPr>
      <w:color w:val="0000FF"/>
      <w:u w:val="single"/>
    </w:rPr>
  </w:style>
  <w:style w:type="character" w:customStyle="1" w:styleId="tutorialsmainbody1">
    <w:name w:val="tutorials_mainbody1"/>
    <w:basedOn w:val="DefaultParagraphFont"/>
    <w:rsid w:val="00222C79"/>
    <w:rPr>
      <w:rFonts w:ascii="Arial" w:hAnsi="Arial" w:cs="Arial" w:hint="default"/>
      <w:i w:val="0"/>
      <w:iCs w:val="0"/>
      <w:sz w:val="18"/>
      <w:szCs w:val="18"/>
    </w:rPr>
  </w:style>
  <w:style w:type="paragraph" w:styleId="ListParagraph">
    <w:name w:val="List Paragraph"/>
    <w:basedOn w:val="Normal"/>
    <w:uiPriority w:val="34"/>
    <w:qFormat/>
    <w:rsid w:val="00222C79"/>
    <w:pPr>
      <w:ind w:left="720"/>
      <w:contextualSpacing/>
    </w:pPr>
  </w:style>
  <w:style w:type="character" w:styleId="Strong">
    <w:name w:val="Strong"/>
    <w:basedOn w:val="DefaultParagraphFont"/>
    <w:uiPriority w:val="22"/>
    <w:qFormat/>
    <w:rsid w:val="00222C79"/>
    <w:rPr>
      <w:b/>
      <w:bCs/>
    </w:rPr>
  </w:style>
  <w:style w:type="paragraph" w:styleId="BodyText">
    <w:name w:val="Body Text"/>
    <w:basedOn w:val="Normal"/>
    <w:link w:val="BodyTextChar"/>
    <w:rsid w:val="00222C79"/>
    <w:pPr>
      <w:spacing w:after="0" w:line="240" w:lineRule="auto"/>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222C79"/>
    <w:rPr>
      <w:rFonts w:ascii="Times New Roman" w:eastAsia="Times New Roman" w:hAnsi="Times New Roman" w:cs="Times New Roman"/>
      <w:sz w:val="24"/>
      <w:szCs w:val="24"/>
      <w:lang w:bidi="ar-SA"/>
    </w:rPr>
  </w:style>
  <w:style w:type="paragraph" w:styleId="Subtitle">
    <w:name w:val="Subtitle"/>
    <w:basedOn w:val="Normal"/>
    <w:link w:val="SubtitleChar"/>
    <w:qFormat/>
    <w:rsid w:val="00762B8D"/>
    <w:pPr>
      <w:spacing w:after="0" w:line="240" w:lineRule="auto"/>
      <w:jc w:val="center"/>
    </w:pPr>
    <w:rPr>
      <w:rFonts w:ascii="Times New Roman" w:eastAsia="Times New Roman" w:hAnsi="Times New Roman" w:cs="Times New Roman"/>
      <w:sz w:val="28"/>
      <w:szCs w:val="24"/>
      <w:lang w:bidi="ar-SA"/>
    </w:rPr>
  </w:style>
  <w:style w:type="character" w:customStyle="1" w:styleId="SubtitleChar">
    <w:name w:val="Subtitle Char"/>
    <w:basedOn w:val="DefaultParagraphFont"/>
    <w:link w:val="Subtitle"/>
    <w:rsid w:val="00762B8D"/>
    <w:rPr>
      <w:rFonts w:ascii="Times New Roman" w:eastAsia="Times New Roman" w:hAnsi="Times New Roman" w:cs="Times New Roman"/>
      <w:sz w:val="28"/>
      <w:szCs w:val="24"/>
      <w:lang w:bidi="ar-SA"/>
    </w:rPr>
  </w:style>
  <w:style w:type="paragraph" w:styleId="Header">
    <w:name w:val="header"/>
    <w:basedOn w:val="Normal"/>
    <w:link w:val="HeaderChar"/>
    <w:uiPriority w:val="99"/>
    <w:semiHidden/>
    <w:unhideWhenUsed/>
    <w:rsid w:val="005A521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21B"/>
  </w:style>
  <w:style w:type="paragraph" w:styleId="Footer">
    <w:name w:val="footer"/>
    <w:basedOn w:val="Normal"/>
    <w:link w:val="FooterChar"/>
    <w:uiPriority w:val="99"/>
    <w:semiHidden/>
    <w:unhideWhenUsed/>
    <w:rsid w:val="005A52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52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c/cashflowstatement.asp" TargetMode="External"/><Relationship Id="rId13" Type="http://schemas.openxmlformats.org/officeDocument/2006/relationships/hyperlink" Target="http://www.nseInd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stopedia.com/terms/b/balancesheet.asp" TargetMode="External"/><Relationship Id="rId12" Type="http://schemas.openxmlformats.org/officeDocument/2006/relationships/hyperlink" Target="http://www.investopedia.com/terms/c/chartist.asp" TargetMode="External"/><Relationship Id="rId17" Type="http://schemas.openxmlformats.org/officeDocument/2006/relationships/hyperlink" Target="http://www.Kotaksec.com" TargetMode="External"/><Relationship Id="rId2" Type="http://schemas.openxmlformats.org/officeDocument/2006/relationships/styles" Target="styles.xml"/><Relationship Id="rId16" Type="http://schemas.openxmlformats.org/officeDocument/2006/relationships/hyperlink" Target="http://www.bseIndi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vestopedia.com/terms/t/technicalanalysis.asp" TargetMode="External"/><Relationship Id="rId5" Type="http://schemas.openxmlformats.org/officeDocument/2006/relationships/footnotes" Target="footnotes.xml"/><Relationship Id="rId15" Type="http://schemas.openxmlformats.org/officeDocument/2006/relationships/hyperlink" Target="http://www.yahoofinance.com" TargetMode="External"/><Relationship Id="rId10" Type="http://schemas.openxmlformats.org/officeDocument/2006/relationships/hyperlink" Target="http://www.investopedia.com/terms/f/fundamentalanalysis.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estopedia.com/terms/i/incomestatement.asp" TargetMode="External"/><Relationship Id="rId14" Type="http://schemas.openxmlformats.org/officeDocument/2006/relationships/hyperlink" Target="http://www.moneypo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2023-08-24T16:01:00Z</dcterms:created>
  <dcterms:modified xsi:type="dcterms:W3CDTF">2023-08-27T01:58:00Z</dcterms:modified>
</cp:coreProperties>
</file>