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Bdr>
          <w:top w:space="0" w:sz="0" w:val="nil"/>
          <w:left w:space="0" w:sz="0" w:val="nil"/>
          <w:bottom w:space="0" w:sz="0" w:val="nil"/>
          <w:right w:space="0" w:sz="0" w:val="nil"/>
          <w:between w:space="0" w:sz="0" w:val="nil"/>
        </w:pBdr>
        <w:rPr/>
      </w:pPr>
      <w:bookmarkStart w:colFirst="0" w:colLast="0" w:name="_gjdgxs" w:id="0"/>
      <w:bookmarkEnd w:id="0"/>
      <w:r w:rsidDel="00000000" w:rsidR="00000000" w:rsidRPr="00000000">
        <w:rPr>
          <w:b w:val="1"/>
          <w:rtl w:val="0"/>
        </w:rPr>
        <w:t xml:space="preserve">"Unveiling the Shadows: Exploring the Dark Triad Personality Traits and Gender Disparities</w:t>
      </w:r>
      <w:r w:rsidDel="00000000" w:rsidR="00000000" w:rsidRPr="00000000">
        <w:rPr>
          <w:rtl w:val="0"/>
        </w:rPr>
        <w:t xml:space="preserve">"</w:t>
      </w:r>
    </w:p>
    <w:p w:rsidR="00000000" w:rsidDel="00000000" w:rsidP="00000000" w:rsidRDefault="00000000" w:rsidRPr="00000000" w14:paraId="00000002">
      <w:pPr>
        <w:jc w:val="center"/>
        <w:rPr/>
      </w:pPr>
      <w:r w:rsidDel="00000000" w:rsidR="00000000" w:rsidRPr="00000000">
        <w:rPr>
          <w:rtl w:val="0"/>
        </w:rPr>
        <w:t xml:space="preserve">Vikas Bodhak   </w:t>
      </w:r>
    </w:p>
    <w:p w:rsidR="00000000" w:rsidDel="00000000" w:rsidP="00000000" w:rsidRDefault="00000000" w:rsidRPr="00000000" w14:paraId="00000003">
      <w:pPr>
        <w:jc w:val="center"/>
        <w:rPr/>
      </w:pPr>
      <w:r w:rsidDel="00000000" w:rsidR="00000000" w:rsidRPr="00000000">
        <w:rPr>
          <w:rtl w:val="0"/>
        </w:rPr>
        <w:t xml:space="preserve">MA Psychology,</w:t>
      </w:r>
    </w:p>
    <w:p w:rsidR="00000000" w:rsidDel="00000000" w:rsidP="00000000" w:rsidRDefault="00000000" w:rsidRPr="00000000" w14:paraId="00000004">
      <w:pPr>
        <w:jc w:val="center"/>
        <w:rPr/>
      </w:pPr>
      <w:r w:rsidDel="00000000" w:rsidR="00000000" w:rsidRPr="00000000">
        <w:rPr>
          <w:rtl w:val="0"/>
        </w:rPr>
        <w:t xml:space="preserve">Department of Psychology. </w:t>
      </w:r>
    </w:p>
    <w:p w:rsidR="00000000" w:rsidDel="00000000" w:rsidP="00000000" w:rsidRDefault="00000000" w:rsidRPr="00000000" w14:paraId="00000005">
      <w:pPr>
        <w:jc w:val="center"/>
        <w:rPr/>
      </w:pPr>
      <w:r w:rsidDel="00000000" w:rsidR="00000000" w:rsidRPr="00000000">
        <w:rPr>
          <w:rtl w:val="0"/>
        </w:rPr>
        <w:t xml:space="preserve">Nims University, Jaipur </w:t>
      </w:r>
    </w:p>
    <w:p w:rsidR="00000000" w:rsidDel="00000000" w:rsidP="00000000" w:rsidRDefault="00000000" w:rsidRPr="00000000" w14:paraId="00000006">
      <w:pPr>
        <w:jc w:val="center"/>
        <w:rPr/>
      </w:pPr>
      <w:r w:rsidDel="00000000" w:rsidR="00000000" w:rsidRPr="00000000">
        <w:rPr>
          <w:rtl w:val="0"/>
        </w:rPr>
        <w:t xml:space="preserve">Dr. Prakriti Sushmita,</w:t>
      </w:r>
    </w:p>
    <w:p w:rsidR="00000000" w:rsidDel="00000000" w:rsidP="00000000" w:rsidRDefault="00000000" w:rsidRPr="00000000" w14:paraId="00000007">
      <w:pPr>
        <w:jc w:val="center"/>
        <w:rPr/>
      </w:pPr>
      <w:r w:rsidDel="00000000" w:rsidR="00000000" w:rsidRPr="00000000">
        <w:rPr>
          <w:rtl w:val="0"/>
        </w:rPr>
        <w:t xml:space="preserve">Assistant professor,</w:t>
      </w:r>
    </w:p>
    <w:p w:rsidR="00000000" w:rsidDel="00000000" w:rsidP="00000000" w:rsidRDefault="00000000" w:rsidRPr="00000000" w14:paraId="00000008">
      <w:pPr>
        <w:jc w:val="center"/>
        <w:rPr/>
      </w:pPr>
      <w:r w:rsidDel="00000000" w:rsidR="00000000" w:rsidRPr="00000000">
        <w:rPr>
          <w:rtl w:val="0"/>
        </w:rPr>
        <w:t xml:space="preserve">Department of Psychology, </w:t>
      </w:r>
    </w:p>
    <w:p w:rsidR="00000000" w:rsidDel="00000000" w:rsidP="00000000" w:rsidRDefault="00000000" w:rsidRPr="00000000" w14:paraId="00000009">
      <w:pPr>
        <w:jc w:val="center"/>
        <w:rPr/>
      </w:pPr>
      <w:r w:rsidDel="00000000" w:rsidR="00000000" w:rsidRPr="00000000">
        <w:rPr>
          <w:rtl w:val="0"/>
        </w:rPr>
        <w:t xml:space="preserve">Nims University, Jaipur </w:t>
      </w:r>
    </w:p>
    <w:p w:rsidR="00000000" w:rsidDel="00000000" w:rsidP="00000000" w:rsidRDefault="00000000" w:rsidRPr="00000000" w14:paraId="0000000A">
      <w:pPr>
        <w:jc w:val="center"/>
        <w:rPr/>
      </w:pPr>
      <w:r w:rsidDel="00000000" w:rsidR="00000000" w:rsidRPr="00000000">
        <w:rPr>
          <w:rtl w:val="0"/>
        </w:rPr>
        <w:t xml:space="preserve"> </w:t>
      </w:r>
    </w:p>
    <w:p w:rsidR="00000000" w:rsidDel="00000000" w:rsidP="00000000" w:rsidRDefault="00000000" w:rsidRPr="00000000" w14:paraId="0000000B">
      <w:pPr>
        <w:jc w:val="cente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b w:val="1"/>
          <w:rtl w:val="0"/>
        </w:rPr>
        <w:t xml:space="preserve">Author Note</w:t>
      </w:r>
      <w:r w:rsidDel="00000000" w:rsidR="00000000" w:rsidRPr="00000000">
        <w:rPr>
          <w:rtl w:val="0"/>
        </w:rPr>
        <w:t xml:space="preserve"> </w:t>
      </w:r>
    </w:p>
    <w:p w:rsidR="00000000" w:rsidDel="00000000" w:rsidP="00000000" w:rsidRDefault="00000000" w:rsidRPr="00000000" w14:paraId="00000011">
      <w:pPr>
        <w:jc w:val="center"/>
        <w:rPr/>
      </w:pPr>
      <w:r w:rsidDel="00000000" w:rsidR="00000000" w:rsidRPr="00000000">
        <w:rPr>
          <w:rtl w:val="0"/>
        </w:rPr>
        <w:t xml:space="preserve">NIMS Institute of Humanities and Liberal Arts,</w:t>
      </w:r>
    </w:p>
    <w:p w:rsidR="00000000" w:rsidDel="00000000" w:rsidP="00000000" w:rsidRDefault="00000000" w:rsidRPr="00000000" w14:paraId="00000012">
      <w:pPr>
        <w:jc w:val="center"/>
        <w:rPr/>
      </w:pPr>
      <w:r w:rsidDel="00000000" w:rsidR="00000000" w:rsidRPr="00000000">
        <w:rPr>
          <w:rtl w:val="0"/>
        </w:rPr>
        <w:t xml:space="preserve"> NIMS University, Jaipur Delhi Highway (NH11-C),</w:t>
      </w:r>
    </w:p>
    <w:p w:rsidR="00000000" w:rsidDel="00000000" w:rsidP="00000000" w:rsidRDefault="00000000" w:rsidRPr="00000000" w14:paraId="00000013">
      <w:pPr>
        <w:jc w:val="center"/>
        <w:rPr/>
      </w:pPr>
      <w:r w:rsidDel="00000000" w:rsidR="00000000" w:rsidRPr="00000000">
        <w:rPr>
          <w:rtl w:val="0"/>
        </w:rPr>
        <w:t xml:space="preserve"> Jaipur, 303121, Rajasthan, India.</w:t>
      </w:r>
    </w:p>
    <w:p w:rsidR="00000000" w:rsidDel="00000000" w:rsidP="00000000" w:rsidRDefault="00000000" w:rsidRPr="00000000" w14:paraId="00000014">
      <w:pPr>
        <w:jc w:val="center"/>
        <w:rPr/>
      </w:pPr>
      <w:r w:rsidDel="00000000" w:rsidR="00000000" w:rsidRPr="00000000">
        <w:rPr>
          <w:rtl w:val="0"/>
        </w:rPr>
        <w:t xml:space="preserve">Mob no. +91 8302611959</w:t>
      </w:r>
    </w:p>
    <w:p w:rsidR="00000000" w:rsidDel="00000000" w:rsidP="00000000" w:rsidRDefault="00000000" w:rsidRPr="00000000" w14:paraId="00000015">
      <w:pPr>
        <w:jc w:val="center"/>
        <w:rPr/>
      </w:pPr>
      <w:r w:rsidDel="00000000" w:rsidR="00000000" w:rsidRPr="00000000">
        <w:rPr>
          <w:rtl w:val="0"/>
        </w:rPr>
        <w:t xml:space="preserve">Email id: </w:t>
      </w:r>
      <w:hyperlink r:id="rId6">
        <w:r w:rsidDel="00000000" w:rsidR="00000000" w:rsidRPr="00000000">
          <w:rPr>
            <w:color w:val="1155cc"/>
            <w:u w:val="single"/>
            <w:rtl w:val="0"/>
          </w:rPr>
          <w:t xml:space="preserve">vikasbodhak1997@gmail.com</w:t>
        </w:r>
      </w:hyperlink>
      <w:r w:rsidDel="00000000" w:rsidR="00000000" w:rsidRPr="00000000">
        <w:rPr>
          <w:rtl w:val="0"/>
        </w:rPr>
      </w:r>
    </w:p>
    <w:p w:rsidR="00000000" w:rsidDel="00000000" w:rsidP="00000000" w:rsidRDefault="00000000" w:rsidRPr="00000000" w14:paraId="00000016">
      <w:pPr>
        <w:pStyle w:val="Heading1"/>
        <w:pBdr>
          <w:top w:space="0" w:sz="0" w:val="nil"/>
          <w:left w:space="0" w:sz="0" w:val="nil"/>
          <w:bottom w:space="0" w:sz="0" w:val="nil"/>
          <w:right w:space="0" w:sz="0" w:val="nil"/>
          <w:between w:space="0" w:sz="0" w:val="nil"/>
        </w:pBdr>
        <w:spacing w:before="2160" w:lineRule="auto"/>
        <w:jc w:val="left"/>
        <w:rPr>
          <w:b w:val="0"/>
        </w:rPr>
      </w:pPr>
      <w:bookmarkStart w:colFirst="0" w:colLast="0" w:name="_30j0zll" w:id="1"/>
      <w:bookmarkEnd w:id="1"/>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firstLine="720"/>
        <w:rPr/>
      </w:pP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jc w:val="center"/>
        <w:rPr/>
      </w:pPr>
      <w:bookmarkStart w:colFirst="0" w:colLast="0" w:name="_1fob9te" w:id="2"/>
      <w:bookmarkEnd w:id="2"/>
      <w:r w:rsidDel="00000000" w:rsidR="00000000" w:rsidRPr="00000000">
        <w:rPr>
          <w:rtl w:val="0"/>
        </w:rPr>
        <w:t xml:space="preserve">Abstract</w:t>
      </w:r>
    </w:p>
    <w:p w:rsidR="00000000" w:rsidDel="00000000" w:rsidP="00000000" w:rsidRDefault="00000000" w:rsidRPr="00000000" w14:paraId="00000019">
      <w:pPr>
        <w:jc w:val="both"/>
        <w:rPr/>
      </w:pPr>
      <w:r w:rsidDel="00000000" w:rsidR="00000000" w:rsidRPr="00000000">
        <w:rPr>
          <w:rtl w:val="0"/>
        </w:rPr>
        <w:t xml:space="preserve">This study was conducted to analyse the level of dark triad personality traits of the participants and the gender differences of it. The short dark triad (SD3) was developed by Jones D. N. And Paulhus D. L. In the year of 2014. The questionnaire is used to measure the level of three personality traits in the individuals that is narcissism, Psychopathy and machiavellianism. There are a total of 27 items decided in three subscales 9 in each of them. The scoring of the scale is on a 5 point scale from disagree strongly to agree strongly, there are some items which have reverse scoring. The sample for the study was collected from the city named Jaipur. Age range for the present study was  18- 34 (adults). </w:t>
      </w:r>
    </w:p>
    <w:p w:rsidR="00000000" w:rsidDel="00000000" w:rsidP="00000000" w:rsidRDefault="00000000" w:rsidRPr="00000000" w14:paraId="0000001A">
      <w:pPr>
        <w:ind w:firstLine="720"/>
        <w:rPr/>
      </w:pPr>
      <w:r w:rsidDel="00000000" w:rsidR="00000000" w:rsidRPr="00000000">
        <w:rPr>
          <w:i w:val="1"/>
          <w:rtl w:val="0"/>
        </w:rPr>
        <w:t xml:space="preserve">Keywords:</w:t>
      </w:r>
      <w:r w:rsidDel="00000000" w:rsidR="00000000" w:rsidRPr="00000000">
        <w:rPr>
          <w:rtl w:val="0"/>
        </w:rPr>
        <w:t xml:space="preserve"> dark triad, machiavellianism, narcissism, Psychopathy, gender differences. </w:t>
      </w:r>
    </w:p>
    <w:p w:rsidR="00000000" w:rsidDel="00000000" w:rsidP="00000000" w:rsidRDefault="00000000" w:rsidRPr="00000000" w14:paraId="0000001B">
      <w:pPr>
        <w:pStyle w:val="Heading1"/>
        <w:pBdr>
          <w:top w:space="0" w:sz="0" w:val="nil"/>
          <w:left w:space="0" w:sz="0" w:val="nil"/>
          <w:bottom w:space="0" w:sz="0" w:val="nil"/>
          <w:right w:space="0" w:sz="0" w:val="nil"/>
          <w:between w:space="0" w:sz="0" w:val="nil"/>
        </w:pBdr>
        <w:rPr>
          <w:b w:val="0"/>
        </w:rPr>
      </w:pPr>
      <w:bookmarkStart w:colFirst="0" w:colLast="0" w:name="_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ind w:firstLine="720"/>
        <w:jc w:val="center"/>
        <w:rPr/>
      </w:pPr>
      <w:r w:rsidDel="00000000" w:rsidR="00000000" w:rsidRPr="00000000">
        <w:rPr>
          <w:rtl w:val="0"/>
        </w:rPr>
        <w:t xml:space="preserve">"Unveiling the Shadows: Exploring the Dark Triad Personality Traits and Gender Disparities"</w:t>
      </w:r>
    </w:p>
    <w:p w:rsidR="00000000" w:rsidDel="00000000" w:rsidP="00000000" w:rsidRDefault="00000000" w:rsidRPr="00000000" w14:paraId="0000001D">
      <w:pPr>
        <w:pBdr>
          <w:top w:space="0" w:sz="0" w:val="nil"/>
          <w:left w:space="0" w:sz="0" w:val="nil"/>
          <w:bottom w:space="0" w:sz="0" w:val="nil"/>
          <w:right w:space="0" w:sz="0" w:val="nil"/>
          <w:between w:space="0" w:sz="0" w:val="nil"/>
        </w:pBdr>
        <w:ind w:firstLine="720"/>
        <w:jc w:val="both"/>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jc w:val="both"/>
        <w:rPr/>
      </w:pPr>
      <w:r w:rsidDel="00000000" w:rsidR="00000000" w:rsidRPr="00000000">
        <w:rPr>
          <w:rtl w:val="0"/>
        </w:rPr>
        <w:t xml:space="preserve">In the realm of human psychology, there exists a captivating and intricate web of personality traits, each offering a glimpse into the multifaceted nature of individuals. Among these traits, a particularly enigmatic triad has emerged from the shadows, intriguing researchers and scholars alike: the Dark Triad. Comprising Machiavellianism, narcissism, and psychopathy, this malevolent constellation of personality characteristics has been the subject of fervent investigation, delving into its implications for interpersonal relationships, organizational dynamics, and societal structures.</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both"/>
        <w:rPr/>
      </w:pPr>
      <w:r w:rsidDel="00000000" w:rsidR="00000000" w:rsidRPr="00000000">
        <w:rPr>
          <w:rtl w:val="0"/>
        </w:rPr>
        <w:t xml:space="preserve">Furthermore, the exploration of gender disparities within the Dark Triad framework adds a compelling dimension to the intricate tapestry of psychological research. Gender, as a complex social construct, intertwines with individual personality traits, influencing their manifestation and societal repercussions. Consequently, discerning the nuanced interplay between the Dark Triad traits and gender disparities becomes an imperative task, shedding light on the intricate dynamics that shape human behavior and social systems.</w:t>
      </w:r>
    </w:p>
    <w:p w:rsidR="00000000" w:rsidDel="00000000" w:rsidP="00000000" w:rsidRDefault="00000000" w:rsidRPr="00000000" w14:paraId="00000020">
      <w:pPr>
        <w:pBdr>
          <w:top w:space="0" w:sz="0" w:val="nil"/>
          <w:left w:space="0" w:sz="0" w:val="nil"/>
          <w:bottom w:space="0" w:sz="0" w:val="nil"/>
          <w:right w:space="0" w:sz="0" w:val="nil"/>
          <w:between w:space="0" w:sz="0" w:val="nil"/>
        </w:pBdr>
        <w:jc w:val="both"/>
        <w:rPr/>
      </w:pPr>
      <w:r w:rsidDel="00000000" w:rsidR="00000000" w:rsidRPr="00000000">
        <w:rPr>
          <w:rtl w:val="0"/>
        </w:rPr>
        <w:t xml:space="preserve">This research paper aims to delve into the depths of the Dark Triad, unveiling its intricacies while examining the gender disparities that permeate its expression. By synthesizing an extensive body of scholarly works, empirical studies, and theoretical frameworks, this study endeavors to contribute to the growing understanding of the Dark Triad and its gendered manifestations. Through a comprehensive exploration of existing literature, we seek to illuminate the unique challenges, implications, and societal ramifications associated with the dark undercurrents of these personality traits.</w:t>
      </w:r>
    </w:p>
    <w:p w:rsidR="00000000" w:rsidDel="00000000" w:rsidP="00000000" w:rsidRDefault="00000000" w:rsidRPr="00000000" w14:paraId="00000021">
      <w:pPr>
        <w:pBdr>
          <w:top w:space="0" w:sz="0" w:val="nil"/>
          <w:left w:space="0" w:sz="0" w:val="nil"/>
          <w:bottom w:space="0" w:sz="0" w:val="nil"/>
          <w:right w:space="0" w:sz="0" w:val="nil"/>
          <w:between w:space="0" w:sz="0" w:val="nil"/>
        </w:pBdr>
        <w:jc w:val="both"/>
        <w:rPr/>
      </w:pPr>
      <w:r w:rsidDel="00000000" w:rsidR="00000000" w:rsidRPr="00000000">
        <w:rPr>
          <w:rtl w:val="0"/>
        </w:rPr>
        <w:t xml:space="preserve">The significance of this research lies not only in unraveling the enigma of the Dark Triad, but also in its potential to inform practical applications across multiple domains. By discerning the gendered implications of these malevolent traits, valuable insights can be gained for fostering healthier interpersonal relationships, developing more effective organizational structures, and constructing fairer social systems. Furthermore, shedding light on gender disparities within the Dark Triad framework may contribute to the ongoing efforts in promoting gender equality and empowering individuals across diverse contexts.</w:t>
      </w:r>
    </w:p>
    <w:p w:rsidR="00000000" w:rsidDel="00000000" w:rsidP="00000000" w:rsidRDefault="00000000" w:rsidRPr="00000000" w14:paraId="00000022">
      <w:pPr>
        <w:pBdr>
          <w:top w:space="0" w:sz="0" w:val="nil"/>
          <w:left w:space="0" w:sz="0" w:val="nil"/>
          <w:bottom w:space="0" w:sz="0" w:val="nil"/>
          <w:right w:space="0" w:sz="0" w:val="nil"/>
          <w:between w:space="0" w:sz="0" w:val="nil"/>
        </w:pBdr>
        <w:jc w:val="both"/>
        <w:rPr/>
      </w:pPr>
      <w:r w:rsidDel="00000000" w:rsidR="00000000" w:rsidRPr="00000000">
        <w:rPr>
          <w:rtl w:val="0"/>
        </w:rPr>
        <w:t xml:space="preserve">As we embark on this illuminating journey into the shadows, it is crucial to approach the subject matter with intellectual rigor, ethical considerations, and an unwavering commitment to impartiality. By fostering a comprehensive understanding of the Dark Triad and its intricate ties to gender disparities, we can uncover hidden truths and pave the way for a brighter and more equitable future.</w:t>
      </w:r>
    </w:p>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ind w:firstLine="720"/>
        <w:jc w:val="center"/>
        <w:rPr>
          <w:b w:val="1"/>
        </w:rPr>
      </w:pPr>
      <w:r w:rsidDel="00000000" w:rsidR="00000000" w:rsidRPr="00000000">
        <w:rPr>
          <w:b w:val="1"/>
          <w:rtl w:val="0"/>
        </w:rPr>
        <w:t xml:space="preserve">Objectives :</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To investigate the prevalence and distribution of the Dark Triad personality traits (narcissism, Machiavellianism, and psychopathy) in a diverse sample population.</w:t>
      </w:r>
    </w:p>
    <w:p w:rsidR="00000000" w:rsidDel="00000000" w:rsidP="00000000" w:rsidRDefault="00000000" w:rsidRPr="00000000" w14:paraId="00000026">
      <w:pPr>
        <w:pBdr>
          <w:top w:space="0" w:sz="0" w:val="nil"/>
          <w:left w:space="0" w:sz="0" w:val="nil"/>
          <w:bottom w:space="0" w:sz="0" w:val="nil"/>
          <w:right w:space="0" w:sz="0" w:val="nil"/>
          <w:between w:space="0" w:sz="0" w:val="nil"/>
        </w:pBdr>
        <w:ind w:left="720" w:firstLine="0"/>
        <w:jc w:val="both"/>
        <w:rPr/>
      </w:pPr>
      <w:r w:rsidDel="00000000" w:rsidR="00000000" w:rsidRPr="00000000">
        <w:rPr>
          <w:rtl w:val="0"/>
        </w:rPr>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To examine the relationship between the Dark Triad personality traits and gender disparities in aduls.</w:t>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1440" w:firstLine="0"/>
        <w:jc w:val="both"/>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ind w:left="720" w:hanging="360"/>
        <w:jc w:val="both"/>
        <w:rPr/>
      </w:pPr>
      <w:r w:rsidDel="00000000" w:rsidR="00000000" w:rsidRPr="00000000">
        <w:rPr>
          <w:rtl w:val="0"/>
        </w:rPr>
        <w:t xml:space="preserve">To explore the potential underlying factors contributing to the gender differences observed in the expression and manifestation of Dark Triad traits, including societal expectations, cultural influences, and socialization processes.</w:t>
      </w:r>
    </w:p>
    <w:p w:rsidR="00000000" w:rsidDel="00000000" w:rsidP="00000000" w:rsidRDefault="00000000" w:rsidRPr="00000000" w14:paraId="0000002A">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2B">
      <w:pPr>
        <w:pStyle w:val="Heading1"/>
        <w:pBdr>
          <w:top w:space="0" w:sz="0" w:val="nil"/>
          <w:left w:space="0" w:sz="0" w:val="nil"/>
          <w:bottom w:space="0" w:sz="0" w:val="nil"/>
          <w:right w:space="0" w:sz="0" w:val="nil"/>
          <w:between w:space="0" w:sz="0" w:val="nil"/>
        </w:pBdr>
        <w:rPr/>
      </w:pPr>
      <w:bookmarkStart w:colFirst="0" w:colLast="0" w:name="_2et92p0" w:id="4"/>
      <w:bookmarkEnd w:id="4"/>
      <w:r w:rsidDel="00000000" w:rsidR="00000000" w:rsidRPr="00000000">
        <w:rPr>
          <w:rtl w:val="0"/>
        </w:rPr>
        <w:t xml:space="preserve">Method</w:t>
      </w:r>
    </w:p>
    <w:p w:rsidR="00000000" w:rsidDel="00000000" w:rsidP="00000000" w:rsidRDefault="00000000" w:rsidRPr="00000000" w14:paraId="0000002C">
      <w:pPr>
        <w:pBdr>
          <w:top w:space="0" w:sz="0" w:val="nil"/>
          <w:left w:space="0" w:sz="0" w:val="nil"/>
          <w:bottom w:space="0" w:sz="0" w:val="nil"/>
          <w:right w:space="0" w:sz="0" w:val="nil"/>
          <w:between w:space="0" w:sz="0" w:val="nil"/>
        </w:pBdr>
        <w:jc w:val="both"/>
        <w:rPr/>
      </w:pPr>
      <w:r w:rsidDel="00000000" w:rsidR="00000000" w:rsidRPr="00000000">
        <w:rPr>
          <w:rtl w:val="0"/>
        </w:rPr>
        <w:t xml:space="preserve">The Short Dark Triad (SD3), introduced in 2014 by Jones and Paulhus, is a questionnaire designed to assess three distinct personality traits in individuals: narcissism, psychopathy, and Machiavellianism. The instrument consists of 27 items, with nine items allocated to each of the three subscales. Respondents rate their agreement on a 5-point scale, ranging from "strongly disagree" to "strongly agree," taking into account that certain items require reverse scoring. The study's sample was gathered exclusively from Jaipur, a city located in [specific country/region]. The age range of the participants in this research encompassed young adults between 18 and 34 years old.</w:t>
      </w:r>
    </w:p>
    <w:p w:rsidR="00000000" w:rsidDel="00000000" w:rsidP="00000000" w:rsidRDefault="00000000" w:rsidRPr="00000000" w14:paraId="0000002D">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Sampling: </w:t>
      </w:r>
    </w:p>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pPr>
      <w:r w:rsidDel="00000000" w:rsidR="00000000" w:rsidRPr="00000000">
        <w:rPr>
          <w:rtl w:val="0"/>
        </w:rPr>
        <w:t xml:space="preserve">In the city of Jaipur, a total of 100 participants were carefully chosen using a random sampling method. This means that each individual had an equal opportunity to be selected for the study. The participants were divided evenly between genders, with 50 males and 50 females included in the sample.</w:t>
      </w:r>
    </w:p>
    <w:p w:rsidR="00000000" w:rsidDel="00000000" w:rsidP="00000000" w:rsidRDefault="00000000" w:rsidRPr="00000000" w14:paraId="0000002F">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Research Design: </w:t>
      </w:r>
    </w:p>
    <w:p w:rsidR="00000000" w:rsidDel="00000000" w:rsidP="00000000" w:rsidRDefault="00000000" w:rsidRPr="00000000" w14:paraId="00000030">
      <w:pPr>
        <w:pBdr>
          <w:top w:space="0" w:sz="0" w:val="nil"/>
          <w:left w:space="0" w:sz="0" w:val="nil"/>
          <w:bottom w:space="0" w:sz="0" w:val="nil"/>
          <w:right w:space="0" w:sz="0" w:val="nil"/>
          <w:between w:space="0" w:sz="0" w:val="nil"/>
        </w:pBdr>
        <w:jc w:val="center"/>
        <w:rPr/>
      </w:pPr>
      <w:r w:rsidDel="00000000" w:rsidR="00000000" w:rsidRPr="00000000">
        <w:rPr>
          <w:rtl w:val="0"/>
        </w:rPr>
        <w:t xml:space="preserve">  N = 100</w:t>
      </w:r>
    </w:p>
    <w:p w:rsidR="00000000" w:rsidDel="00000000" w:rsidP="00000000" w:rsidRDefault="00000000" w:rsidRPr="00000000" w14:paraId="00000031">
      <w:pPr>
        <w:pBdr>
          <w:top w:space="0" w:sz="0" w:val="nil"/>
          <w:left w:space="0" w:sz="0" w:val="nil"/>
          <w:bottom w:space="0" w:sz="0" w:val="nil"/>
          <w:right w:space="0" w:sz="0" w:val="nil"/>
          <w:between w:space="0" w:sz="0" w:val="nil"/>
        </w:pBdr>
        <w:jc w:val="center"/>
        <w:rPr/>
      </w:pPr>
      <w:r w:rsidDel="00000000" w:rsidR="00000000" w:rsidRPr="00000000">
        <w:rPr>
          <w:rtl w:val="0"/>
        </w:rPr>
        <w:t xml:space="preserve">------------------------------------</w:t>
      </w:r>
    </w:p>
    <w:p w:rsidR="00000000" w:rsidDel="00000000" w:rsidP="00000000" w:rsidRDefault="00000000" w:rsidRPr="00000000" w14:paraId="00000032">
      <w:pPr>
        <w:pBdr>
          <w:top w:space="0" w:sz="0" w:val="nil"/>
          <w:left w:space="0" w:sz="0" w:val="nil"/>
          <w:bottom w:space="0" w:sz="0" w:val="nil"/>
          <w:right w:space="0" w:sz="0" w:val="nil"/>
          <w:between w:space="0" w:sz="0" w:val="nil"/>
        </w:pBdr>
        <w:jc w:val="center"/>
        <w:rPr/>
      </w:pPr>
      <w:r w:rsidDel="00000000" w:rsidR="00000000" w:rsidRPr="00000000">
        <w:rPr>
          <w:rtl w:val="0"/>
        </w:rPr>
        <w:t xml:space="preserve">|              Age Range:            |</w:t>
      </w:r>
    </w:p>
    <w:p w:rsidR="00000000" w:rsidDel="00000000" w:rsidP="00000000" w:rsidRDefault="00000000" w:rsidRPr="00000000" w14:paraId="00000033">
      <w:pPr>
        <w:pBdr>
          <w:top w:space="0" w:sz="0" w:val="nil"/>
          <w:left w:space="0" w:sz="0" w:val="nil"/>
          <w:bottom w:space="0" w:sz="0" w:val="nil"/>
          <w:right w:space="0" w:sz="0" w:val="nil"/>
          <w:between w:space="0" w:sz="0" w:val="nil"/>
        </w:pBdr>
        <w:jc w:val="center"/>
        <w:rPr/>
      </w:pPr>
      <w:r w:rsidDel="00000000" w:rsidR="00000000" w:rsidRPr="00000000">
        <w:rPr>
          <w:rtl w:val="0"/>
        </w:rPr>
        <w:t xml:space="preserve">|           18 - 34 years            |</w:t>
      </w:r>
    </w:p>
    <w:p w:rsidR="00000000" w:rsidDel="00000000" w:rsidP="00000000" w:rsidRDefault="00000000" w:rsidRPr="00000000" w14:paraId="00000034">
      <w:pPr>
        <w:pBdr>
          <w:top w:space="0" w:sz="0" w:val="nil"/>
          <w:left w:space="0" w:sz="0" w:val="nil"/>
          <w:bottom w:space="0" w:sz="0" w:val="nil"/>
          <w:right w:space="0" w:sz="0" w:val="nil"/>
          <w:between w:space="0" w:sz="0" w:val="nil"/>
        </w:pBdr>
        <w:jc w:val="center"/>
        <w:rPr/>
      </w:pPr>
      <w:r w:rsidDel="00000000" w:rsidR="00000000" w:rsidRPr="00000000">
        <w:rPr>
          <w:rtl w:val="0"/>
        </w:rPr>
        <w:t xml:space="preserve">------------------------------------</w:t>
      </w:r>
    </w:p>
    <w:p w:rsidR="00000000" w:rsidDel="00000000" w:rsidP="00000000" w:rsidRDefault="00000000" w:rsidRPr="00000000" w14:paraId="00000035">
      <w:pPr>
        <w:pBdr>
          <w:top w:space="0" w:sz="0" w:val="nil"/>
          <w:left w:space="0" w:sz="0" w:val="nil"/>
          <w:bottom w:space="0" w:sz="0" w:val="nil"/>
          <w:right w:space="0" w:sz="0" w:val="nil"/>
          <w:between w:space="0" w:sz="0" w:val="nil"/>
        </w:pBdr>
        <w:jc w:val="center"/>
        <w:rPr/>
      </w:pPr>
      <w:r w:rsidDel="00000000" w:rsidR="00000000" w:rsidRPr="00000000">
        <w:rPr>
          <w:rtl w:val="0"/>
        </w:rPr>
        <w:t xml:space="preserve">|     Males (50)      |  Females (50) |</w:t>
      </w:r>
    </w:p>
    <w:p w:rsidR="00000000" w:rsidDel="00000000" w:rsidP="00000000" w:rsidRDefault="00000000" w:rsidRPr="00000000" w14:paraId="00000036">
      <w:pPr>
        <w:pBdr>
          <w:top w:space="0" w:sz="0" w:val="nil"/>
          <w:left w:space="0" w:sz="0" w:val="nil"/>
          <w:bottom w:space="0" w:sz="0" w:val="nil"/>
          <w:right w:space="0" w:sz="0" w:val="nil"/>
          <w:between w:space="0" w:sz="0" w:val="nil"/>
        </w:pBdr>
        <w:jc w:val="center"/>
        <w:rPr/>
      </w:pPr>
      <w:r w:rsidDel="00000000" w:rsidR="00000000" w:rsidRPr="00000000">
        <w:rPr>
          <w:rtl w:val="0"/>
        </w:rPr>
        <w:t xml:space="preserve">------------------------------------</w:t>
      </w:r>
    </w:p>
    <w:p w:rsidR="00000000" w:rsidDel="00000000" w:rsidP="00000000" w:rsidRDefault="00000000" w:rsidRPr="00000000" w14:paraId="00000037">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Apparatus: </w:t>
      </w:r>
    </w:p>
    <w:p w:rsidR="00000000" w:rsidDel="00000000" w:rsidP="00000000" w:rsidRDefault="00000000" w:rsidRPr="00000000" w14:paraId="00000039">
      <w:pPr>
        <w:pBdr>
          <w:top w:space="0" w:sz="0" w:val="nil"/>
          <w:left w:space="0" w:sz="0" w:val="nil"/>
          <w:bottom w:space="0" w:sz="0" w:val="nil"/>
          <w:right w:space="0" w:sz="0" w:val="nil"/>
          <w:between w:space="0" w:sz="0" w:val="nil"/>
        </w:pBdr>
        <w:jc w:val="both"/>
        <w:rPr/>
      </w:pPr>
      <w:r w:rsidDel="00000000" w:rsidR="00000000" w:rsidRPr="00000000">
        <w:rPr>
          <w:rtl w:val="0"/>
        </w:rPr>
        <w:t xml:space="preserve">The Short Dark Triad (SD3) questionnaire is a widely used tool for assessing three socially aversive personality traits: Machiavellianism, narcissism, and psychopathy. The SD3 consists of 27 items, with nine items for each of the three traits. Participants rate their agreement with each statement on a 5-point Likert scale, ranging from 1 (strongly disagree) to 5 (strongly agree). </w:t>
      </w:r>
    </w:p>
    <w:p w:rsidR="00000000" w:rsidDel="00000000" w:rsidP="00000000" w:rsidRDefault="00000000" w:rsidRPr="00000000" w14:paraId="0000003A">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jc w:val="both"/>
        <w:rPr/>
      </w:pPr>
      <w:r w:rsidDel="00000000" w:rsidR="00000000" w:rsidRPr="00000000">
        <w:rPr>
          <w:rtl w:val="0"/>
        </w:rPr>
        <w:t xml:space="preserve">Procedure:</w:t>
      </w:r>
    </w:p>
    <w:p w:rsidR="00000000" w:rsidDel="00000000" w:rsidP="00000000" w:rsidRDefault="00000000" w:rsidRPr="00000000" w14:paraId="0000003C">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jc w:val="both"/>
        <w:rPr/>
      </w:pPr>
      <w:r w:rsidDel="00000000" w:rsidR="00000000" w:rsidRPr="00000000">
        <w:rPr>
          <w:rtl w:val="0"/>
        </w:rPr>
        <w:t xml:space="preserve">Sample Selection: Obtain ethical clearance and randomly select participants, ensuring equal gender representation.</w:t>
      </w:r>
    </w:p>
    <w:p w:rsidR="00000000" w:rsidDel="00000000" w:rsidP="00000000" w:rsidRDefault="00000000" w:rsidRPr="00000000" w14:paraId="0000003E">
      <w:pPr>
        <w:pBdr>
          <w:top w:space="0" w:sz="0" w:val="nil"/>
          <w:left w:space="0" w:sz="0" w:val="nil"/>
          <w:bottom w:space="0" w:sz="0" w:val="nil"/>
          <w:right w:space="0" w:sz="0" w:val="nil"/>
          <w:between w:space="0" w:sz="0" w:val="nil"/>
        </w:pBdr>
        <w:jc w:val="both"/>
        <w:rPr/>
      </w:pPr>
      <w:r w:rsidDel="00000000" w:rsidR="00000000" w:rsidRPr="00000000">
        <w:rPr>
          <w:rtl w:val="0"/>
        </w:rPr>
        <w:t xml:space="preserve">Recruitment: Advertise the study, provide clear instructions, and screen potential participants.</w:t>
      </w:r>
    </w:p>
    <w:p w:rsidR="00000000" w:rsidDel="00000000" w:rsidP="00000000" w:rsidRDefault="00000000" w:rsidRPr="00000000" w14:paraId="0000003F">
      <w:pPr>
        <w:pBdr>
          <w:top w:space="0" w:sz="0" w:val="nil"/>
          <w:left w:space="0" w:sz="0" w:val="nil"/>
          <w:bottom w:space="0" w:sz="0" w:val="nil"/>
          <w:right w:space="0" w:sz="0" w:val="nil"/>
          <w:between w:space="0" w:sz="0" w:val="nil"/>
        </w:pBdr>
        <w:jc w:val="both"/>
        <w:rPr/>
      </w:pPr>
      <w:r w:rsidDel="00000000" w:rsidR="00000000" w:rsidRPr="00000000">
        <w:rPr>
          <w:rtl w:val="0"/>
        </w:rPr>
        <w:t xml:space="preserve">Informed Consent and Confidentiality: Obtain written informed consent and assure participants of confidentiality.</w:t>
      </w:r>
    </w:p>
    <w:p w:rsidR="00000000" w:rsidDel="00000000" w:rsidP="00000000" w:rsidRDefault="00000000" w:rsidRPr="00000000" w14:paraId="00000040">
      <w:pPr>
        <w:pBdr>
          <w:top w:space="0" w:sz="0" w:val="nil"/>
          <w:left w:space="0" w:sz="0" w:val="nil"/>
          <w:bottom w:space="0" w:sz="0" w:val="nil"/>
          <w:right w:space="0" w:sz="0" w:val="nil"/>
          <w:between w:space="0" w:sz="0" w:val="nil"/>
        </w:pBdr>
        <w:jc w:val="both"/>
        <w:rPr/>
      </w:pPr>
      <w:r w:rsidDel="00000000" w:rsidR="00000000" w:rsidRPr="00000000">
        <w:rPr>
          <w:rtl w:val="0"/>
        </w:rPr>
        <w:t xml:space="preserve">Data Collection: Administer standardized questionnaires to measure Dark Triad traits and collect demographic information.</w:t>
      </w:r>
    </w:p>
    <w:p w:rsidR="00000000" w:rsidDel="00000000" w:rsidP="00000000" w:rsidRDefault="00000000" w:rsidRPr="00000000" w14:paraId="00000041">
      <w:pPr>
        <w:pBdr>
          <w:top w:space="0" w:sz="0" w:val="nil"/>
          <w:left w:space="0" w:sz="0" w:val="nil"/>
          <w:bottom w:space="0" w:sz="0" w:val="nil"/>
          <w:right w:space="0" w:sz="0" w:val="nil"/>
          <w:between w:space="0" w:sz="0" w:val="nil"/>
        </w:pBdr>
        <w:jc w:val="both"/>
        <w:rPr/>
      </w:pPr>
      <w:r w:rsidDel="00000000" w:rsidR="00000000" w:rsidRPr="00000000">
        <w:rPr>
          <w:rtl w:val="0"/>
        </w:rPr>
        <w:t xml:space="preserve">Data Analysis: Clean and analyze the data using statistical software, perform descriptive and inferential statistics.</w:t>
      </w:r>
    </w:p>
    <w:p w:rsidR="00000000" w:rsidDel="00000000" w:rsidP="00000000" w:rsidRDefault="00000000" w:rsidRPr="00000000" w14:paraId="00000042">
      <w:pPr>
        <w:pBdr>
          <w:top w:space="0" w:sz="0" w:val="nil"/>
          <w:left w:space="0" w:sz="0" w:val="nil"/>
          <w:bottom w:space="0" w:sz="0" w:val="nil"/>
          <w:right w:space="0" w:sz="0" w:val="nil"/>
          <w:between w:space="0" w:sz="0" w:val="nil"/>
        </w:pBdr>
        <w:jc w:val="both"/>
        <w:rPr/>
      </w:pPr>
      <w:r w:rsidDel="00000000" w:rsidR="00000000" w:rsidRPr="00000000">
        <w:rPr>
          <w:rtl w:val="0"/>
        </w:rPr>
        <w:t xml:space="preserve">Ethical Considerations: Ensure anonymity, store data securely, address risks or distress, provide debriefing information.</w:t>
      </w:r>
    </w:p>
    <w:p w:rsidR="00000000" w:rsidDel="00000000" w:rsidP="00000000" w:rsidRDefault="00000000" w:rsidRPr="00000000" w14:paraId="00000043">
      <w:pPr>
        <w:pBdr>
          <w:top w:space="0" w:sz="0" w:val="nil"/>
          <w:left w:space="0" w:sz="0" w:val="nil"/>
          <w:bottom w:space="0" w:sz="0" w:val="nil"/>
          <w:right w:space="0" w:sz="0" w:val="nil"/>
          <w:between w:space="0" w:sz="0" w:val="nil"/>
        </w:pBdr>
        <w:jc w:val="both"/>
        <w:rPr/>
      </w:pPr>
      <w:r w:rsidDel="00000000" w:rsidR="00000000" w:rsidRPr="00000000">
        <w:rPr>
          <w:rtl w:val="0"/>
        </w:rPr>
        <w:t xml:space="preserve">Reporting and Dissemination: Summarize findings in a research report, submit for publication, share with the scientific community, and create layperson-friendly materials.</w:t>
      </w:r>
    </w:p>
    <w:p w:rsidR="00000000" w:rsidDel="00000000" w:rsidP="00000000" w:rsidRDefault="00000000" w:rsidRPr="00000000" w14:paraId="00000044">
      <w:pPr>
        <w:pBdr>
          <w:top w:space="0" w:sz="0" w:val="nil"/>
          <w:left w:space="0" w:sz="0" w:val="nil"/>
          <w:bottom w:space="0" w:sz="0" w:val="nil"/>
          <w:right w:space="0" w:sz="0" w:val="nil"/>
          <w:between w:space="0" w:sz="0" w:val="nil"/>
        </w:pBdr>
        <w:jc w:val="both"/>
        <w:rPr>
          <w:b w:val="1"/>
        </w:rPr>
      </w:pPr>
      <w:r w:rsidDel="00000000" w:rsidR="00000000" w:rsidRPr="00000000">
        <w:rPr>
          <w:b w:val="1"/>
          <w:rtl w:val="0"/>
        </w:rPr>
        <w:t xml:space="preserve">Scoring: </w:t>
      </w:r>
    </w:p>
    <w:p w:rsidR="00000000" w:rsidDel="00000000" w:rsidP="00000000" w:rsidRDefault="00000000" w:rsidRPr="00000000" w14:paraId="00000045">
      <w:pPr>
        <w:pBdr>
          <w:top w:space="0" w:sz="0" w:val="nil"/>
          <w:left w:space="0" w:sz="0" w:val="nil"/>
          <w:bottom w:space="0" w:sz="0" w:val="nil"/>
          <w:right w:space="0" w:sz="0" w:val="nil"/>
          <w:between w:space="0" w:sz="0" w:val="nil"/>
        </w:pBdr>
        <w:jc w:val="both"/>
        <w:rPr/>
      </w:pPr>
      <w:r w:rsidDel="00000000" w:rsidR="00000000" w:rsidRPr="00000000">
        <w:rPr>
          <w:rtl w:val="0"/>
        </w:rPr>
        <w:t xml:space="preserve">The Short Dark Triad (SD3) is a questionnaire used to measure three dark personality traits: Machiavellianism, narcissism, and psychopathy. Each trait is assessed with 9 items, and participants rate their agreement on a 5-point Likert scale. To calculate scores, the responses for each trait are summed, resulting in separate scores ranging from 9 to 45 for Machiavellianism, narcissism, and psychopathy. Higher scores indicate higher levels of each respective trait. It's important to interpret scores in conjunction with other measures and within the context of the research.</w:t>
      </w:r>
    </w:p>
    <w:p w:rsidR="00000000" w:rsidDel="00000000" w:rsidP="00000000" w:rsidRDefault="00000000" w:rsidRPr="00000000" w14:paraId="00000046">
      <w:pPr>
        <w:pBdr>
          <w:top w:space="0" w:sz="0" w:val="nil"/>
          <w:left w:space="0" w:sz="0" w:val="nil"/>
          <w:bottom w:space="0" w:sz="0" w:val="nil"/>
          <w:right w:space="0" w:sz="0" w:val="nil"/>
          <w:between w:space="0" w:sz="0" w:val="nil"/>
        </w:pBdr>
        <w:jc w:val="both"/>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jc w:val="center"/>
        <w:rPr/>
      </w:pPr>
      <w:r w:rsidDel="00000000" w:rsidR="00000000" w:rsidRPr="00000000">
        <w:rPr>
          <w:rtl w:val="0"/>
        </w:rPr>
        <w:t xml:space="preserve">|    Interpretation   |    Range    |</w:t>
      </w:r>
    </w:p>
    <w:p w:rsidR="00000000" w:rsidDel="00000000" w:rsidP="00000000" w:rsidRDefault="00000000" w:rsidRPr="00000000" w14:paraId="00000048">
      <w:pPr>
        <w:pBdr>
          <w:top w:space="0" w:sz="0" w:val="nil"/>
          <w:left w:space="0" w:sz="0" w:val="nil"/>
          <w:bottom w:space="0" w:sz="0" w:val="nil"/>
          <w:right w:space="0" w:sz="0" w:val="nil"/>
          <w:between w:space="0" w:sz="0" w:val="nil"/>
        </w:pBdr>
        <w:jc w:val="center"/>
        <w:rPr/>
      </w:pPr>
      <w:r w:rsidDel="00000000" w:rsidR="00000000" w:rsidRPr="00000000">
        <w:rPr>
          <w:rtl w:val="0"/>
        </w:rPr>
        <w:t xml:space="preserve">|---------------------|-------------|</w:t>
      </w:r>
    </w:p>
    <w:p w:rsidR="00000000" w:rsidDel="00000000" w:rsidP="00000000" w:rsidRDefault="00000000" w:rsidRPr="00000000" w14:paraId="00000049">
      <w:pPr>
        <w:pBdr>
          <w:top w:space="0" w:sz="0" w:val="nil"/>
          <w:left w:space="0" w:sz="0" w:val="nil"/>
          <w:bottom w:space="0" w:sz="0" w:val="nil"/>
          <w:right w:space="0" w:sz="0" w:val="nil"/>
          <w:between w:space="0" w:sz="0" w:val="nil"/>
        </w:pBdr>
        <w:jc w:val="center"/>
        <w:rPr/>
      </w:pPr>
      <w:r w:rsidDel="00000000" w:rsidR="00000000" w:rsidRPr="00000000">
        <w:rPr>
          <w:rtl w:val="0"/>
        </w:rPr>
        <w:t xml:space="preserve">|      Very Low       |   9 - 16.2  |</w:t>
      </w:r>
    </w:p>
    <w:p w:rsidR="00000000" w:rsidDel="00000000" w:rsidP="00000000" w:rsidRDefault="00000000" w:rsidRPr="00000000" w14:paraId="0000004A">
      <w:pPr>
        <w:pBdr>
          <w:top w:space="0" w:sz="0" w:val="nil"/>
          <w:left w:space="0" w:sz="0" w:val="nil"/>
          <w:bottom w:space="0" w:sz="0" w:val="nil"/>
          <w:right w:space="0" w:sz="0" w:val="nil"/>
          <w:between w:space="0" w:sz="0" w:val="nil"/>
        </w:pBdr>
        <w:jc w:val="center"/>
        <w:rPr/>
      </w:pPr>
      <w:r w:rsidDel="00000000" w:rsidR="00000000" w:rsidRPr="00000000">
        <w:rPr>
          <w:rtl w:val="0"/>
        </w:rPr>
        <w:t xml:space="preserve">|        Low          |  16.3 - 23.4 |</w:t>
      </w:r>
    </w:p>
    <w:p w:rsidR="00000000" w:rsidDel="00000000" w:rsidP="00000000" w:rsidRDefault="00000000" w:rsidRPr="00000000" w14:paraId="0000004B">
      <w:pPr>
        <w:pBdr>
          <w:top w:space="0" w:sz="0" w:val="nil"/>
          <w:left w:space="0" w:sz="0" w:val="nil"/>
          <w:bottom w:space="0" w:sz="0" w:val="nil"/>
          <w:right w:space="0" w:sz="0" w:val="nil"/>
          <w:between w:space="0" w:sz="0" w:val="nil"/>
        </w:pBdr>
        <w:jc w:val="center"/>
        <w:rPr/>
      </w:pPr>
      <w:r w:rsidDel="00000000" w:rsidR="00000000" w:rsidRPr="00000000">
        <w:rPr>
          <w:rtl w:val="0"/>
        </w:rPr>
        <w:t xml:space="preserve">|       Average       |  23.5 - 30.6 |</w:t>
      </w:r>
    </w:p>
    <w:p w:rsidR="00000000" w:rsidDel="00000000" w:rsidP="00000000" w:rsidRDefault="00000000" w:rsidRPr="00000000" w14:paraId="0000004C">
      <w:pPr>
        <w:pBdr>
          <w:top w:space="0" w:sz="0" w:val="nil"/>
          <w:left w:space="0" w:sz="0" w:val="nil"/>
          <w:bottom w:space="0" w:sz="0" w:val="nil"/>
          <w:right w:space="0" w:sz="0" w:val="nil"/>
          <w:between w:space="0" w:sz="0" w:val="nil"/>
        </w:pBdr>
        <w:jc w:val="center"/>
        <w:rPr/>
      </w:pPr>
      <w:r w:rsidDel="00000000" w:rsidR="00000000" w:rsidRPr="00000000">
        <w:rPr>
          <w:rtl w:val="0"/>
        </w:rPr>
        <w:t xml:space="preserve">|        High         |  30.7 - 37.8 |</w:t>
      </w:r>
    </w:p>
    <w:p w:rsidR="00000000" w:rsidDel="00000000" w:rsidP="00000000" w:rsidRDefault="00000000" w:rsidRPr="00000000" w14:paraId="0000004D">
      <w:pPr>
        <w:pBdr>
          <w:top w:space="0" w:sz="0" w:val="nil"/>
          <w:left w:space="0" w:sz="0" w:val="nil"/>
          <w:bottom w:space="0" w:sz="0" w:val="nil"/>
          <w:right w:space="0" w:sz="0" w:val="nil"/>
          <w:between w:space="0" w:sz="0" w:val="nil"/>
        </w:pBdr>
        <w:jc w:val="center"/>
        <w:rPr/>
      </w:pPr>
      <w:r w:rsidDel="00000000" w:rsidR="00000000" w:rsidRPr="00000000">
        <w:rPr>
          <w:rtl w:val="0"/>
        </w:rPr>
        <w:t xml:space="preserve">|      Very High      |    37.9 - 45   |</w:t>
      </w:r>
    </w:p>
    <w:p w:rsidR="00000000" w:rsidDel="00000000" w:rsidP="00000000" w:rsidRDefault="00000000" w:rsidRPr="00000000" w14:paraId="0000004E">
      <w:pPr>
        <w:rPr/>
      </w:pPr>
      <w:r w:rsidDel="00000000" w:rsidR="00000000" w:rsidRPr="00000000">
        <w:br w:type="page"/>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50">
      <w:pPr>
        <w:pStyle w:val="Heading1"/>
        <w:pBdr>
          <w:top w:space="0" w:sz="0" w:val="nil"/>
          <w:left w:space="0" w:sz="0" w:val="nil"/>
          <w:bottom w:space="0" w:sz="0" w:val="nil"/>
          <w:right w:space="0" w:sz="0" w:val="nil"/>
          <w:between w:space="0" w:sz="0" w:val="nil"/>
        </w:pBd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tyjcwt" w:id="5"/>
      <w:bookmarkEnd w:id="5"/>
      <w:r w:rsidDel="00000000" w:rsidR="00000000" w:rsidRPr="00000000">
        <w:rPr>
          <w:rtl w:val="0"/>
        </w:rPr>
        <w:t xml:space="preserve">Results</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w:t>
      </w:r>
      <w:r w:rsidDel="00000000" w:rsidR="00000000" w:rsidRPr="00000000">
        <w:rPr>
          <w:rtl w:val="0"/>
        </w:rPr>
      </w:r>
    </w:p>
    <w:p w:rsidR="00000000" w:rsidDel="00000000" w:rsidP="00000000" w:rsidRDefault="00000000" w:rsidRPr="00000000" w14:paraId="00000052">
      <w:pPr>
        <w:rPr/>
      </w:pPr>
      <w:r w:rsidDel="00000000" w:rsidR="00000000" w:rsidRPr="00000000">
        <w:rPr>
          <w:i w:val="1"/>
          <w:color w:val="000000"/>
          <w:rtl w:val="0"/>
        </w:rPr>
        <w:t xml:space="preserve">Mean and Standard Deviation for the dark triad traits by Gender, and T Test</w:t>
      </w:r>
      <w:r w:rsidDel="00000000" w:rsidR="00000000" w:rsidRPr="00000000">
        <w:rPr>
          <w:rtl w:val="0"/>
        </w:rPr>
      </w:r>
    </w:p>
    <w:tbl>
      <w:tblPr>
        <w:tblStyle w:val="Table1"/>
        <w:tblW w:w="9360.0" w:type="dxa"/>
        <w:jc w:val="left"/>
        <w:tblLayout w:type="fixed"/>
        <w:tblLook w:val="0400"/>
      </w:tblPr>
      <w:tblGrid>
        <w:gridCol w:w="2818"/>
        <w:gridCol w:w="260"/>
        <w:gridCol w:w="740"/>
        <w:gridCol w:w="740"/>
        <w:gridCol w:w="260"/>
        <w:gridCol w:w="740"/>
        <w:gridCol w:w="740"/>
        <w:gridCol w:w="260"/>
        <w:gridCol w:w="520"/>
        <w:gridCol w:w="260"/>
        <w:gridCol w:w="882"/>
        <w:gridCol w:w="260"/>
        <w:gridCol w:w="620"/>
        <w:gridCol w:w="260"/>
        <w:tblGridChange w:id="0">
          <w:tblGrid>
            <w:gridCol w:w="2818"/>
            <w:gridCol w:w="260"/>
            <w:gridCol w:w="740"/>
            <w:gridCol w:w="740"/>
            <w:gridCol w:w="260"/>
            <w:gridCol w:w="740"/>
            <w:gridCol w:w="740"/>
            <w:gridCol w:w="260"/>
            <w:gridCol w:w="520"/>
            <w:gridCol w:w="260"/>
            <w:gridCol w:w="882"/>
            <w:gridCol w:w="260"/>
            <w:gridCol w:w="620"/>
            <w:gridCol w:w="260"/>
          </w:tblGrid>
        </w:tblGridChange>
      </w:tblGrid>
      <w:tr>
        <w:trPr>
          <w:cantSplit w:val="0"/>
          <w:trHeight w:val="485" w:hRule="atLeast"/>
          <w:tblHeader w:val="0"/>
        </w:trPr>
        <w:tc>
          <w:tcPr>
            <w:vMerge w:val="restart"/>
            <w:tcBorders>
              <w:top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line="240" w:lineRule="auto"/>
              <w:jc w:val="center"/>
              <w:rPr/>
            </w:pPr>
            <w:r w:rsidDel="00000000" w:rsidR="00000000" w:rsidRPr="00000000">
              <w:rPr>
                <w:color w:val="000000"/>
                <w:rtl w:val="0"/>
              </w:rPr>
              <w:t xml:space="preserve">Dark Triad Personality Traits</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line="240" w:lineRule="auto"/>
              <w:jc w:val="center"/>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line="240" w:lineRule="auto"/>
              <w:jc w:val="center"/>
              <w:rPr/>
            </w:pPr>
            <w:r w:rsidDel="00000000" w:rsidR="00000000" w:rsidRPr="00000000">
              <w:rPr>
                <w:color w:val="000000"/>
                <w:rtl w:val="0"/>
              </w:rPr>
              <w:t xml:space="preserve">Male</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57">
            <w:pPr>
              <w:spacing w:line="240" w:lineRule="auto"/>
              <w:rPr/>
            </w:pPr>
            <w:r w:rsidDel="00000000" w:rsidR="00000000" w:rsidRPr="00000000">
              <w:rPr>
                <w:color w:val="000000"/>
                <w:rtl w:val="0"/>
              </w:rPr>
              <w:t xml:space="preserve"> </w:t>
            </w:r>
            <w:r w:rsidDel="00000000" w:rsidR="00000000" w:rsidRPr="00000000">
              <w:rPr>
                <w:rtl w:val="0"/>
              </w:rPr>
            </w:r>
          </w:p>
        </w:tc>
        <w:tc>
          <w:tcPr>
            <w:gridSpan w:val="2"/>
            <w:tcBorders>
              <w:top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58">
            <w:pPr>
              <w:spacing w:line="240" w:lineRule="auto"/>
              <w:jc w:val="center"/>
              <w:rPr/>
            </w:pPr>
            <w:r w:rsidDel="00000000" w:rsidR="00000000" w:rsidRPr="00000000">
              <w:rPr>
                <w:color w:val="000000"/>
                <w:rtl w:val="0"/>
              </w:rPr>
              <w:t xml:space="preserve">Female</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5A">
            <w:pPr>
              <w:spacing w:line="240" w:lineRule="auto"/>
              <w:rPr/>
            </w:pPr>
            <w:r w:rsidDel="00000000" w:rsidR="00000000" w:rsidRPr="00000000">
              <w:rPr>
                <w:i w:val="1"/>
                <w:color w:val="000000"/>
                <w:rtl w:val="0"/>
              </w:rPr>
              <w:t xml:space="preserve"> </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5B">
            <w:pPr>
              <w:spacing w:line="240" w:lineRule="auto"/>
              <w:rPr/>
            </w:pPr>
            <w:r w:rsidDel="00000000" w:rsidR="00000000" w:rsidRPr="00000000">
              <w:rPr>
                <w:i w:val="1"/>
                <w:color w:val="000000"/>
                <w:rtl w:val="0"/>
              </w:rPr>
              <w:t xml:space="preserve"> </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5C">
            <w:pPr>
              <w:spacing w:line="240" w:lineRule="auto"/>
              <w:rPr/>
            </w:pPr>
            <w:r w:rsidDel="00000000" w:rsidR="00000000" w:rsidRPr="00000000">
              <w:rPr>
                <w:i w:val="1"/>
                <w:color w:val="000000"/>
                <w:rtl w:val="0"/>
              </w:rPr>
              <w:t xml:space="preserve"> </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5D">
            <w:pPr>
              <w:spacing w:line="240" w:lineRule="auto"/>
              <w:rPr/>
            </w:pPr>
            <w:r w:rsidDel="00000000" w:rsidR="00000000" w:rsidRPr="00000000">
              <w:rPr>
                <w:i w:val="1"/>
                <w:color w:val="000000"/>
                <w:rtl w:val="0"/>
              </w:rPr>
              <w:t xml:space="preserve"> </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5E">
            <w:pPr>
              <w:spacing w:line="240" w:lineRule="auto"/>
              <w:rPr/>
            </w:pPr>
            <w:r w:rsidDel="00000000" w:rsidR="00000000" w:rsidRPr="00000000">
              <w:rPr>
                <w:i w:val="1"/>
                <w:color w:val="000000"/>
                <w:rtl w:val="0"/>
              </w:rPr>
              <w:t xml:space="preserve"> </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5F">
            <w:pPr>
              <w:spacing w:line="240" w:lineRule="auto"/>
              <w:rPr/>
            </w:pPr>
            <w:r w:rsidDel="00000000" w:rsidR="00000000" w:rsidRPr="00000000">
              <w:rPr>
                <w:i w:val="1"/>
                <w:color w:val="000000"/>
                <w:rtl w:val="0"/>
              </w:rPr>
              <w:t xml:space="preserve"> </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60">
            <w:pPr>
              <w:spacing w:line="240" w:lineRule="auto"/>
              <w:rPr/>
            </w:pPr>
            <w:r w:rsidDel="00000000" w:rsidR="00000000" w:rsidRPr="00000000">
              <w:rPr>
                <w:i w:val="1"/>
                <w:color w:val="000000"/>
                <w:rtl w:val="0"/>
              </w:rPr>
              <w:t xml:space="preserve"> </w:t>
            </w:r>
            <w:r w:rsidDel="00000000" w:rsidR="00000000" w:rsidRPr="00000000">
              <w:rPr>
                <w:rtl w:val="0"/>
              </w:rPr>
            </w:r>
          </w:p>
        </w:tc>
      </w:tr>
      <w:tr>
        <w:trPr>
          <w:cantSplit w:val="0"/>
          <w:trHeight w:val="755" w:hRule="atLeast"/>
          <w:tblHeader w:val="0"/>
        </w:trPr>
        <w:tc>
          <w:tcPr>
            <w:vMerge w:val="continue"/>
            <w:tcBorders>
              <w:top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2">
            <w:pPr>
              <w:spacing w:line="240" w:lineRule="auto"/>
              <w:rPr/>
            </w:pPr>
            <w:r w:rsidDel="00000000" w:rsidR="00000000" w:rsidRPr="00000000">
              <w:rPr>
                <w:i w:val="1"/>
                <w:color w:val="000000"/>
                <w:rtl w:val="0"/>
              </w:rPr>
              <w:t xml:space="preserve"> </w:t>
            </w:r>
            <w:r w:rsidDel="00000000" w:rsidR="00000000" w:rsidRPr="00000000">
              <w:rPr>
                <w:rtl w:val="0"/>
              </w:rPr>
            </w:r>
          </w:p>
        </w:tc>
        <w:tc>
          <w:tcPr>
            <w:tcBorders>
              <w:top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63">
            <w:pPr>
              <w:spacing w:line="240" w:lineRule="auto"/>
              <w:jc w:val="center"/>
              <w:rPr/>
            </w:pPr>
            <w:r w:rsidDel="00000000" w:rsidR="00000000" w:rsidRPr="00000000">
              <w:rPr>
                <w:i w:val="1"/>
                <w:color w:val="000000"/>
                <w:rtl w:val="0"/>
              </w:rPr>
              <w:t xml:space="preserve">M</w:t>
            </w:r>
            <w:r w:rsidDel="00000000" w:rsidR="00000000" w:rsidRPr="00000000">
              <w:rPr>
                <w:rtl w:val="0"/>
              </w:rPr>
            </w:r>
          </w:p>
        </w:tc>
        <w:tc>
          <w:tcPr>
            <w:tcBorders>
              <w:top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64">
            <w:pPr>
              <w:spacing w:line="240" w:lineRule="auto"/>
              <w:jc w:val="center"/>
              <w:rPr/>
            </w:pPr>
            <w:r w:rsidDel="00000000" w:rsidR="00000000" w:rsidRPr="00000000">
              <w:rPr>
                <w:i w:val="1"/>
                <w:color w:val="000000"/>
                <w:rtl w:val="0"/>
              </w:rPr>
              <w:t xml:space="preserve">SD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5">
            <w:pPr>
              <w:spacing w:line="240" w:lineRule="auto"/>
              <w:jc w:val="center"/>
              <w:rPr/>
            </w:pPr>
            <w:r w:rsidDel="00000000" w:rsidR="00000000" w:rsidRPr="00000000">
              <w:rPr>
                <w:i w:val="1"/>
                <w:color w:val="000000"/>
                <w:rtl w:val="0"/>
              </w:rPr>
              <w:t xml:space="preserve"> </w:t>
            </w:r>
            <w:r w:rsidDel="00000000" w:rsidR="00000000" w:rsidRPr="00000000">
              <w:rPr>
                <w:rtl w:val="0"/>
              </w:rPr>
            </w:r>
          </w:p>
        </w:tc>
        <w:tc>
          <w:tcPr>
            <w:tcBorders>
              <w:top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66">
            <w:pPr>
              <w:spacing w:line="240" w:lineRule="auto"/>
              <w:jc w:val="center"/>
              <w:rPr/>
            </w:pPr>
            <w:r w:rsidDel="00000000" w:rsidR="00000000" w:rsidRPr="00000000">
              <w:rPr>
                <w:i w:val="1"/>
                <w:color w:val="000000"/>
                <w:rtl w:val="0"/>
              </w:rPr>
              <w:t xml:space="preserve">M</w:t>
            </w:r>
            <w:r w:rsidDel="00000000" w:rsidR="00000000" w:rsidRPr="00000000">
              <w:rPr>
                <w:rtl w:val="0"/>
              </w:rPr>
            </w:r>
          </w:p>
        </w:tc>
        <w:tc>
          <w:tcPr>
            <w:tcBorders>
              <w:top w:color="000000" w:space="0" w:sz="8" w:val="single"/>
              <w:bottom w:color="000000" w:space="0" w:sz="8" w:val="single"/>
            </w:tcBorders>
            <w:tcMar>
              <w:top w:w="100.0" w:type="dxa"/>
              <w:left w:w="100.0" w:type="dxa"/>
              <w:bottom w:w="100.0" w:type="dxa"/>
              <w:right w:w="100.0" w:type="dxa"/>
            </w:tcMar>
          </w:tcPr>
          <w:p w:rsidR="00000000" w:rsidDel="00000000" w:rsidP="00000000" w:rsidRDefault="00000000" w:rsidRPr="00000000" w14:paraId="00000067">
            <w:pPr>
              <w:spacing w:line="240" w:lineRule="auto"/>
              <w:jc w:val="center"/>
              <w:rPr/>
            </w:pPr>
            <w:r w:rsidDel="00000000" w:rsidR="00000000" w:rsidRPr="00000000">
              <w:rPr>
                <w:i w:val="1"/>
                <w:color w:val="000000"/>
                <w:rtl w:val="0"/>
              </w:rPr>
              <w:t xml:space="preserve">SD</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8">
            <w:pPr>
              <w:spacing w:line="240" w:lineRule="auto"/>
              <w:jc w:val="center"/>
              <w:rPr/>
            </w:pPr>
            <w:r w:rsidDel="00000000" w:rsidR="00000000" w:rsidRPr="00000000">
              <w:rPr>
                <w:i w:val="1"/>
                <w:color w:val="000000"/>
                <w:rtl w:val="0"/>
              </w:rPr>
              <w:t xml:space="preserve"> </w:t>
            </w:r>
            <w:r w:rsidDel="00000000" w:rsidR="00000000" w:rsidRPr="00000000">
              <w:rPr>
                <w:rtl w:val="0"/>
              </w:rPr>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14:paraId="00000069">
            <w:pPr>
              <w:spacing w:line="240" w:lineRule="auto"/>
              <w:jc w:val="center"/>
              <w:rPr/>
            </w:pPr>
            <w:r w:rsidDel="00000000" w:rsidR="00000000" w:rsidRPr="00000000">
              <w:rPr>
                <w:i w:val="1"/>
                <w:color w:val="000000"/>
                <w:rtl w:val="0"/>
              </w:rPr>
              <w:t xml:space="preserve">DF</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A">
            <w:pPr>
              <w:spacing w:line="240" w:lineRule="auto"/>
              <w:jc w:val="center"/>
              <w:rPr/>
            </w:pPr>
            <w:r w:rsidDel="00000000" w:rsidR="00000000" w:rsidRPr="00000000">
              <w:rPr>
                <w:i w:val="1"/>
                <w:color w:val="000000"/>
                <w:rtl w:val="0"/>
              </w:rPr>
              <w:t xml:space="preserve"> </w:t>
            </w:r>
            <w:r w:rsidDel="00000000" w:rsidR="00000000" w:rsidRPr="00000000">
              <w:rPr>
                <w:rtl w:val="0"/>
              </w:rPr>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14:paraId="0000006B">
            <w:pPr>
              <w:spacing w:line="240" w:lineRule="auto"/>
              <w:jc w:val="center"/>
              <w:rPr>
                <w:i w:val="1"/>
              </w:rPr>
            </w:pPr>
            <w:r w:rsidDel="00000000" w:rsidR="00000000" w:rsidRPr="00000000">
              <w:rPr>
                <w:i w:val="1"/>
                <w:rtl w:val="0"/>
              </w:rPr>
              <w:t xml:space="preserve">T Ratio</w:t>
            </w:r>
          </w:p>
        </w:tc>
        <w:tc>
          <w:tcPr>
            <w:tcMar>
              <w:top w:w="100.0" w:type="dxa"/>
              <w:left w:w="100.0" w:type="dxa"/>
              <w:bottom w:w="100.0" w:type="dxa"/>
              <w:right w:w="100.0" w:type="dxa"/>
            </w:tcMar>
          </w:tcPr>
          <w:p w:rsidR="00000000" w:rsidDel="00000000" w:rsidP="00000000" w:rsidRDefault="00000000" w:rsidRPr="00000000" w14:paraId="0000006C">
            <w:pPr>
              <w:spacing w:line="240" w:lineRule="auto"/>
              <w:jc w:val="center"/>
              <w:rPr/>
            </w:pPr>
            <w:r w:rsidDel="00000000" w:rsidR="00000000" w:rsidRPr="00000000">
              <w:rPr>
                <w:i w:val="1"/>
                <w:color w:val="000000"/>
                <w:rtl w:val="0"/>
              </w:rPr>
              <w:t xml:space="preserve"> </w:t>
            </w:r>
            <w:r w:rsidDel="00000000" w:rsidR="00000000" w:rsidRPr="00000000">
              <w:rPr>
                <w:rtl w:val="0"/>
              </w:rPr>
            </w:r>
          </w:p>
        </w:tc>
        <w:tc>
          <w:tcPr>
            <w:tcBorders>
              <w:bottom w:color="000000" w:space="0" w:sz="8" w:val="single"/>
            </w:tcBorders>
            <w:tcMar>
              <w:top w:w="100.0" w:type="dxa"/>
              <w:left w:w="100.0" w:type="dxa"/>
              <w:bottom w:w="100.0" w:type="dxa"/>
              <w:right w:w="100.0" w:type="dxa"/>
            </w:tcMar>
          </w:tcPr>
          <w:p w:rsidR="00000000" w:rsidDel="00000000" w:rsidP="00000000" w:rsidRDefault="00000000" w:rsidRPr="00000000" w14:paraId="0000006D">
            <w:pPr>
              <w:spacing w:line="240" w:lineRule="auto"/>
              <w:jc w:val="center"/>
              <w:rPr/>
            </w:pPr>
            <w:r w:rsidDel="00000000" w:rsidR="00000000" w:rsidRPr="00000000">
              <w:rPr>
                <w:i w:val="1"/>
                <w:color w:val="000000"/>
                <w:rtl w:val="0"/>
              </w:rPr>
              <w:t xml:space="preserve">Sig.</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6E">
            <w:pPr>
              <w:spacing w:line="240" w:lineRule="auto"/>
              <w:jc w:val="center"/>
              <w:rPr/>
            </w:pPr>
            <w:r w:rsidDel="00000000" w:rsidR="00000000" w:rsidRPr="00000000">
              <w:rPr>
                <w:color w:val="000000"/>
                <w:rtl w:val="0"/>
              </w:rPr>
              <w:t xml:space="preserve"> </w:t>
            </w:r>
            <w:r w:rsidDel="00000000" w:rsidR="00000000" w:rsidRPr="00000000">
              <w:rPr>
                <w:rtl w:val="0"/>
              </w:rPr>
            </w:r>
          </w:p>
        </w:tc>
      </w:tr>
      <w:tr>
        <w:trPr>
          <w:cantSplit w:val="0"/>
          <w:trHeight w:val="485" w:hRule="atLeast"/>
          <w:tblHeader w:val="0"/>
        </w:trPr>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6F">
            <w:pPr>
              <w:spacing w:line="240" w:lineRule="auto"/>
              <w:rPr/>
            </w:pPr>
            <w:r w:rsidDel="00000000" w:rsidR="00000000" w:rsidRPr="00000000">
              <w:rPr>
                <w:color w:val="000000"/>
                <w:rtl w:val="0"/>
              </w:rPr>
              <w:t xml:space="preserve">Machiavellianism</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0">
            <w:pPr>
              <w:spacing w:line="240" w:lineRule="auto"/>
              <w:rPr/>
            </w:pPr>
            <w:r w:rsidDel="00000000" w:rsidR="00000000" w:rsidRPr="00000000">
              <w:rPr>
                <w:color w:val="000000"/>
                <w:rtl w:val="0"/>
              </w:rPr>
              <w:t xml:space="preserve"> </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71">
            <w:pPr>
              <w:spacing w:line="240" w:lineRule="auto"/>
              <w:jc w:val="center"/>
              <w:rPr/>
            </w:pPr>
            <w:r w:rsidDel="00000000" w:rsidR="00000000" w:rsidRPr="00000000">
              <w:rPr>
                <w:color w:val="000000"/>
                <w:rtl w:val="0"/>
              </w:rPr>
              <w:t xml:space="preserve">32.32</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72">
            <w:pPr>
              <w:spacing w:line="240" w:lineRule="auto"/>
              <w:jc w:val="center"/>
              <w:rPr/>
            </w:pPr>
            <w:r w:rsidDel="00000000" w:rsidR="00000000" w:rsidRPr="00000000">
              <w:rPr>
                <w:color w:val="000000"/>
                <w:rtl w:val="0"/>
              </w:rPr>
              <w:t xml:space="preserve">5.040</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3">
            <w:pPr>
              <w:spacing w:line="240" w:lineRule="auto"/>
              <w:jc w:val="center"/>
              <w:rPr/>
            </w:pPr>
            <w:r w:rsidDel="00000000" w:rsidR="00000000" w:rsidRPr="00000000">
              <w:rPr>
                <w:color w:val="000000"/>
                <w:rtl w:val="0"/>
              </w:rPr>
              <w:t xml:space="preserve"> </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74">
            <w:pPr>
              <w:spacing w:line="240" w:lineRule="auto"/>
              <w:jc w:val="center"/>
              <w:rPr/>
            </w:pPr>
            <w:r w:rsidDel="00000000" w:rsidR="00000000" w:rsidRPr="00000000">
              <w:rPr>
                <w:color w:val="000000"/>
                <w:rtl w:val="0"/>
              </w:rPr>
              <w:t xml:space="preserve">29.56</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75">
            <w:pPr>
              <w:spacing w:line="240" w:lineRule="auto"/>
              <w:jc w:val="center"/>
              <w:rPr/>
            </w:pPr>
            <w:r w:rsidDel="00000000" w:rsidR="00000000" w:rsidRPr="00000000">
              <w:rPr>
                <w:color w:val="000000"/>
                <w:rtl w:val="0"/>
              </w:rPr>
              <w:t xml:space="preserve">5.726</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6">
            <w:pPr>
              <w:spacing w:line="240" w:lineRule="auto"/>
              <w:jc w:val="center"/>
              <w:rPr/>
            </w:pPr>
            <w:r w:rsidDel="00000000" w:rsidR="00000000" w:rsidRPr="00000000">
              <w:rPr>
                <w:color w:val="000000"/>
                <w:rtl w:val="0"/>
              </w:rPr>
              <w:t xml:space="preserve"> </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77">
            <w:pPr>
              <w:spacing w:line="240" w:lineRule="auto"/>
              <w:jc w:val="center"/>
              <w:rPr/>
            </w:pPr>
            <w:r w:rsidDel="00000000" w:rsidR="00000000" w:rsidRPr="00000000">
              <w:rPr>
                <w:color w:val="000000"/>
                <w:rtl w:val="0"/>
              </w:rPr>
              <w:t xml:space="preserve">98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8">
            <w:pPr>
              <w:spacing w:line="240" w:lineRule="auto"/>
              <w:jc w:val="center"/>
              <w:rPr/>
            </w:pPr>
            <w:r w:rsidDel="00000000" w:rsidR="00000000" w:rsidRPr="00000000">
              <w:rPr>
                <w:color w:val="000000"/>
                <w:rtl w:val="0"/>
              </w:rPr>
              <w:t xml:space="preserve"> </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79">
            <w:pPr>
              <w:spacing w:line="240" w:lineRule="auto"/>
              <w:jc w:val="center"/>
              <w:rPr/>
            </w:pPr>
            <w:r w:rsidDel="00000000" w:rsidR="00000000" w:rsidRPr="00000000">
              <w:rPr>
                <w:color w:val="000000"/>
                <w:rtl w:val="0"/>
              </w:rPr>
              <w:t xml:space="preserve">1.471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A">
            <w:pPr>
              <w:spacing w:line="240" w:lineRule="auto"/>
              <w:jc w:val="center"/>
              <w:rPr/>
            </w:pPr>
            <w:r w:rsidDel="00000000" w:rsidR="00000000" w:rsidRPr="00000000">
              <w:rPr>
                <w:color w:val="000000"/>
                <w:rtl w:val="0"/>
              </w:rPr>
              <w:t xml:space="preserve"> </w:t>
            </w:r>
            <w:r w:rsidDel="00000000" w:rsidR="00000000" w:rsidRPr="00000000">
              <w:rPr>
                <w:rtl w:val="0"/>
              </w:rPr>
            </w:r>
          </w:p>
        </w:tc>
        <w:tc>
          <w:tcPr>
            <w:tcBorders>
              <w:top w:color="000000" w:space="0" w:sz="8" w:val="single"/>
            </w:tcBorders>
            <w:tcMar>
              <w:top w:w="100.0" w:type="dxa"/>
              <w:left w:w="100.0" w:type="dxa"/>
              <w:bottom w:w="100.0" w:type="dxa"/>
              <w:right w:w="100.0" w:type="dxa"/>
            </w:tcMar>
          </w:tcPr>
          <w:p w:rsidR="00000000" w:rsidDel="00000000" w:rsidP="00000000" w:rsidRDefault="00000000" w:rsidRPr="00000000" w14:paraId="0000007B">
            <w:pPr>
              <w:spacing w:line="240" w:lineRule="auto"/>
              <w:jc w:val="center"/>
              <w:rPr/>
            </w:pPr>
            <w:r w:rsidDel="00000000" w:rsidR="00000000" w:rsidRPr="00000000">
              <w:rPr>
                <w:color w:val="000000"/>
                <w:rtl w:val="0"/>
              </w:rPr>
              <w:t xml:space="preserve">.145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C">
            <w:pPr>
              <w:spacing w:line="240" w:lineRule="auto"/>
              <w:jc w:val="center"/>
              <w:rPr/>
            </w:pPr>
            <w:r w:rsidDel="00000000" w:rsidR="00000000" w:rsidRPr="00000000">
              <w:rPr>
                <w:color w:val="000000"/>
                <w:rtl w:val="0"/>
              </w:rPr>
              <w:t xml:space="preserve"> </w:t>
            </w:r>
            <w:r w:rsidDel="00000000" w:rsidR="00000000" w:rsidRPr="00000000">
              <w:rPr>
                <w:rtl w:val="0"/>
              </w:rPr>
            </w:r>
          </w:p>
        </w:tc>
      </w:tr>
      <w:tr>
        <w:trPr>
          <w:cantSplit w:val="0"/>
          <w:trHeight w:val="470" w:hRule="atLeast"/>
          <w:tblHeader w:val="0"/>
        </w:trPr>
        <w:tc>
          <w:tcPr>
            <w:tcMar>
              <w:top w:w="100.0" w:type="dxa"/>
              <w:left w:w="100.0" w:type="dxa"/>
              <w:bottom w:w="100.0" w:type="dxa"/>
              <w:right w:w="100.0" w:type="dxa"/>
            </w:tcMar>
          </w:tcPr>
          <w:p w:rsidR="00000000" w:rsidDel="00000000" w:rsidP="00000000" w:rsidRDefault="00000000" w:rsidRPr="00000000" w14:paraId="0000007D">
            <w:pPr>
              <w:spacing w:line="240" w:lineRule="auto"/>
              <w:rPr/>
            </w:pPr>
            <w:r w:rsidDel="00000000" w:rsidR="00000000" w:rsidRPr="00000000">
              <w:rPr>
                <w:color w:val="000000"/>
                <w:rtl w:val="0"/>
              </w:rPr>
              <w:t xml:space="preserve">Narcissism</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E">
            <w:pPr>
              <w:spacing w:line="240" w:lineRule="auto"/>
              <w:rPr/>
            </w:pPr>
            <w:r w:rsidDel="00000000" w:rsidR="00000000" w:rsidRPr="00000000">
              <w:rPr>
                <w:color w:val="000000"/>
                <w:rtl w:val="0"/>
              </w:rPr>
              <w:t xml:space="preserve">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7F">
            <w:pPr>
              <w:spacing w:line="240" w:lineRule="auto"/>
              <w:jc w:val="center"/>
              <w:rPr/>
            </w:pPr>
            <w:r w:rsidDel="00000000" w:rsidR="00000000" w:rsidRPr="00000000">
              <w:rPr>
                <w:color w:val="000000"/>
                <w:rtl w:val="0"/>
              </w:rPr>
              <w:t xml:space="preserve">28.26</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0">
            <w:pPr>
              <w:spacing w:line="240" w:lineRule="auto"/>
              <w:jc w:val="center"/>
              <w:rPr/>
            </w:pPr>
            <w:r w:rsidDel="00000000" w:rsidR="00000000" w:rsidRPr="00000000">
              <w:rPr>
                <w:color w:val="000000"/>
                <w:rtl w:val="0"/>
              </w:rPr>
              <w:t xml:space="preserve">4.045</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1">
            <w:pPr>
              <w:spacing w:line="240" w:lineRule="auto"/>
              <w:jc w:val="center"/>
              <w:rPr/>
            </w:pPr>
            <w:r w:rsidDel="00000000" w:rsidR="00000000" w:rsidRPr="00000000">
              <w:rPr>
                <w:color w:val="000000"/>
                <w:rtl w:val="0"/>
              </w:rPr>
              <w:t xml:space="preserve">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2">
            <w:pPr>
              <w:spacing w:line="240" w:lineRule="auto"/>
              <w:jc w:val="center"/>
              <w:rPr/>
            </w:pPr>
            <w:r w:rsidDel="00000000" w:rsidR="00000000" w:rsidRPr="00000000">
              <w:rPr>
                <w:color w:val="000000"/>
                <w:rtl w:val="0"/>
              </w:rPr>
              <w:t xml:space="preserve">26.66</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3">
            <w:pPr>
              <w:spacing w:line="240" w:lineRule="auto"/>
              <w:jc w:val="center"/>
              <w:rPr/>
            </w:pPr>
            <w:r w:rsidDel="00000000" w:rsidR="00000000" w:rsidRPr="00000000">
              <w:rPr>
                <w:color w:val="000000"/>
                <w:rtl w:val="0"/>
              </w:rPr>
              <w:t xml:space="preserve">4.561</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4">
            <w:pPr>
              <w:spacing w:line="240" w:lineRule="auto"/>
              <w:jc w:val="center"/>
              <w:rPr/>
            </w:pPr>
            <w:r w:rsidDel="00000000" w:rsidR="00000000" w:rsidRPr="00000000">
              <w:rPr>
                <w:color w:val="000000"/>
                <w:rtl w:val="0"/>
              </w:rPr>
              <w:t xml:space="preserve">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5">
            <w:pPr>
              <w:spacing w:line="240" w:lineRule="auto"/>
              <w:jc w:val="center"/>
              <w:rPr/>
            </w:pPr>
            <w:r w:rsidDel="00000000" w:rsidR="00000000" w:rsidRPr="00000000">
              <w:rPr>
                <w:color w:val="000000"/>
                <w:rtl w:val="0"/>
              </w:rPr>
              <w:t xml:space="preserve">98</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6">
            <w:pPr>
              <w:spacing w:line="240" w:lineRule="auto"/>
              <w:jc w:val="center"/>
              <w:rPr/>
            </w:pPr>
            <w:r w:rsidDel="00000000" w:rsidR="00000000" w:rsidRPr="00000000">
              <w:rPr>
                <w:color w:val="000000"/>
                <w:rtl w:val="0"/>
              </w:rPr>
              <w:t xml:space="preserve">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7">
            <w:pPr>
              <w:spacing w:line="240" w:lineRule="auto"/>
              <w:jc w:val="center"/>
              <w:rPr/>
            </w:pPr>
            <w:r w:rsidDel="00000000" w:rsidR="00000000" w:rsidRPr="00000000">
              <w:rPr>
                <w:color w:val="000000"/>
                <w:rtl w:val="0"/>
              </w:rPr>
              <w:t xml:space="preserve">0.199</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8">
            <w:pPr>
              <w:spacing w:line="240" w:lineRule="auto"/>
              <w:jc w:val="center"/>
              <w:rPr/>
            </w:pPr>
            <w:r w:rsidDel="00000000" w:rsidR="00000000" w:rsidRPr="00000000">
              <w:rPr>
                <w:color w:val="000000"/>
                <w:rtl w:val="0"/>
              </w:rPr>
              <w:t xml:space="preserve"> </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9">
            <w:pPr>
              <w:spacing w:line="240" w:lineRule="auto"/>
              <w:jc w:val="center"/>
              <w:rPr/>
            </w:pPr>
            <w:r w:rsidDel="00000000" w:rsidR="00000000" w:rsidRPr="00000000">
              <w:rPr>
                <w:color w:val="000000"/>
                <w:rtl w:val="0"/>
              </w:rPr>
              <w:t xml:space="preserve">.843</w:t>
            </w: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14:paraId="0000008A">
            <w:pPr>
              <w:spacing w:line="240" w:lineRule="auto"/>
              <w:jc w:val="center"/>
              <w:rPr/>
            </w:pPr>
            <w:r w:rsidDel="00000000" w:rsidR="00000000" w:rsidRPr="00000000">
              <w:rPr>
                <w:color w:val="000000"/>
                <w:rtl w:val="0"/>
              </w:rPr>
              <w:t xml:space="preserve"> </w:t>
            </w:r>
            <w:r w:rsidDel="00000000" w:rsidR="00000000" w:rsidRPr="00000000">
              <w:rPr>
                <w:rtl w:val="0"/>
              </w:rPr>
            </w:r>
          </w:p>
        </w:tc>
      </w:tr>
      <w:tr>
        <w:trPr>
          <w:cantSplit w:val="0"/>
          <w:trHeight w:val="470" w:hRule="atLeast"/>
          <w:tblHeader w:val="0"/>
        </w:trPr>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8B">
            <w:pPr>
              <w:spacing w:line="240" w:lineRule="auto"/>
              <w:rPr/>
            </w:pPr>
            <w:r w:rsidDel="00000000" w:rsidR="00000000" w:rsidRPr="00000000">
              <w:rPr>
                <w:color w:val="000000"/>
                <w:rtl w:val="0"/>
              </w:rPr>
              <w:t xml:space="preserve">Psychopathy</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8C">
            <w:pPr>
              <w:spacing w:line="240" w:lineRule="auto"/>
              <w:rPr/>
            </w:pPr>
            <w:r w:rsidDel="00000000" w:rsidR="00000000" w:rsidRPr="00000000">
              <w:rPr>
                <w:color w:val="000000"/>
                <w:rtl w:val="0"/>
              </w:rPr>
              <w:t xml:space="preserve"> </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8D">
            <w:pPr>
              <w:spacing w:line="240" w:lineRule="auto"/>
              <w:jc w:val="center"/>
              <w:rPr/>
            </w:pPr>
            <w:r w:rsidDel="00000000" w:rsidR="00000000" w:rsidRPr="00000000">
              <w:rPr>
                <w:color w:val="000000"/>
                <w:rtl w:val="0"/>
              </w:rPr>
              <w:t xml:space="preserve">26.88</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8E">
            <w:pPr>
              <w:spacing w:line="240" w:lineRule="auto"/>
              <w:jc w:val="center"/>
              <w:rPr/>
            </w:pPr>
            <w:r w:rsidDel="00000000" w:rsidR="00000000" w:rsidRPr="00000000">
              <w:rPr>
                <w:color w:val="000000"/>
                <w:rtl w:val="0"/>
              </w:rPr>
              <w:t xml:space="preserve">5.173</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8F">
            <w:pPr>
              <w:spacing w:line="240" w:lineRule="auto"/>
              <w:jc w:val="center"/>
              <w:rPr/>
            </w:pPr>
            <w:r w:rsidDel="00000000" w:rsidR="00000000" w:rsidRPr="00000000">
              <w:rPr>
                <w:color w:val="000000"/>
                <w:rtl w:val="0"/>
              </w:rPr>
              <w:t xml:space="preserve"> </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90">
            <w:pPr>
              <w:spacing w:line="240" w:lineRule="auto"/>
              <w:jc w:val="center"/>
              <w:rPr/>
            </w:pPr>
            <w:r w:rsidDel="00000000" w:rsidR="00000000" w:rsidRPr="00000000">
              <w:rPr>
                <w:color w:val="000000"/>
                <w:rtl w:val="0"/>
              </w:rPr>
              <w:t xml:space="preserve">22.96</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91">
            <w:pPr>
              <w:spacing w:line="240" w:lineRule="auto"/>
              <w:jc w:val="center"/>
              <w:rPr/>
            </w:pPr>
            <w:r w:rsidDel="00000000" w:rsidR="00000000" w:rsidRPr="00000000">
              <w:rPr>
                <w:color w:val="000000"/>
                <w:rtl w:val="0"/>
              </w:rPr>
              <w:t xml:space="preserve">4.998</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92">
            <w:pPr>
              <w:spacing w:line="240" w:lineRule="auto"/>
              <w:jc w:val="center"/>
              <w:rPr/>
            </w:pPr>
            <w:r w:rsidDel="00000000" w:rsidR="00000000" w:rsidRPr="00000000">
              <w:rPr>
                <w:color w:val="000000"/>
                <w:rtl w:val="0"/>
              </w:rPr>
              <w:t xml:space="preserve"> </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93">
            <w:pPr>
              <w:spacing w:line="240" w:lineRule="auto"/>
              <w:jc w:val="center"/>
              <w:rPr/>
            </w:pPr>
            <w:r w:rsidDel="00000000" w:rsidR="00000000" w:rsidRPr="00000000">
              <w:rPr>
                <w:color w:val="000000"/>
                <w:rtl w:val="0"/>
              </w:rPr>
              <w:t xml:space="preserve">98</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94">
            <w:pPr>
              <w:spacing w:line="240" w:lineRule="auto"/>
              <w:jc w:val="center"/>
              <w:rPr/>
            </w:pPr>
            <w:r w:rsidDel="00000000" w:rsidR="00000000" w:rsidRPr="00000000">
              <w:rPr>
                <w:color w:val="000000"/>
                <w:rtl w:val="0"/>
              </w:rPr>
              <w:t xml:space="preserve"> </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95">
            <w:pPr>
              <w:spacing w:line="240" w:lineRule="auto"/>
              <w:jc w:val="center"/>
              <w:rPr/>
            </w:pPr>
            <w:r w:rsidDel="00000000" w:rsidR="00000000" w:rsidRPr="00000000">
              <w:rPr>
                <w:color w:val="000000"/>
                <w:rtl w:val="0"/>
              </w:rPr>
              <w:t xml:space="preserve">-2.338</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96">
            <w:pPr>
              <w:spacing w:line="240" w:lineRule="auto"/>
              <w:jc w:val="center"/>
              <w:rPr/>
            </w:pPr>
            <w:r w:rsidDel="00000000" w:rsidR="00000000" w:rsidRPr="00000000">
              <w:rPr>
                <w:color w:val="000000"/>
                <w:rtl w:val="0"/>
              </w:rPr>
              <w:t xml:space="preserve"> </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97">
            <w:pPr>
              <w:spacing w:line="240" w:lineRule="auto"/>
              <w:jc w:val="center"/>
              <w:rPr/>
            </w:pPr>
            <w:r w:rsidDel="00000000" w:rsidR="00000000" w:rsidRPr="00000000">
              <w:rPr>
                <w:color w:val="000000"/>
                <w:rtl w:val="0"/>
              </w:rPr>
              <w:t xml:space="preserve">.028</w:t>
            </w:r>
            <w:r w:rsidDel="00000000" w:rsidR="00000000" w:rsidRPr="00000000">
              <w:rPr>
                <w:rtl w:val="0"/>
              </w:rPr>
            </w:r>
          </w:p>
        </w:tc>
        <w:tc>
          <w:tcPr>
            <w:tcBorders>
              <w:bottom w:color="000000" w:space="0" w:sz="4" w:val="single"/>
            </w:tcBorders>
            <w:tcMar>
              <w:top w:w="100.0" w:type="dxa"/>
              <w:left w:w="100.0" w:type="dxa"/>
              <w:bottom w:w="100.0" w:type="dxa"/>
              <w:right w:w="100.0" w:type="dxa"/>
            </w:tcMar>
          </w:tcPr>
          <w:p w:rsidR="00000000" w:rsidDel="00000000" w:rsidP="00000000" w:rsidRDefault="00000000" w:rsidRPr="00000000" w14:paraId="00000098">
            <w:pPr>
              <w:spacing w:line="240" w:lineRule="auto"/>
              <w:jc w:val="center"/>
              <w:rPr/>
            </w:pP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099">
      <w:pPr>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A">
      <w:pPr>
        <w:pStyle w:val="Heading1"/>
        <w:pBdr>
          <w:top w:space="0" w:sz="0" w:val="nil"/>
          <w:left w:space="0" w:sz="0" w:val="nil"/>
          <w:bottom w:space="0" w:sz="0" w:val="nil"/>
          <w:right w:space="0" w:sz="0" w:val="nil"/>
          <w:between w:space="0" w:sz="0" w:val="nil"/>
        </w:pBdr>
        <w:rPr/>
      </w:pPr>
      <w:bookmarkStart w:colFirst="0" w:colLast="0" w:name="_3dy6vkm" w:id="6"/>
      <w:bookmarkEnd w:id="6"/>
      <w:r w:rsidDel="00000000" w:rsidR="00000000" w:rsidRPr="00000000">
        <w:rPr>
          <w:rtl w:val="0"/>
        </w:rPr>
        <w:t xml:space="preserve">Discussion</w:t>
      </w:r>
    </w:p>
    <w:p w:rsidR="00000000" w:rsidDel="00000000" w:rsidP="00000000" w:rsidRDefault="00000000" w:rsidRPr="00000000" w14:paraId="0000009B">
      <w:pPr>
        <w:jc w:val="both"/>
        <w:rPr/>
      </w:pPr>
      <w:r w:rsidDel="00000000" w:rsidR="00000000" w:rsidRPr="00000000">
        <w:rPr>
          <w:rtl w:val="0"/>
        </w:rPr>
        <w:t xml:space="preserve">The table provides information on the mean and standard deviation for three dark triad personality traits, namely Machiavellianism, Narcissism, and Psychopathy, segmented by gender. The mean values for Machiavellianism indicate that males scored an average of 32.32 (SD = 5.040), while females scored slightly lower with an average of 29.56 (SD = 5.726). The difference in mean scores between genders is not statistically significant, as indicated by a T ratio of 1.471 (DF = 98, Sig. = .145).</w:t>
      </w:r>
    </w:p>
    <w:p w:rsidR="00000000" w:rsidDel="00000000" w:rsidP="00000000" w:rsidRDefault="00000000" w:rsidRPr="00000000" w14:paraId="0000009C">
      <w:pPr>
        <w:jc w:val="both"/>
        <w:rPr/>
      </w:pPr>
      <w:r w:rsidDel="00000000" w:rsidR="00000000" w:rsidRPr="00000000">
        <w:rPr>
          <w:rtl w:val="0"/>
        </w:rPr>
      </w:r>
    </w:p>
    <w:p w:rsidR="00000000" w:rsidDel="00000000" w:rsidP="00000000" w:rsidRDefault="00000000" w:rsidRPr="00000000" w14:paraId="0000009D">
      <w:pPr>
        <w:jc w:val="both"/>
        <w:rPr/>
      </w:pPr>
      <w:r w:rsidDel="00000000" w:rsidR="00000000" w:rsidRPr="00000000">
        <w:rPr>
          <w:rtl w:val="0"/>
        </w:rPr>
        <w:t xml:space="preserve">Regarding Narcissism, the mean score for males is 28.26 (SD = 4.045), whereas females have an average score of 26.66 (SD = 4.561). Similar to Machiavellianism, the difference in mean scores for Narcissism between males and females is not statistically significant, with a T ratio of 0.199 (DF = 98, Sig. = .843).</w:t>
      </w:r>
    </w:p>
    <w:p w:rsidR="00000000" w:rsidDel="00000000" w:rsidP="00000000" w:rsidRDefault="00000000" w:rsidRPr="00000000" w14:paraId="0000009E">
      <w:pPr>
        <w:jc w:val="both"/>
        <w:rPr/>
      </w:pPr>
      <w:r w:rsidDel="00000000" w:rsidR="00000000" w:rsidRPr="00000000">
        <w:rPr>
          <w:rtl w:val="0"/>
        </w:rPr>
      </w:r>
    </w:p>
    <w:p w:rsidR="00000000" w:rsidDel="00000000" w:rsidP="00000000" w:rsidRDefault="00000000" w:rsidRPr="00000000" w14:paraId="0000009F">
      <w:pPr>
        <w:jc w:val="both"/>
        <w:rPr/>
      </w:pPr>
      <w:r w:rsidDel="00000000" w:rsidR="00000000" w:rsidRPr="00000000">
        <w:rPr>
          <w:rtl w:val="0"/>
        </w:rPr>
        <w:t xml:space="preserve">In terms of Psychopathy, the mean score for males is 26.88 (SD = 5.173), whereas females have an average score of 22.96 (SD = 4.998). Interestingly, the T test results indicate a statistically significant difference in mean scores between genders for Psychopathy, with a T ratio of -2.338 (DF = 98, Sig. = .028). This suggests that males tend to exhibit higher levels of psychopathic traits compared to females in this sample.</w:t>
      </w:r>
    </w:p>
    <w:p w:rsidR="00000000" w:rsidDel="00000000" w:rsidP="00000000" w:rsidRDefault="00000000" w:rsidRPr="00000000" w14:paraId="000000A0">
      <w:pPr>
        <w:jc w:val="both"/>
        <w:rPr/>
      </w:pPr>
      <w:r w:rsidDel="00000000" w:rsidR="00000000" w:rsidRPr="00000000">
        <w:rPr>
          <w:rtl w:val="0"/>
        </w:rPr>
      </w:r>
    </w:p>
    <w:p w:rsidR="00000000" w:rsidDel="00000000" w:rsidP="00000000" w:rsidRDefault="00000000" w:rsidRPr="00000000" w14:paraId="000000A1">
      <w:pPr>
        <w:jc w:val="both"/>
        <w:rPr/>
      </w:pPr>
      <w:r w:rsidDel="00000000" w:rsidR="00000000" w:rsidRPr="00000000">
        <w:rPr>
          <w:rtl w:val="0"/>
        </w:rPr>
        <w:t xml:space="preserve">It is essential to acknowledge that these findings are specific to the study conducted and may not be representative of the general population. The interpretations should be considered within the context of this research and should not be generalized without further examination and replication in other studies.</w:t>
      </w:r>
    </w:p>
    <w:p w:rsidR="00000000" w:rsidDel="00000000" w:rsidP="00000000" w:rsidRDefault="00000000" w:rsidRPr="00000000" w14:paraId="000000A2">
      <w:pPr>
        <w:jc w:val="both"/>
        <w:rPr/>
      </w:pPr>
      <w:r w:rsidDel="00000000" w:rsidR="00000000" w:rsidRPr="00000000">
        <w:rPr>
          <w:rtl w:val="0"/>
        </w:rPr>
        <w:t xml:space="preserve">Conclusion:</w:t>
      </w:r>
    </w:p>
    <w:p w:rsidR="00000000" w:rsidDel="00000000" w:rsidP="00000000" w:rsidRDefault="00000000" w:rsidRPr="00000000" w14:paraId="000000A3">
      <w:pPr>
        <w:jc w:val="both"/>
        <w:rPr/>
      </w:pPr>
      <w:r w:rsidDel="00000000" w:rsidR="00000000" w:rsidRPr="00000000">
        <w:rPr>
          <w:rtl w:val="0"/>
        </w:rPr>
        <w:t xml:space="preserve">Based on the data presented in the table, we can draw several conclusions regarding the dark triad personality traits and gender differences. Firstly, there were no significant gender differences observed in the traits of Machiavellianism and Narcissism. Both males and females had similar mean scores in these traits, suggesting that gender does not play a significant role in influencing these particular aspects of the dark triad.</w:t>
      </w:r>
    </w:p>
    <w:p w:rsidR="00000000" w:rsidDel="00000000" w:rsidP="00000000" w:rsidRDefault="00000000" w:rsidRPr="00000000" w14:paraId="000000A4">
      <w:pPr>
        <w:jc w:val="both"/>
        <w:rPr/>
      </w:pPr>
      <w:r w:rsidDel="00000000" w:rsidR="00000000" w:rsidRPr="00000000">
        <w:rPr>
          <w:rtl w:val="0"/>
        </w:rPr>
      </w:r>
    </w:p>
    <w:p w:rsidR="00000000" w:rsidDel="00000000" w:rsidP="00000000" w:rsidRDefault="00000000" w:rsidRPr="00000000" w14:paraId="000000A5">
      <w:pPr>
        <w:jc w:val="both"/>
        <w:rPr/>
      </w:pPr>
      <w:r w:rsidDel="00000000" w:rsidR="00000000" w:rsidRPr="00000000">
        <w:rPr>
          <w:rtl w:val="0"/>
        </w:rPr>
        <w:t xml:space="preserve">However, a notable gender difference was observed in the trait of Psychopathy. Males had significantly higher mean scores in Psychopathy compared to females, indicating that males in the study exhibited a greater tendency towards psychopathic traits. This finding aligns with previous research indicating a potential gender disparity in psychopathic tendencies.</w:t>
      </w:r>
    </w:p>
    <w:p w:rsidR="00000000" w:rsidDel="00000000" w:rsidP="00000000" w:rsidRDefault="00000000" w:rsidRPr="00000000" w14:paraId="000000A6">
      <w:pPr>
        <w:jc w:val="both"/>
        <w:rPr/>
      </w:pPr>
      <w:r w:rsidDel="00000000" w:rsidR="00000000" w:rsidRPr="00000000">
        <w:rPr>
          <w:rtl w:val="0"/>
        </w:rPr>
      </w:r>
    </w:p>
    <w:p w:rsidR="00000000" w:rsidDel="00000000" w:rsidP="00000000" w:rsidRDefault="00000000" w:rsidRPr="00000000" w14:paraId="000000A7">
      <w:pPr>
        <w:jc w:val="both"/>
        <w:rPr/>
      </w:pPr>
      <w:r w:rsidDel="00000000" w:rsidR="00000000" w:rsidRPr="00000000">
        <w:rPr>
          <w:rtl w:val="0"/>
        </w:rPr>
        <w:t xml:space="preserve">Suggestions for Future Research:</w:t>
      </w:r>
    </w:p>
    <w:p w:rsidR="00000000" w:rsidDel="00000000" w:rsidP="00000000" w:rsidRDefault="00000000" w:rsidRPr="00000000" w14:paraId="000000A8">
      <w:pPr>
        <w:jc w:val="both"/>
        <w:rPr/>
      </w:pPr>
      <w:r w:rsidDel="00000000" w:rsidR="00000000" w:rsidRPr="00000000">
        <w:rPr>
          <w:rtl w:val="0"/>
        </w:rPr>
        <w:t xml:space="preserve">While the present study provides valuable insights into the dark triad personality traits and gender differences, there are some suggestions for future research to enhance our understanding in this area:</w:t>
      </w:r>
    </w:p>
    <w:p w:rsidR="00000000" w:rsidDel="00000000" w:rsidP="00000000" w:rsidRDefault="00000000" w:rsidRPr="00000000" w14:paraId="000000A9">
      <w:pPr>
        <w:jc w:val="both"/>
        <w:rPr/>
      </w:pP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t xml:space="preserve">1. Larger and diverse sample: Replicating the study with a larger and more diverse sample would help validate the findings and provide a more comprehensive understanding of gender differences in the dark triad traits across various populations.</w:t>
      </w:r>
    </w:p>
    <w:p w:rsidR="00000000" w:rsidDel="00000000" w:rsidP="00000000" w:rsidRDefault="00000000" w:rsidRPr="00000000" w14:paraId="000000AB">
      <w:pPr>
        <w:jc w:val="both"/>
        <w:rPr/>
      </w:pPr>
      <w:r w:rsidDel="00000000" w:rsidR="00000000" w:rsidRPr="00000000">
        <w:rPr>
          <w:rtl w:val="0"/>
        </w:rPr>
      </w:r>
    </w:p>
    <w:p w:rsidR="00000000" w:rsidDel="00000000" w:rsidP="00000000" w:rsidRDefault="00000000" w:rsidRPr="00000000" w14:paraId="000000AC">
      <w:pPr>
        <w:jc w:val="both"/>
        <w:rPr/>
      </w:pPr>
      <w:r w:rsidDel="00000000" w:rsidR="00000000" w:rsidRPr="00000000">
        <w:rPr>
          <w:rtl w:val="0"/>
        </w:rPr>
        <w:t xml:space="preserve">2. Longitudinal study: Conducting longitudinal studies could shed light on the development and stability of the dark triad traits over time and whether gender differences manifest consistently or change across different life stages.</w:t>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pPr>
      <w:r w:rsidDel="00000000" w:rsidR="00000000" w:rsidRPr="00000000">
        <w:rPr>
          <w:rtl w:val="0"/>
        </w:rPr>
        <w:t xml:space="preserve">3. Cultural and societal influences: Investigating the influence of cultural and societal factors on the expression of dark triad traits among different genders can provide valuable insights into how social and environmental contexts shape these personality characteristics.</w:t>
      </w:r>
    </w:p>
    <w:p w:rsidR="00000000" w:rsidDel="00000000" w:rsidP="00000000" w:rsidRDefault="00000000" w:rsidRPr="00000000" w14:paraId="000000AF">
      <w:pPr>
        <w:jc w:val="both"/>
        <w:rPr/>
      </w:pPr>
      <w:r w:rsidDel="00000000" w:rsidR="00000000" w:rsidRPr="00000000">
        <w:rPr>
          <w:rtl w:val="0"/>
        </w:rPr>
      </w:r>
    </w:p>
    <w:p w:rsidR="00000000" w:rsidDel="00000000" w:rsidP="00000000" w:rsidRDefault="00000000" w:rsidRPr="00000000" w14:paraId="000000B0">
      <w:pPr>
        <w:jc w:val="both"/>
        <w:rPr/>
      </w:pPr>
      <w:r w:rsidDel="00000000" w:rsidR="00000000" w:rsidRPr="00000000">
        <w:rPr>
          <w:rtl w:val="0"/>
        </w:rPr>
        <w:t xml:space="preserve">4. Additional measures and variables: Exploring the association between the dark triad traits and other relevant variables, such as personality dimensions, mental health, and interpersonal relationships, could provide a more comprehensive understanding of the implications and consequences of these traits.</w:t>
      </w:r>
    </w:p>
    <w:p w:rsidR="00000000" w:rsidDel="00000000" w:rsidP="00000000" w:rsidRDefault="00000000" w:rsidRPr="00000000" w14:paraId="000000B1">
      <w:pPr>
        <w:jc w:val="both"/>
        <w:rPr/>
      </w:pPr>
      <w:r w:rsidDel="00000000" w:rsidR="00000000" w:rsidRPr="00000000">
        <w:rPr>
          <w:rtl w:val="0"/>
        </w:rPr>
      </w:r>
    </w:p>
    <w:p w:rsidR="00000000" w:rsidDel="00000000" w:rsidP="00000000" w:rsidRDefault="00000000" w:rsidRPr="00000000" w14:paraId="000000B2">
      <w:pPr>
        <w:jc w:val="both"/>
        <w:rPr/>
      </w:pPr>
      <w:r w:rsidDel="00000000" w:rsidR="00000000" w:rsidRPr="00000000">
        <w:rPr>
          <w:rtl w:val="0"/>
        </w:rPr>
        <w:t xml:space="preserve">By addressing these suggestions, future research can contribute to a deeper understanding of the dark triad traits, gender differences, and their implications in various contexts, leading to more effective interventions and strategies for managing and mitigating negative outcomes associated with these personality traits.</w: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jc w:val="both"/>
        <w:rPr>
          <w:b w:val="0"/>
        </w:rPr>
      </w:pPr>
      <w:r w:rsidDel="00000000" w:rsidR="00000000" w:rsidRPr="00000000">
        <w:br w:type="page"/>
      </w:r>
      <w:r w:rsidDel="00000000" w:rsidR="00000000" w:rsidRPr="00000000">
        <w:rPr>
          <w:rtl w:val="0"/>
        </w:rPr>
      </w:r>
    </w:p>
    <w:p w:rsidR="00000000" w:rsidDel="00000000" w:rsidP="00000000" w:rsidRDefault="00000000" w:rsidRPr="00000000" w14:paraId="000000B4">
      <w:pPr>
        <w:pStyle w:val="Heading1"/>
        <w:pBdr>
          <w:top w:space="0" w:sz="0" w:val="nil"/>
          <w:left w:space="0" w:sz="0" w:val="nil"/>
          <w:bottom w:space="0" w:sz="0" w:val="nil"/>
          <w:right w:space="0" w:sz="0" w:val="nil"/>
          <w:between w:space="0" w:sz="0" w:val="nil"/>
        </w:pBdr>
        <w:rPr/>
      </w:pPr>
      <w:bookmarkStart w:colFirst="0" w:colLast="0" w:name="_4d34og8" w:id="7"/>
      <w:bookmarkEnd w:id="7"/>
      <w:r w:rsidDel="00000000" w:rsidR="00000000" w:rsidRPr="00000000">
        <w:rPr>
          <w:b w:val="0"/>
          <w:rtl w:val="0"/>
        </w:rPr>
        <w:t xml:space="preserve">References</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Charemi, A. S., &amp; Papadatou-Pastou, M. (2018). The effects of dark personality traits on humor preferences: A replication and extension. Personality and Individual Differences, 135, 255-258.</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Grijalva, E., Harms, P. D., Newman, D. A., Gaddis, B. H., &amp; Fraley, R. C. (2015). Narcissism and leadership: A meta-analytic review of linear and nonlinear relationships. Personnel Psychology, 68(1), 1-47.</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Greengross, G., &amp; Miller, G. F. (2011). Humor ability reveals intelligence, predicts mating success, and is higher in males. Intelligence, 39(4), 188-192.</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Gori, A., Topino, E., Donato, G., &amp; Spinella, M. (2021). Does humor predict personality dimensions? The mediating role of coping styles. Journal of Clinical Psychology, 77(6), 1391-1405.</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Jonason, P. K., &amp; Webster, G. D. (2010). The dirty dozen: A concise measure of the dark triad. Psychological Assessment, 22(2), 420-432.</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Jones, D. N., &amp; Paulhus, D. L. (2014). Introducing the Short Dark Triad (SD3): A brief measure of dark personality traits. Assessment, 21(1), 28-41.</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Muris, P., Merckelbach, H., Otgaar, H., &amp; Meijer, E. (2017). The malevolent side of human nature: A meta-analysis and critical review of the literature on the dark triad (narcissism, Machiavellianism, and psychopathy). Perspectives on Psychological Science, 12(2), 183-204.</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Ruch, W., &amp; Heintz, S. (2013). Humor and the dark side of personality. In A. K. Vaidya, W. Ruch, &amp; G. S. Martin (Eds.), Humor and health promotion (pp. 11-26). Nova Science Publishers.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Vernon, P. A., Villani, V. C., Vickers, L. C., &amp; Harris, J. A. (2008). A behavioral genetic investigation of humor styles and their correlations with the Big-5 personality dimensions. Personality and Individual Differences, 44(5), 1116-1125.</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Veselka, L., Giammarco, E. A., &amp; Ruch, W. (2010). Do people with dark personality traits have a humor advantage? A study of humor production, reception, and appreciation. Personality and Individual Differences, 48(7), 772-776.</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Veselka, L., Giammarco, E. A., &amp; Vernon, P. A. (2013). The Dark Triad and an expanded framework of personality. Personality and Individual Differences, 54(3), 392-396.</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Veselka, L., Schermer, J. A., Martin, R. A., &amp; Vernon, P. A. (2010). Relations between humor and the dark triad traits: A study with Serbian students. European Journal of Personality, 24(6), 499-510.</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Vize, C. E., Collisson, B., &amp; Lickel, B. (2018). Using humor to cope with the dark side of personality: The relation between humor styles and the Dark Triad traits. Personality and Individual Differences, 120, 176-180.</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Zeigler-Hill, V., &amp; Besser, A. (2013). Humor and the dark triad. Personality and Individual Differences, 55(5), 532-536.</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Zeigler-Hill, V., &amp; Shackelford, T. K. (2007). The relations of dark triad traits to self-esteem: A short-term longitudinal study. Personality and Individual Differences, 43(4), 947-955.</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Zuckerman, M., DePaulo, B. M., &amp; Rosenthal, R. (1981). Verbal and nonverbal communication of deception. Advances in Experimental Social Psychology, 14, 1-59.</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r>
    </w:p>
    <w:sectPr>
      <w:headerReference r:id="rId7" w:type="default"/>
      <w:headerReference r:id="rId8"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8">
    <w:pPr>
      <w:pBdr>
        <w:top w:space="0" w:sz="0" w:val="nil"/>
        <w:left w:space="0" w:sz="0" w:val="nil"/>
        <w:bottom w:space="0" w:sz="0" w:val="nil"/>
        <w:right w:space="0" w:sz="0" w:val="nil"/>
        <w:between w:space="0" w:sz="0" w:val="nil"/>
      </w:pBdr>
      <w:spacing w:before="960" w:lineRule="auto"/>
      <w:rPr/>
    </w:pPr>
    <w:r w:rsidDel="00000000" w:rsidR="00000000" w:rsidRPr="00000000">
      <w:rPr>
        <w:rtl w:val="0"/>
      </w:rPr>
      <w:t xml:space="preserve">Running head: TITLE OF YOUR PAPER</w:t>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pBdr>
        <w:top w:space="0" w:sz="0" w:val="nil"/>
        <w:left w:space="0" w:sz="0" w:val="nil"/>
        <w:bottom w:space="0" w:sz="0" w:val="nil"/>
        <w:right w:space="0" w:sz="0" w:val="nil"/>
        <w:between w:space="0" w:sz="0" w:val="nil"/>
      </w:pBdr>
      <w:spacing w:before="960" w:lineRule="auto"/>
      <w:rPr/>
    </w:pPr>
    <w:r w:rsidDel="00000000" w:rsidR="00000000" w:rsidRPr="00000000">
      <w:rPr>
        <w:rtl w:val="0"/>
      </w:rPr>
      <w:t xml:space="preserve">TITLE OF YOUR PAPER</w:t>
      <w:tab/>
      <w:tab/>
      <w:tab/>
      <w:tab/>
      <w:tab/>
      <w:tab/>
      <w:tab/>
      <w:tab/>
      <w:tab/>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b w:val="1"/>
    </w:rPr>
  </w:style>
  <w:style w:type="paragraph" w:styleId="Heading2">
    <w:name w:val="heading 2"/>
    <w:basedOn w:val="Normal"/>
    <w:next w:val="Normal"/>
    <w:pPr>
      <w:keepNext w:val="1"/>
      <w:keepLines w:val="1"/>
    </w:pPr>
    <w:rPr>
      <w:b w:val="1"/>
    </w:rPr>
  </w:style>
  <w:style w:type="paragraph" w:styleId="Heading3">
    <w:name w:val="heading 3"/>
    <w:basedOn w:val="Normal"/>
    <w:next w:val="Normal"/>
    <w:pPr>
      <w:keepNext w:val="1"/>
      <w:keepLines w:val="1"/>
      <w:ind w:firstLine="720"/>
    </w:pPr>
    <w:rPr>
      <w:b w:val="1"/>
    </w:rPr>
  </w:style>
  <w:style w:type="paragraph" w:styleId="Heading4">
    <w:name w:val="heading 4"/>
    <w:basedOn w:val="Normal"/>
    <w:next w:val="Normal"/>
    <w:pPr>
      <w:keepNext w:val="1"/>
      <w:keepLines w:val="1"/>
      <w:ind w:firstLine="720"/>
    </w:pPr>
    <w:rPr>
      <w:b w:val="1"/>
      <w:i w:val="1"/>
    </w:rPr>
  </w:style>
  <w:style w:type="paragraph" w:styleId="Heading5">
    <w:name w:val="heading 5"/>
    <w:basedOn w:val="Normal"/>
    <w:next w:val="Normal"/>
    <w:pPr>
      <w:keepNext w:val="1"/>
      <w:keepLines w:val="1"/>
    </w:pPr>
    <w:rPr>
      <w:i w:val="1"/>
    </w:rPr>
  </w:style>
  <w:style w:type="paragraph" w:styleId="Heading6">
    <w:name w:val="heading 6"/>
    <w:basedOn w:val="Normal"/>
    <w:next w:val="Normal"/>
    <w:pPr>
      <w:keepNext w:val="1"/>
      <w:keepLines w:val="1"/>
      <w:spacing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2160" w:lineRule="auto"/>
      <w:jc w:val="center"/>
    </w:pPr>
    <w:rPr/>
  </w:style>
  <w:style w:type="paragraph" w:styleId="Subtitle">
    <w:name w:val="Subtitle"/>
    <w:basedOn w:val="Normal"/>
    <w:next w:val="Normal"/>
    <w:pPr>
      <w:keepNext w:val="1"/>
      <w:keepLines w:val="1"/>
      <w:jc w:val="center"/>
    </w:pPr>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vikasbodhak1997@gmail.com" TargetMode="Externa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