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272994" w14:textId="05731632" w:rsidR="00610881" w:rsidRDefault="00610881" w:rsidP="00610881">
      <w:pPr>
        <w:spacing w:before="54" w:after="0" w:line="276" w:lineRule="auto"/>
        <w:jc w:val="center"/>
        <w:rPr>
          <w:rFonts w:ascii="Times New Roman" w:hAnsi="Times New Roman" w:cs="Times New Roman"/>
          <w:b/>
          <w:bCs/>
          <w:color w:val="000000" w:themeColor="text1"/>
          <w:sz w:val="28"/>
          <w:szCs w:val="28"/>
        </w:rPr>
      </w:pPr>
      <w:r w:rsidRPr="00610881">
        <w:rPr>
          <w:rFonts w:ascii="Times New Roman" w:hAnsi="Times New Roman" w:cs="Times New Roman"/>
          <w:b/>
          <w:bCs/>
          <w:color w:val="000000" w:themeColor="text1"/>
          <w:sz w:val="28"/>
          <w:szCs w:val="28"/>
        </w:rPr>
        <w:t>POTENTIALS OF GREEN BUILDING INDUSTRY IN MINDANAO, PHILIPPINES:</w:t>
      </w:r>
      <w:r>
        <w:rPr>
          <w:rFonts w:ascii="Times New Roman" w:hAnsi="Times New Roman" w:cs="Times New Roman"/>
          <w:b/>
          <w:bCs/>
          <w:color w:val="000000" w:themeColor="text1"/>
          <w:sz w:val="28"/>
          <w:szCs w:val="28"/>
        </w:rPr>
        <w:t xml:space="preserve"> </w:t>
      </w:r>
      <w:r w:rsidRPr="00610881">
        <w:rPr>
          <w:rFonts w:ascii="Times New Roman" w:hAnsi="Times New Roman" w:cs="Times New Roman"/>
          <w:b/>
          <w:bCs/>
          <w:color w:val="000000" w:themeColor="text1"/>
          <w:sz w:val="28"/>
          <w:szCs w:val="28"/>
        </w:rPr>
        <w:t>AN OVERVIEW</w:t>
      </w:r>
    </w:p>
    <w:p w14:paraId="736B6AC8" w14:textId="0429F11B" w:rsidR="00DA52F4" w:rsidRPr="001E51F3" w:rsidRDefault="00610881" w:rsidP="0061088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Brayll B. Torrefiel</w:t>
      </w:r>
      <w:r w:rsidR="00DA52F4" w:rsidRPr="001E51F3">
        <w:rPr>
          <w:rFonts w:ascii="Times New Roman" w:hAnsi="Times New Roman" w:cs="Times New Roman"/>
          <w:b/>
          <w:bCs/>
          <w:color w:val="000000" w:themeColor="text1"/>
          <w:sz w:val="24"/>
          <w:szCs w:val="24"/>
          <w:vertAlign w:val="superscript"/>
        </w:rPr>
        <w:t>1</w:t>
      </w:r>
    </w:p>
    <w:p w14:paraId="7AEC63B4" w14:textId="66A389E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10881">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610881">
        <w:rPr>
          <w:rFonts w:ascii="Times New Roman" w:hAnsi="Times New Roman" w:cs="Times New Roman"/>
          <w:color w:val="000000" w:themeColor="text1"/>
        </w:rPr>
        <w:t>Master of Science in Development Administration- Urban and Environmental Planning,                University of Southeastern Philippines, Davao</w:t>
      </w:r>
      <w:r w:rsidRPr="001E51F3">
        <w:rPr>
          <w:rFonts w:ascii="Times New Roman" w:hAnsi="Times New Roman" w:cs="Times New Roman"/>
          <w:color w:val="000000" w:themeColor="text1"/>
        </w:rPr>
        <w:t xml:space="preserve"> City, </w:t>
      </w:r>
      <w:r w:rsidR="00610881">
        <w:rPr>
          <w:rFonts w:ascii="Times New Roman" w:hAnsi="Times New Roman" w:cs="Times New Roman"/>
          <w:color w:val="000000" w:themeColor="text1"/>
        </w:rPr>
        <w:t>Philippines</w:t>
      </w:r>
      <w:r w:rsidRPr="001E51F3">
        <w:rPr>
          <w:rFonts w:ascii="Times New Roman" w:hAnsi="Times New Roman" w:cs="Times New Roman"/>
          <w:color w:val="000000" w:themeColor="text1"/>
        </w:rPr>
        <w:t xml:space="preserve"> </w:t>
      </w:r>
    </w:p>
    <w:p w14:paraId="7C6E1520" w14:textId="6A5BFF79"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1F9ABD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D62A681" w14:textId="77777777" w:rsidR="00A92471" w:rsidRDefault="00A9247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This literature review examines the potentials of the green building industry in Mindanao, the second largest island in the Philippines. Mindanao is experiencing extensive urbanization, leading to a significant increase in residential and commercial building construction. However, some of the conventional building practices in the region may contribute negative environmental impacts. To address this, there is a growing need to adopt green building practices that minimize energy consumption and mitigate climate change effects through sustainable design, construction, operation, and demolition. The study discusses the current green building industry and the introduction of the Building Ecological Responsive Design Excellence (BERDE) system, which provides a comprehensive mechanism for evaluating and certifying green building projects in the Philippines. Overall, the literature review underscores the potentials and significance of the green building industry in Mindanao as a sustainable response to climate change and environmental preservation.</w:t>
      </w:r>
    </w:p>
    <w:p w14:paraId="5501AD32" w14:textId="1B37F94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10881">
        <w:rPr>
          <w:rFonts w:ascii="Times New Roman" w:hAnsi="Times New Roman" w:cs="Times New Roman"/>
          <w:color w:val="000000" w:themeColor="text1"/>
          <w:sz w:val="20"/>
          <w:szCs w:val="20"/>
        </w:rPr>
        <w:t>Green Building,</w:t>
      </w:r>
      <w:r w:rsidR="00853BDC">
        <w:rPr>
          <w:rFonts w:ascii="Times New Roman" w:hAnsi="Times New Roman" w:cs="Times New Roman"/>
          <w:color w:val="000000" w:themeColor="text1"/>
          <w:sz w:val="20"/>
          <w:szCs w:val="20"/>
        </w:rPr>
        <w:t xml:space="preserve"> Construction, Environment,</w:t>
      </w:r>
      <w:r w:rsidR="00610881">
        <w:rPr>
          <w:rFonts w:ascii="Times New Roman" w:hAnsi="Times New Roman" w:cs="Times New Roman"/>
          <w:color w:val="000000" w:themeColor="text1"/>
          <w:sz w:val="20"/>
          <w:szCs w:val="20"/>
        </w:rPr>
        <w:t xml:space="preserve"> Sustainability, </w:t>
      </w:r>
      <w:r w:rsidR="00853BDC">
        <w:rPr>
          <w:rFonts w:ascii="Times New Roman" w:hAnsi="Times New Roman" w:cs="Times New Roman"/>
          <w:color w:val="000000" w:themeColor="text1"/>
          <w:sz w:val="20"/>
          <w:szCs w:val="20"/>
        </w:rPr>
        <w:t>BERDE</w:t>
      </w:r>
      <w:r w:rsidR="00610881">
        <w:rPr>
          <w:rFonts w:ascii="Times New Roman" w:hAnsi="Times New Roman" w:cs="Times New Roman"/>
          <w:color w:val="000000" w:themeColor="text1"/>
          <w:sz w:val="20"/>
          <w:szCs w:val="20"/>
        </w:rPr>
        <w:t>,</w:t>
      </w:r>
      <w:r w:rsidR="00853BDC">
        <w:rPr>
          <w:rFonts w:ascii="Times New Roman" w:hAnsi="Times New Roman" w:cs="Times New Roman"/>
          <w:color w:val="000000" w:themeColor="text1"/>
          <w:sz w:val="20"/>
          <w:szCs w:val="20"/>
        </w:rPr>
        <w:t xml:space="preserve"> Mindanao</w:t>
      </w:r>
      <w:r w:rsidR="00610881">
        <w:rPr>
          <w:rFonts w:ascii="Times New Roman" w:hAnsi="Times New Roman" w:cs="Times New Roman"/>
          <w:color w:val="000000" w:themeColor="text1"/>
          <w:sz w:val="20"/>
          <w:szCs w:val="20"/>
        </w:rPr>
        <w:t xml:space="preserv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2435278"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AE5929E" w14:textId="3D3D9999" w:rsidR="00A92471" w:rsidRPr="00A92471" w:rsidRDefault="00A92471" w:rsidP="00A92471">
      <w:pPr>
        <w:spacing w:before="54" w:after="0" w:line="276" w:lineRule="auto"/>
        <w:ind w:firstLine="72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A significant portion of socioeconomic growth has always been influenced by technology, and its modernization has fueled much of the social advancement over the years. The Philippines is one of several developing nations now experiencing extensive urbanization. Mindanao, the second largest island making up the Philippine archipelago, is home for 26,252,442 individuals, comprising 24.08% of the entire population of the Philippines [1]. With the thriving population in Mindanao, many individuals are moving to metropolitan areas such as Cagayan de Oro, Davao, General Santos, and other key cities in Mindanao. As this trend escalates, the massive construction of buildings negatively impacts the environment [2]. While several developing nations lag with traditional techniques, sustainable technology, such as green building practices, has always been a chief construction component in developed countries.</w:t>
      </w:r>
    </w:p>
    <w:p w14:paraId="2185514B" w14:textId="2A49260D" w:rsidR="006A6434" w:rsidRDefault="00A92471" w:rsidP="00A92471">
      <w:pPr>
        <w:spacing w:before="54" w:after="0" w:line="276" w:lineRule="auto"/>
        <w:ind w:firstLine="284"/>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This paper discusses the potential of the green building industry in Mindanao and the significance of incorporating green building as a sustainable response to climate change.</w:t>
      </w:r>
    </w:p>
    <w:p w14:paraId="53459936" w14:textId="77777777" w:rsidR="00C67CB3" w:rsidRDefault="00C67CB3" w:rsidP="00A92471">
      <w:pPr>
        <w:spacing w:before="54" w:after="0" w:line="276" w:lineRule="auto"/>
        <w:ind w:firstLine="284"/>
        <w:jc w:val="both"/>
        <w:rPr>
          <w:rFonts w:ascii="Times New Roman" w:hAnsi="Times New Roman" w:cs="Times New Roman"/>
          <w:color w:val="000000" w:themeColor="text1"/>
          <w:sz w:val="20"/>
          <w:szCs w:val="20"/>
        </w:rPr>
      </w:pPr>
    </w:p>
    <w:p w14:paraId="7A033264" w14:textId="4396C282" w:rsidR="00DA52F4" w:rsidRPr="001E51F3" w:rsidRDefault="00634FF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0A8B9337" w14:textId="5DB4515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92471" w:rsidRPr="00A92471">
        <w:rPr>
          <w:rFonts w:ascii="Times New Roman" w:hAnsi="Times New Roman" w:cs="Times New Roman"/>
          <w:b/>
          <w:bCs/>
          <w:color w:val="000000" w:themeColor="text1"/>
          <w:sz w:val="20"/>
          <w:szCs w:val="20"/>
        </w:rPr>
        <w:t>Building Construction in Mindanao</w:t>
      </w:r>
    </w:p>
    <w:p w14:paraId="10CBE3A0" w14:textId="77777777" w:rsidR="00A92471" w:rsidRDefault="00A92471" w:rsidP="00A92471">
      <w:pPr>
        <w:spacing w:before="54" w:after="0" w:line="276" w:lineRule="auto"/>
        <w:ind w:firstLine="72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 xml:space="preserve">Building construction refers to the process and techniques involved in creating structures such as residential homes, commercial buildings, and industrial facilities. It encompasses activities such as designing, planning, erecting, and assembling the various components that make up a building. Building construction involves a combination of architectural, engineering, and construction principles to ensure the safe and functional completion of a structure. The types of building construction can be categorized into residential, commercial, and industrial, according to its usage. </w:t>
      </w:r>
    </w:p>
    <w:p w14:paraId="2E79F606" w14:textId="04CE37D6" w:rsidR="00A92471" w:rsidRPr="00A92471" w:rsidRDefault="00A92471" w:rsidP="00A92471">
      <w:pPr>
        <w:spacing w:before="54" w:after="0" w:line="276" w:lineRule="auto"/>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Residential Buildings are categorized as follows: single type, duplex, apartment and/or accessoria, and residential condominiums [3]. The said categorization was classified by the Philippine Statistics Authority's Annual Survey Statistics based on the approved building permit.</w:t>
      </w:r>
    </w:p>
    <w:p w14:paraId="0BB5D9F3" w14:textId="7640CEAD" w:rsidR="00A92471" w:rsidRPr="00A92471" w:rsidRDefault="00A92471" w:rsidP="00A92471">
      <w:pPr>
        <w:spacing w:before="54" w:after="0" w:line="276" w:lineRule="auto"/>
        <w:ind w:firstLine="72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 xml:space="preserve">Commercial buildings encompass a variety of sizes and are designed for business-related activities, including wholesale and retail trade as well as service industries- examples of commercial buildings include banks, hotels, offices, stores, and entertainment venues[1]. </w:t>
      </w:r>
    </w:p>
    <w:p w14:paraId="5A76F3E0" w14:textId="77777777" w:rsidR="00A92471" w:rsidRPr="00A92471" w:rsidRDefault="00A92471" w:rsidP="00A92471">
      <w:pPr>
        <w:spacing w:before="54" w:after="0" w:line="276" w:lineRule="auto"/>
        <w:ind w:firstLine="72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Industrial buildings are specifically designed to support industrial establishments' production and warehousing operations. They serve as facilities for factories, plants, mills, repair shops, machine shops, printing presses, storage plants, and electric generating plants[3].</w:t>
      </w:r>
    </w:p>
    <w:p w14:paraId="2076C5D9" w14:textId="77777777" w:rsidR="00A92471" w:rsidRPr="00A92471" w:rsidRDefault="00A92471" w:rsidP="00A92471">
      <w:pPr>
        <w:spacing w:before="54" w:after="0" w:line="276" w:lineRule="auto"/>
        <w:jc w:val="both"/>
        <w:rPr>
          <w:rFonts w:ascii="Times New Roman" w:hAnsi="Times New Roman" w:cs="Times New Roman"/>
          <w:color w:val="000000" w:themeColor="text1"/>
          <w:sz w:val="20"/>
          <w:szCs w:val="20"/>
        </w:rPr>
      </w:pPr>
    </w:p>
    <w:p w14:paraId="7BE82417" w14:textId="318CDADF" w:rsidR="00A92471" w:rsidRDefault="00A92471" w:rsidP="00A92471">
      <w:pPr>
        <w:spacing w:before="54" w:after="0" w:line="276"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2F227368" wp14:editId="0FCC5EC6">
            <wp:simplePos x="0" y="0"/>
            <wp:positionH relativeFrom="margin">
              <wp:align>left</wp:align>
            </wp:positionH>
            <wp:positionV relativeFrom="paragraph">
              <wp:posOffset>788670</wp:posOffset>
            </wp:positionV>
            <wp:extent cx="6379210" cy="3821430"/>
            <wp:effectExtent l="19050" t="19050" r="21590" b="2667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rotWithShape="1">
                    <a:blip r:embed="rId10">
                      <a:extLst>
                        <a:ext uri="{28A0092B-C50C-407E-A947-70E740481C1C}">
                          <a14:useLocalDpi xmlns:a14="http://schemas.microsoft.com/office/drawing/2010/main" val="0"/>
                        </a:ext>
                      </a:extLst>
                    </a:blip>
                    <a:srcRect l="2391" t="11937" r="3667"/>
                    <a:stretch/>
                  </pic:blipFill>
                  <pic:spPr bwMode="auto">
                    <a:xfrm>
                      <a:off x="0" y="0"/>
                      <a:ext cx="6379210" cy="382143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471">
        <w:rPr>
          <w:rFonts w:ascii="Times New Roman" w:hAnsi="Times New Roman" w:cs="Times New Roman"/>
          <w:color w:val="000000" w:themeColor="text1"/>
          <w:sz w:val="20"/>
          <w:szCs w:val="20"/>
        </w:rPr>
        <w:t>Based on the approved building permit report from 2018 to 2022, as shown in figure 1, residential building construction consistently had the highest number of constructed buildings type for five years, followed by commercial, institutional and industrial types of construction. As shown in figures 1 &amp; 2, the building construction in 2022 dropped for all categories due to the COViD pandemic, in which most industries were heavily affected [4].</w:t>
      </w:r>
    </w:p>
    <w:p w14:paraId="157CD01D" w14:textId="03B56326" w:rsidR="00A92471" w:rsidRDefault="00A92471" w:rsidP="00A92471">
      <w:pPr>
        <w:spacing w:after="0" w:line="240" w:lineRule="auto"/>
        <w:ind w:firstLine="720"/>
        <w:jc w:val="center"/>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5408" behindDoc="0" locked="0" layoutInCell="1" allowOverlap="1" wp14:anchorId="1659CD03" wp14:editId="2E956113">
            <wp:simplePos x="0" y="0"/>
            <wp:positionH relativeFrom="margin">
              <wp:posOffset>45085</wp:posOffset>
            </wp:positionH>
            <wp:positionV relativeFrom="paragraph">
              <wp:posOffset>4223385</wp:posOffset>
            </wp:positionV>
            <wp:extent cx="6356350" cy="3840480"/>
            <wp:effectExtent l="19050" t="19050" r="25400" b="2667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rotWithShape="1">
                    <a:blip r:embed="rId11">
                      <a:extLst>
                        <a:ext uri="{28A0092B-C50C-407E-A947-70E740481C1C}">
                          <a14:useLocalDpi xmlns:a14="http://schemas.microsoft.com/office/drawing/2010/main" val="0"/>
                        </a:ext>
                      </a:extLst>
                    </a:blip>
                    <a:srcRect l="1100" t="9538" r="13232"/>
                    <a:stretch/>
                  </pic:blipFill>
                  <pic:spPr bwMode="auto">
                    <a:xfrm>
                      <a:off x="0" y="0"/>
                      <a:ext cx="6356350" cy="384048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471">
        <w:rPr>
          <w:rFonts w:ascii="Times New Roman" w:hAnsi="Times New Roman" w:cs="Times New Roman"/>
          <w:b/>
          <w:bCs/>
          <w:sz w:val="20"/>
          <w:szCs w:val="20"/>
        </w:rPr>
        <w:t>Figure 1.</w:t>
      </w:r>
      <w:r w:rsidRPr="00A92471">
        <w:rPr>
          <w:rFonts w:ascii="Times New Roman" w:hAnsi="Times New Roman" w:cs="Times New Roman"/>
          <w:sz w:val="20"/>
          <w:szCs w:val="20"/>
        </w:rPr>
        <w:t xml:space="preserve"> Summary of Building Construction in Mindanao, by usage, 2018-2022</w:t>
      </w:r>
    </w:p>
    <w:p w14:paraId="48CB3072" w14:textId="77777777" w:rsidR="00A92471" w:rsidRPr="00A92471" w:rsidRDefault="00A92471" w:rsidP="00A92471">
      <w:pPr>
        <w:spacing w:after="0" w:line="240" w:lineRule="auto"/>
        <w:jc w:val="center"/>
        <w:rPr>
          <w:rFonts w:ascii="Times New Roman" w:hAnsi="Times New Roman" w:cs="Times New Roman"/>
          <w:b/>
          <w:bCs/>
          <w:sz w:val="20"/>
          <w:szCs w:val="20"/>
        </w:rPr>
      </w:pPr>
      <w:r w:rsidRPr="00A92471">
        <w:rPr>
          <w:rFonts w:ascii="Times New Roman" w:hAnsi="Times New Roman" w:cs="Times New Roman"/>
          <w:b/>
          <w:bCs/>
          <w:sz w:val="20"/>
          <w:szCs w:val="20"/>
        </w:rPr>
        <w:t xml:space="preserve">Figure 2. </w:t>
      </w:r>
      <w:r w:rsidRPr="00A92471">
        <w:rPr>
          <w:rFonts w:ascii="Times New Roman" w:hAnsi="Times New Roman" w:cs="Times New Roman"/>
          <w:sz w:val="20"/>
          <w:szCs w:val="20"/>
        </w:rPr>
        <w:t>Annual Building Construction in Mindanao, 2018-2022</w:t>
      </w:r>
    </w:p>
    <w:p w14:paraId="360E6626" w14:textId="77777777" w:rsidR="00A92471" w:rsidRPr="00A92471" w:rsidRDefault="00A92471" w:rsidP="00A92471">
      <w:pPr>
        <w:spacing w:after="0" w:line="240" w:lineRule="auto"/>
        <w:ind w:firstLine="720"/>
        <w:contextualSpacing/>
        <w:jc w:val="both"/>
        <w:rPr>
          <w:rFonts w:ascii="Times New Roman" w:hAnsi="Times New Roman" w:cs="Times New Roman"/>
          <w:sz w:val="20"/>
          <w:szCs w:val="20"/>
        </w:rPr>
      </w:pPr>
    </w:p>
    <w:p w14:paraId="5CDFB286" w14:textId="2B586B0C" w:rsidR="00A92471" w:rsidRPr="00A92471" w:rsidRDefault="00A92471" w:rsidP="00A92471">
      <w:pPr>
        <w:spacing w:after="0" w:line="240" w:lineRule="auto"/>
        <w:ind w:firstLine="720"/>
        <w:contextualSpacing/>
        <w:jc w:val="center"/>
        <w:rPr>
          <w:rFonts w:ascii="Times New Roman" w:hAnsi="Times New Roman" w:cs="Times New Roman"/>
          <w:b/>
          <w:bCs/>
          <w:sz w:val="20"/>
          <w:szCs w:val="20"/>
        </w:rPr>
      </w:pPr>
      <w:r w:rsidRPr="00A92471">
        <w:rPr>
          <w:rFonts w:ascii="Times New Roman" w:hAnsi="Times New Roman" w:cs="Times New Roman"/>
          <w:b/>
          <w:bCs/>
          <w:noProof/>
          <w:sz w:val="20"/>
          <w:szCs w:val="20"/>
        </w:rPr>
        <w:lastRenderedPageBreak/>
        <w:drawing>
          <wp:anchor distT="0" distB="0" distL="114300" distR="114300" simplePos="0" relativeHeight="251661312" behindDoc="1" locked="0" layoutInCell="1" allowOverlap="1" wp14:anchorId="4D935A80" wp14:editId="16F39B61">
            <wp:simplePos x="0" y="0"/>
            <wp:positionH relativeFrom="margin">
              <wp:posOffset>182245</wp:posOffset>
            </wp:positionH>
            <wp:positionV relativeFrom="paragraph">
              <wp:posOffset>19050</wp:posOffset>
            </wp:positionV>
            <wp:extent cx="6145530" cy="3810000"/>
            <wp:effectExtent l="19050" t="19050" r="26670" b="1905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2222" t="5787" r="13393" b="10344"/>
                    <a:stretch/>
                  </pic:blipFill>
                  <pic:spPr bwMode="auto">
                    <a:xfrm>
                      <a:off x="0" y="0"/>
                      <a:ext cx="6145530" cy="381000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471">
        <w:rPr>
          <w:rFonts w:ascii="Times New Roman" w:hAnsi="Times New Roman" w:cs="Times New Roman"/>
          <w:b/>
          <w:bCs/>
          <w:sz w:val="20"/>
          <w:szCs w:val="20"/>
        </w:rPr>
        <w:t xml:space="preserve">Figure 3. </w:t>
      </w:r>
      <w:r w:rsidRPr="00A92471">
        <w:rPr>
          <w:rFonts w:ascii="Times New Roman" w:hAnsi="Times New Roman" w:cs="Times New Roman"/>
          <w:sz w:val="20"/>
          <w:szCs w:val="20"/>
        </w:rPr>
        <w:t>Residential Building Construction in Mindanao, by type, 2018-2022</w:t>
      </w:r>
    </w:p>
    <w:p w14:paraId="0CD09FB7" w14:textId="77777777" w:rsidR="00A92471" w:rsidRPr="00A92471" w:rsidRDefault="00A92471" w:rsidP="00A92471">
      <w:pPr>
        <w:spacing w:after="0" w:line="240" w:lineRule="auto"/>
        <w:contextualSpacing/>
        <w:jc w:val="center"/>
        <w:rPr>
          <w:rFonts w:ascii="Times New Roman" w:hAnsi="Times New Roman" w:cs="Times New Roman"/>
          <w:b/>
          <w:bCs/>
          <w:i/>
          <w:iCs/>
          <w:sz w:val="20"/>
          <w:szCs w:val="20"/>
        </w:rPr>
      </w:pPr>
    </w:p>
    <w:p w14:paraId="3A8BEB93" w14:textId="080DC9A7" w:rsidR="00A92471" w:rsidRPr="00A92471" w:rsidRDefault="00A92471" w:rsidP="00A92471">
      <w:pPr>
        <w:spacing w:after="0" w:line="240" w:lineRule="auto"/>
        <w:ind w:firstLine="720"/>
        <w:contextualSpacing/>
        <w:jc w:val="center"/>
        <w:rPr>
          <w:rFonts w:ascii="Times New Roman" w:hAnsi="Times New Roman" w:cs="Times New Roman"/>
          <w:b/>
          <w:bCs/>
          <w:sz w:val="20"/>
          <w:szCs w:val="20"/>
        </w:rPr>
      </w:pPr>
      <w:r w:rsidRPr="00A92471">
        <w:rPr>
          <w:rFonts w:ascii="Times New Roman" w:hAnsi="Times New Roman" w:cs="Times New Roman"/>
          <w:noProof/>
          <w:sz w:val="20"/>
          <w:szCs w:val="20"/>
        </w:rPr>
        <w:drawing>
          <wp:anchor distT="0" distB="0" distL="114300" distR="114300" simplePos="0" relativeHeight="251662336" behindDoc="0" locked="0" layoutInCell="1" allowOverlap="1" wp14:anchorId="107D7CDB" wp14:editId="356BC5E8">
            <wp:simplePos x="0" y="0"/>
            <wp:positionH relativeFrom="margin">
              <wp:posOffset>197485</wp:posOffset>
            </wp:positionH>
            <wp:positionV relativeFrom="paragraph">
              <wp:posOffset>588010</wp:posOffset>
            </wp:positionV>
            <wp:extent cx="6139815" cy="3120390"/>
            <wp:effectExtent l="19050" t="19050" r="13335" b="2286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t="15866" r="6129" b="2317"/>
                    <a:stretch/>
                  </pic:blipFill>
                  <pic:spPr bwMode="auto">
                    <a:xfrm>
                      <a:off x="0" y="0"/>
                      <a:ext cx="6139815" cy="3120390"/>
                    </a:xfrm>
                    <a:prstGeom prst="rect">
                      <a:avLst/>
                    </a:prstGeom>
                    <a:noFill/>
                    <a:ln w="317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471">
        <w:rPr>
          <w:rFonts w:ascii="Times New Roman" w:hAnsi="Times New Roman" w:cs="Times New Roman"/>
          <w:sz w:val="20"/>
          <w:szCs w:val="20"/>
        </w:rPr>
        <w:t xml:space="preserve">As shown in figure 3, the residential–type building consists of the following categories: single, duplex/quadruplex, apartments, condominiums, and others. Among the residential building constructions in Mindanao, the single-type residential building shows the most number in five </w:t>
      </w:r>
      <w:r w:rsidRPr="00A92471">
        <w:rPr>
          <w:rFonts w:ascii="Times New Roman" w:hAnsi="Times New Roman" w:cs="Times New Roman"/>
          <w:b/>
          <w:bCs/>
          <w:sz w:val="20"/>
          <w:szCs w:val="20"/>
        </w:rPr>
        <w:t>years, from 2018 to 2022.</w:t>
      </w:r>
    </w:p>
    <w:p w14:paraId="24D933CE" w14:textId="720FC497" w:rsidR="00A92471" w:rsidRPr="00A92471" w:rsidRDefault="00A92471" w:rsidP="00A92471">
      <w:pPr>
        <w:spacing w:after="0" w:line="240" w:lineRule="auto"/>
        <w:ind w:firstLine="720"/>
        <w:contextualSpacing/>
        <w:jc w:val="center"/>
        <w:rPr>
          <w:rFonts w:ascii="Times New Roman" w:hAnsi="Times New Roman" w:cs="Times New Roman"/>
          <w:sz w:val="20"/>
          <w:szCs w:val="20"/>
        </w:rPr>
      </w:pPr>
      <w:r w:rsidRPr="00A92471">
        <w:rPr>
          <w:rFonts w:ascii="Times New Roman" w:hAnsi="Times New Roman" w:cs="Times New Roman"/>
          <w:b/>
          <w:bCs/>
          <w:sz w:val="20"/>
          <w:szCs w:val="20"/>
        </w:rPr>
        <w:t xml:space="preserve">Figure 4. </w:t>
      </w:r>
      <w:r w:rsidRPr="00A92471">
        <w:rPr>
          <w:rFonts w:ascii="Times New Roman" w:hAnsi="Times New Roman" w:cs="Times New Roman"/>
          <w:sz w:val="20"/>
          <w:szCs w:val="20"/>
        </w:rPr>
        <w:t>Commercial Building Construction in Mindanao, by type, 2018-2022</w:t>
      </w:r>
    </w:p>
    <w:p w14:paraId="3BA531AA" w14:textId="77777777" w:rsidR="00A92471" w:rsidRPr="00A92471" w:rsidRDefault="00A92471" w:rsidP="00A92471">
      <w:pPr>
        <w:spacing w:after="0" w:line="240" w:lineRule="auto"/>
        <w:ind w:firstLine="720"/>
        <w:contextualSpacing/>
        <w:jc w:val="both"/>
        <w:rPr>
          <w:rFonts w:ascii="Times New Roman" w:hAnsi="Times New Roman" w:cs="Times New Roman"/>
          <w:sz w:val="20"/>
          <w:szCs w:val="20"/>
        </w:rPr>
      </w:pPr>
    </w:p>
    <w:p w14:paraId="4B6F19B4" w14:textId="77777777" w:rsidR="00A92471" w:rsidRPr="00A92471" w:rsidRDefault="00A92471" w:rsidP="00A92471">
      <w:pPr>
        <w:spacing w:after="0" w:line="240" w:lineRule="auto"/>
        <w:ind w:firstLine="720"/>
        <w:contextualSpacing/>
        <w:jc w:val="both"/>
        <w:rPr>
          <w:rFonts w:ascii="Times New Roman" w:hAnsi="Times New Roman" w:cs="Times New Roman"/>
          <w:sz w:val="20"/>
          <w:szCs w:val="20"/>
        </w:rPr>
      </w:pPr>
      <w:r w:rsidRPr="00A92471">
        <w:rPr>
          <w:rFonts w:ascii="Times New Roman" w:hAnsi="Times New Roman" w:cs="Times New Roman"/>
          <w:sz w:val="20"/>
          <w:szCs w:val="20"/>
        </w:rPr>
        <w:t xml:space="preserve">The commercial-type buildings in Philippines comprises of banks, hotels, offices, stores and others. Retail stores are the largest figures of constructed commercial buildings for five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 ExcludeYear="1"&gt;&lt;Author&gt;GBIG&lt;/Author&gt;&lt;Year&gt;2012&lt;/Year&gt;&lt;RecNum&gt;16&lt;/RecNum&gt;&lt;DisplayText&gt;[5]&lt;/DisplayText&gt;&lt;record&gt;&lt;rec-number&gt;16&lt;/rec-number&gt;&lt;foreign-keys&gt;&lt;key app="EN" db-id="92ee9rpf9vz2e0es0adpspe10f90df95xfsx" timestamp="1684569434"&gt;16&lt;/key&gt;&lt;/foreign-keys&gt;&lt;ref-type name="Journal Article"&gt;17&lt;/ref-type&gt;&lt;contributors&gt;&lt;authors&gt;&lt;author&gt;GBIG,  Green Building Information Gateway&lt;/author&gt;&lt;/authors&gt;&lt;/contributors&gt;&lt;titles&gt;&lt;title&gt;Limketkai Luxe Hotel / De Oro Construction Supply Building&lt;/title&gt;&lt;secondary-title&gt; Green Building Information Gateway&lt;/secondary-title&gt;&lt;/titles&gt;&lt;dates&gt;&lt;year&gt;2012&lt;/year&gt;&lt;/dates&gt;&lt;urls&gt;&lt;related-urls&gt;&lt;url&gt;https://www.gbig.org/buildings/973655&lt;/url&gt;&lt;/related-urls&gt;&lt;/urls&gt;&lt;access-date&gt;May 20, 2023&lt;/access-date&gt;&lt;/record&gt;&lt;/Cite&gt;&lt;/EndNote&gt;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[5]</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 xml:space="preserve"> consecutive years, 2018-2022. However, the construction of commercial -type buildings decreases   on year 2020 due to the significant effects of COViD-19 pandemic to both commercial and construction industry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&lt;EndNote&gt;&lt;Cite&gt;&lt;Author&gt;Palcis&lt;/Author&gt;&lt;Year&gt;2023&lt;/Year&gt;&lt;RecNum&gt;6&lt;/RecNum&gt;&lt;DisplayText&gt;[4]&lt;/DisplayText&gt;&lt;record&gt;&lt;rec-number&gt;6&lt;/rec-number&gt;&lt;foreign-keys&gt;&lt;key app="EN" db-id="92ee9rpf9vz2e0es0adpspe10f90df95xfsx" timestamp="1684342911"&gt;6&lt;/key&gt;&lt;/foreign-keys&gt;&lt;ref-type name="Book"&gt;6&lt;/ref-type&gt;&lt;contributors&gt;&lt;authors&gt;&lt;author&gt;Palcis, Raul, Jr.&lt;/author&gt;&lt;/authors&gt;&lt;/contributors&gt;&lt;titles&gt;&lt;title&gt;The Impact of COVID-19 on the Construction Industry in the Philippines: Examining the Effects on Supply Chains, Worker Safety, and Project Timelines&lt;/title&gt;&lt;/titles&gt;&lt;dates&gt;&lt;year&gt;2023&lt;/year&gt;&lt;/dates&gt;&lt;urls&gt;&lt;/urls&gt;&lt;electronic-resource-num&gt;10.13140/RG.2.2.22505.77927&lt;/electronic-resource-num&gt;&lt;/record&gt;&lt;/Cite&gt;&lt;/EndNote&gt;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[4]</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w:t>
      </w:r>
    </w:p>
    <w:p w14:paraId="0039EB28" w14:textId="0B1DBAF6" w:rsidR="00A92471" w:rsidRDefault="00A92471" w:rsidP="00A92471">
      <w:pPr>
        <w:spacing w:after="0" w:line="240" w:lineRule="auto"/>
        <w:ind w:firstLine="720"/>
        <w:contextualSpacing/>
        <w:jc w:val="center"/>
        <w:rPr>
          <w:rFonts w:ascii="Times New Roman" w:hAnsi="Times New Roman" w:cs="Times New Roman"/>
          <w:b/>
          <w:bCs/>
          <w:sz w:val="20"/>
          <w:szCs w:val="20"/>
        </w:rPr>
      </w:pPr>
    </w:p>
    <w:p w14:paraId="0E9A2BC3" w14:textId="77777777" w:rsidR="00A92471" w:rsidRPr="00A92471" w:rsidRDefault="00A92471" w:rsidP="00A92471">
      <w:pPr>
        <w:spacing w:after="0" w:line="240" w:lineRule="auto"/>
        <w:ind w:firstLine="720"/>
        <w:contextualSpacing/>
        <w:jc w:val="center"/>
        <w:rPr>
          <w:rFonts w:ascii="Times New Roman" w:hAnsi="Times New Roman" w:cs="Times New Roman"/>
          <w:b/>
          <w:bCs/>
          <w:sz w:val="20"/>
          <w:szCs w:val="20"/>
        </w:rPr>
      </w:pPr>
    </w:p>
    <w:p w14:paraId="48FF0C10" w14:textId="5C121C48" w:rsidR="00A92471" w:rsidRPr="00A92471" w:rsidRDefault="00A92471" w:rsidP="00A92471">
      <w:pPr>
        <w:spacing w:after="0" w:line="240" w:lineRule="auto"/>
        <w:ind w:firstLine="720"/>
        <w:contextualSpacing/>
        <w:jc w:val="center"/>
        <w:rPr>
          <w:rFonts w:ascii="Times New Roman" w:hAnsi="Times New Roman" w:cs="Times New Roman"/>
          <w:sz w:val="20"/>
          <w:szCs w:val="20"/>
        </w:rPr>
      </w:pPr>
      <w:r w:rsidRPr="00A92471">
        <w:rPr>
          <w:noProof/>
          <w:sz w:val="20"/>
          <w:szCs w:val="20"/>
        </w:rPr>
        <w:lastRenderedPageBreak/>
        <w:drawing>
          <wp:anchor distT="0" distB="0" distL="114300" distR="114300" simplePos="0" relativeHeight="251663360" behindDoc="0" locked="0" layoutInCell="1" allowOverlap="1" wp14:anchorId="5964A10D" wp14:editId="0C029AF0">
            <wp:simplePos x="0" y="0"/>
            <wp:positionH relativeFrom="page">
              <wp:posOffset>666750</wp:posOffset>
            </wp:positionH>
            <wp:positionV relativeFrom="paragraph">
              <wp:posOffset>95250</wp:posOffset>
            </wp:positionV>
            <wp:extent cx="6134100" cy="3105150"/>
            <wp:effectExtent l="19050" t="19050" r="19050" b="1905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6179"/>
                    <a:stretch/>
                  </pic:blipFill>
                  <pic:spPr bwMode="auto">
                    <a:xfrm>
                      <a:off x="0" y="0"/>
                      <a:ext cx="6134100" cy="3105150"/>
                    </a:xfrm>
                    <a:prstGeom prst="rect">
                      <a:avLst/>
                    </a:prstGeom>
                    <a:noFill/>
                    <a:ln w="3175">
                      <a:solidFill>
                        <a:schemeClr val="tx1"/>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92471">
        <w:rPr>
          <w:rFonts w:ascii="Times New Roman" w:hAnsi="Times New Roman" w:cs="Times New Roman"/>
          <w:b/>
          <w:bCs/>
          <w:sz w:val="20"/>
          <w:szCs w:val="20"/>
        </w:rPr>
        <w:t xml:space="preserve">Figure 5. </w:t>
      </w:r>
      <w:r w:rsidRPr="00A92471">
        <w:rPr>
          <w:rFonts w:ascii="Times New Roman" w:hAnsi="Times New Roman" w:cs="Times New Roman"/>
          <w:sz w:val="20"/>
          <w:szCs w:val="20"/>
        </w:rPr>
        <w:t>Industrial Building Construction in Mindanao, by type, 2018-2022</w:t>
      </w:r>
    </w:p>
    <w:p w14:paraId="7B7E93EF" w14:textId="347A8A22" w:rsidR="00A92471" w:rsidRPr="00A92471" w:rsidRDefault="00A92471" w:rsidP="00A92471">
      <w:pPr>
        <w:spacing w:after="0" w:line="240" w:lineRule="auto"/>
        <w:ind w:firstLine="720"/>
        <w:contextualSpacing/>
        <w:jc w:val="both"/>
        <w:rPr>
          <w:rFonts w:ascii="Times New Roman" w:hAnsi="Times New Roman" w:cs="Times New Roman"/>
          <w:sz w:val="20"/>
          <w:szCs w:val="20"/>
        </w:rPr>
      </w:pPr>
    </w:p>
    <w:p w14:paraId="41FE230C" w14:textId="41C18C7A" w:rsidR="00A92471" w:rsidRPr="00A92471" w:rsidRDefault="00A92471" w:rsidP="00A92471">
      <w:pPr>
        <w:spacing w:after="0" w:line="240" w:lineRule="auto"/>
        <w:ind w:firstLine="720"/>
        <w:contextualSpacing/>
        <w:jc w:val="both"/>
        <w:rPr>
          <w:rFonts w:ascii="Times New Roman" w:hAnsi="Times New Roman" w:cs="Times New Roman"/>
          <w:sz w:val="20"/>
          <w:szCs w:val="20"/>
        </w:rPr>
      </w:pPr>
      <w:r w:rsidRPr="00A92471">
        <w:rPr>
          <w:rFonts w:ascii="Times New Roman" w:hAnsi="Times New Roman" w:cs="Times New Roman"/>
          <w:sz w:val="20"/>
          <w:szCs w:val="20"/>
        </w:rPr>
        <w:t xml:space="preserve">As per PSA's categorization, industrial building construction consists of factories, repair shops, printing press, refinery and others. Among the industrial building construction category, </w:t>
      </w:r>
      <w:bookmarkStart w:id="1" w:name="_Hlk135344899"/>
      <w:r w:rsidRPr="00A92471">
        <w:rPr>
          <w:rFonts w:ascii="Times New Roman" w:hAnsi="Times New Roman" w:cs="Times New Roman"/>
          <w:sz w:val="20"/>
          <w:szCs w:val="20"/>
        </w:rPr>
        <w:t xml:space="preserve">other industrial establishments </w:t>
      </w:r>
      <w:bookmarkEnd w:id="1"/>
      <w:r w:rsidRPr="00A92471">
        <w:rPr>
          <w:rFonts w:ascii="Times New Roman" w:hAnsi="Times New Roman" w:cs="Times New Roman"/>
          <w:sz w:val="20"/>
          <w:szCs w:val="20"/>
        </w:rPr>
        <w:t>lead the count, followed by factory, repair shops, refinery and printing press respectively, as shown in figure 5. In regards to other industrial establishments as indicated on the above figure; the Philippine Statistics Authority did not provide further details.</w:t>
      </w:r>
    </w:p>
    <w:p w14:paraId="7A46DB7B" w14:textId="77777777" w:rsidR="00A92471" w:rsidRDefault="00A92471" w:rsidP="003F0FAB">
      <w:pPr>
        <w:spacing w:after="0" w:line="276" w:lineRule="auto"/>
        <w:jc w:val="both"/>
        <w:rPr>
          <w:rFonts w:ascii="Times New Roman" w:hAnsi="Times New Roman" w:cs="Times New Roman"/>
          <w:color w:val="000000" w:themeColor="text1"/>
          <w:sz w:val="20"/>
          <w:szCs w:val="20"/>
        </w:rPr>
      </w:pPr>
    </w:p>
    <w:p w14:paraId="7EF3C124" w14:textId="687C3294" w:rsidR="00DA52F4" w:rsidRPr="00A92471" w:rsidRDefault="006A6434" w:rsidP="003F0FAB">
      <w:pPr>
        <w:spacing w:after="0" w:line="276" w:lineRule="auto"/>
        <w:jc w:val="both"/>
        <w:rPr>
          <w:rFonts w:ascii="Times New Roman" w:hAnsi="Times New Roman" w:cs="Times New Roman"/>
          <w:b/>
          <w:bCs/>
          <w:color w:val="000000" w:themeColor="text1"/>
          <w:sz w:val="20"/>
          <w:szCs w:val="20"/>
        </w:rPr>
      </w:pPr>
      <w:r w:rsidRPr="00A92471">
        <w:rPr>
          <w:rFonts w:ascii="Times New Roman" w:hAnsi="Times New Roman" w:cs="Times New Roman"/>
          <w:b/>
          <w:bCs/>
          <w:color w:val="000000" w:themeColor="text1"/>
          <w:sz w:val="20"/>
          <w:szCs w:val="20"/>
        </w:rPr>
        <w:t>2.2</w:t>
      </w:r>
      <w:r w:rsidR="00A92471" w:rsidRPr="00A92471">
        <w:rPr>
          <w:rFonts w:ascii="Times New Roman" w:hAnsi="Times New Roman" w:cs="Times New Roman"/>
          <w:b/>
          <w:bCs/>
          <w:color w:val="000000" w:themeColor="text1"/>
          <w:sz w:val="20"/>
          <w:szCs w:val="20"/>
        </w:rPr>
        <w:t xml:space="preserve"> Green Building Industry</w:t>
      </w:r>
    </w:p>
    <w:p w14:paraId="09FB31DE" w14:textId="2F45BD0F" w:rsidR="00A92471" w:rsidRPr="00A92471" w:rsidRDefault="00A92471" w:rsidP="00A92471">
      <w:pPr>
        <w:spacing w:after="0" w:line="240" w:lineRule="auto"/>
        <w:ind w:firstLine="720"/>
        <w:contextualSpacing/>
        <w:jc w:val="both"/>
        <w:rPr>
          <w:rFonts w:ascii="Times New Roman" w:hAnsi="Times New Roman" w:cs="Times New Roman"/>
          <w:sz w:val="20"/>
          <w:szCs w:val="20"/>
        </w:rPr>
      </w:pPr>
      <w:r w:rsidRPr="00A92471">
        <w:rPr>
          <w:rFonts w:ascii="Times New Roman" w:hAnsi="Times New Roman" w:cs="Times New Roman"/>
          <w:sz w:val="20"/>
          <w:szCs w:val="20"/>
        </w:rPr>
        <w:t xml:space="preserve">With growing populations in Mindanao, the demand for buildings is increasing to provide homes, workplaces, and services. Globally, the building construction sector currently uses more energy than the transportation or the industry sector. It is also the largest polluter, with the greatest potential for significant reductions in greenhouse gas emissions compared to other sectors, at zero cost (Manley, 2015). Developed countries, in particular, have established infrastructure based on codes and design limitations derived from historical climate data. However, future climate projections indicate significant deviations from past trends. Therefore, it is crucial to design new buildings, including those catering to population growth, to withstand the anticipated stresses and loads imposed by the future climate rather than relying on designs tailored to past conditions. </w:t>
      </w:r>
    </w:p>
    <w:p w14:paraId="246E8025" w14:textId="2172A5D1" w:rsidR="00A92471" w:rsidRPr="00A92471" w:rsidRDefault="00A92471" w:rsidP="00A92471">
      <w:pPr>
        <w:spacing w:after="0" w:line="240" w:lineRule="auto"/>
        <w:ind w:firstLine="720"/>
        <w:contextualSpacing/>
        <w:jc w:val="both"/>
        <w:rPr>
          <w:rFonts w:ascii="Times New Roman" w:hAnsi="Times New Roman" w:cs="Times New Roman"/>
          <w:sz w:val="20"/>
          <w:szCs w:val="20"/>
        </w:rPr>
      </w:pPr>
      <w:bookmarkStart w:id="2" w:name="_Hlk135506191"/>
      <w:r w:rsidRPr="00A92471">
        <w:rPr>
          <w:rFonts w:ascii="Times New Roman" w:hAnsi="Times New Roman" w:cs="Times New Roman"/>
          <w:sz w:val="20"/>
          <w:szCs w:val="20"/>
        </w:rPr>
        <w:t xml:space="preserve">Considering innovation and technology management in construction is essential to transition towards a greener approach. This involves striving for minimal energy consumption and reducing the negative impact of buildings on climate change by modifying their design, construction, operation, and demolition. </w:t>
      </w:r>
      <w:bookmarkStart w:id="3" w:name="_Hlk135505699"/>
      <w:bookmarkEnd w:id="2"/>
      <w:r w:rsidRPr="00A92471">
        <w:rPr>
          <w:rFonts w:ascii="Times New Roman" w:hAnsi="Times New Roman" w:cs="Times New Roman"/>
          <w:sz w:val="20"/>
          <w:szCs w:val="20"/>
        </w:rPr>
        <w:t>In today's world, green buildings play a crucial role, leading to the development of new construction technologies to meet the growing demand for sustainability.</w:t>
      </w:r>
      <w:bookmarkEnd w:id="3"/>
    </w:p>
    <w:p w14:paraId="59F2D93E" w14:textId="22B102E5" w:rsidR="00A92471" w:rsidRPr="00A92471" w:rsidRDefault="00A92471" w:rsidP="00A92471">
      <w:pPr>
        <w:spacing w:after="0" w:line="240" w:lineRule="auto"/>
        <w:ind w:firstLine="720"/>
        <w:contextualSpacing/>
        <w:jc w:val="both"/>
        <w:rPr>
          <w:rFonts w:ascii="Times New Roman" w:hAnsi="Times New Roman" w:cs="Times New Roman"/>
          <w:sz w:val="20"/>
          <w:szCs w:val="20"/>
        </w:rPr>
      </w:pPr>
      <w:r w:rsidRPr="00A92471">
        <w:rPr>
          <w:rFonts w:ascii="Times New Roman" w:hAnsi="Times New Roman" w:cs="Times New Roman"/>
          <w:sz w:val="20"/>
          <w:szCs w:val="20"/>
        </w:rPr>
        <w:t xml:space="preserve">In recent years, green building has gained significant attention and acceptance as one of the key measures being implemented and promoted by governments and construction experts to achieve sustainable development within the construction industry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&lt;EndNote&gt;&lt;Cite&gt;&lt;Author&gt;Zhang&lt;/Author&gt;&lt;Year&gt;2015&lt;/Year&gt;&lt;RecNum&gt;8&lt;/RecNum&gt;&lt;DisplayText&gt;[6]&lt;/DisplayText&gt;&lt;record&gt;&lt;rec-number&gt;8&lt;/rec-number&gt;&lt;foreign-keys&gt;&lt;key app="EN" db-id="92ee9rpf9vz2e0es0adpspe10f90df95xfsx" timestamp="1684506071"&gt;8&lt;/key&gt;&lt;/foreign-keys&gt;&lt;ref-type name="Journal Article"&gt;17&lt;/ref-type&gt;&lt;contributors&gt;&lt;authors&gt;&lt;author&gt;Zhang, Xiaoling&lt;/author&gt;&lt;/authors&gt;&lt;/contributors&gt;&lt;titles&gt;&lt;title&gt;Green real estate development in China: State of art and prospect agenda—A review&lt;/title&gt;&lt;secondary-title&gt;Renewable and Sustainable Energy Reviews&lt;/secondary-title&gt;&lt;/titles&gt;&lt;periodical&gt;&lt;full-title&gt;Renewable and Sustainable Energy Reviews&lt;/full-title&gt;&lt;/periodical&gt;&lt;pages&gt;1-13&lt;/pages&gt;&lt;volume&gt;47&lt;/volume&gt;&lt;dates&gt;&lt;year&gt;2015&lt;/year&gt;&lt;/dates&gt;&lt;isbn&gt;1364-0321&lt;/isbn&gt;&lt;urls&gt;&lt;/urls&gt;&lt;/record&gt;&lt;/Cite&gt;&lt;/EndNote&gt;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[6]</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 xml:space="preserve">. Across the world, several green building rating systems have been established to evaluate and certify environmentally-friendly buildings. These systems are designed to acknowledge buildings that meet specific green criteria or standards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&lt;EndNote&gt;&lt;Cite&gt;&lt;Author&gt;WorldGBC&lt;/Author&gt;&lt;Year&gt;2017&lt;/Year&gt;&lt;RecNum&gt;9&lt;/RecNum&gt;&lt;DisplayText&gt;[7]&lt;/DisplayText&gt;&lt;record&gt;&lt;rec-number&gt;9&lt;/rec-number&gt;&lt;foreign-keys&gt;&lt;key app="EN" db-id="92ee9rpf9vz2e0es0adpspe10f90df95xfsx" timestamp="1684506359"&gt;9&lt;/key&gt;&lt;/foreign-keys&gt;&lt;ref-type name="Journal Article"&gt;17&lt;/ref-type&gt;&lt;contributors&gt;&lt;authors&gt;&lt;author&gt;WorldGBC&lt;/author&gt;&lt;/authors&gt;&lt;/contributors&gt;&lt;titles&gt;&lt;title&gt;What is a green building rating tool?&lt;/title&gt;&lt;/titles&gt;&lt;volume&gt;(2017b)&lt;/volume&gt;&lt;dates&gt;&lt;year&gt;2017&lt;/year&gt;&lt;pub-dates&gt;&lt;date&gt;Dec. 30, 2017&lt;/date&gt;&lt;/pub-dates&gt;&lt;/dates&gt;&lt;urls&gt;&lt;related-urls&gt;&lt;url&gt;http://www.worldgbc.org/ratingtools&lt;/url&gt;&lt;/related-urls&gt;&lt;/urls&gt;&lt;/record&gt;&lt;/Cite&gt;&lt;/EndNote&gt;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[7]</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 xml:space="preserve">. </w:t>
      </w:r>
    </w:p>
    <w:p w14:paraId="548504E7" w14:textId="35C679D3" w:rsidR="00A92471" w:rsidRDefault="00A92471" w:rsidP="00A92471">
      <w:pPr>
        <w:spacing w:after="0" w:line="240" w:lineRule="auto"/>
        <w:ind w:firstLine="720"/>
        <w:contextualSpacing/>
        <w:jc w:val="both"/>
        <w:rPr>
          <w:rFonts w:ascii="Times New Roman" w:hAnsi="Times New Roman" w:cs="Times New Roman"/>
          <w:sz w:val="20"/>
          <w:szCs w:val="20"/>
        </w:rPr>
      </w:pPr>
      <w:r w:rsidRPr="00A92471">
        <w:rPr>
          <w:rFonts w:ascii="Times New Roman" w:hAnsi="Times New Roman" w:cs="Times New Roman"/>
          <w:sz w:val="20"/>
          <w:szCs w:val="20"/>
        </w:rPr>
        <w:t xml:space="preserve">The Philippine Green Building Council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 ExcludeYear="1"&gt;&lt;Author&gt;PHILGBC&lt;/Author&gt;&lt;Year&gt;2011&lt;/Year&gt;&lt;RecNum&gt;11&lt;/RecNum&gt;&lt;DisplayText&gt;[8]&lt;/DisplayText&gt;&lt;record&gt;&lt;rec-number&gt;11&lt;/rec-number&gt;&lt;foreign-keys&gt;&lt;key app="EN" db-id="92ee9rpf9vz2e0es0adpspe10f90df95xfsx" timestamp="1684506989"&gt;11&lt;/key&gt;&lt;/foreign-keys&gt;&lt;ref-type name="Journal Article"&gt;17&lt;/ref-type&gt;&lt;contributors&gt;&lt;authors&gt;&lt;author&gt;PHILGBC&lt;/author&gt;&lt;/authors&gt;&lt;/contributors&gt;&lt;titles&gt;&lt;title&gt;BERDE WORKING PAPER SERIES&lt;/title&gt;&lt;/titles&gt;&lt;dates&gt;&lt;year&gt;2011&lt;/year&gt;&lt;/dates&gt;&lt;urls&gt;&lt;/urls&gt;&lt;/record&gt;&lt;/Cite&gt;&lt;/EndNote&gt;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[8]</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 xml:space="preserve"> founded the Building Ecological Responsive Design Excellence (BERDE) system, which has been officially recognized by the Philippine government, specifically the Department of Energy (DOE), as the country's National Voluntary Green Rating System. BERDE was created to effectively meet the Philippine building industry's demand for addressing climate change and promoting green projects within the country. Additionally, BERDE serves as a comprehensive tool for evaluating, measuring, monitoring, and certifying the performance of green building projects, going beyond the requirements set by existing national and local building codes, environmental laws, regulations, and mandatory standards. The current emphasis in green building efforts is primarily on retrofitting existing commercial and office buildings. Many of the technologies are being introduced on a trial basis to directly observe the effectiveness and outcomes of different green building strategies. Among these strategies, the reduction of energy consumption related to building cooling is seen as a top priority that requires attention in most retrofit projects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&lt;EndNote&gt;&lt;Cite&gt;&lt;Author&gt;PHILGBC&lt;/Author&gt;&lt;Year&gt;2011&lt;/Year&gt;&lt;RecNum&gt;11&lt;/RecNum&gt;&lt;DisplayText&gt;[8]&lt;/DisplayText&gt;&lt;record&gt;&lt;rec-number&gt;11&lt;/rec-number&gt;&lt;foreign-keys&gt;&lt;key app="EN" db-id="92ee9rpf9vz2e0es0adpspe10f90df95xfsx" timestamp="1684506989"&gt;11&lt;/key&gt;&lt;/foreign-keys&gt;&lt;ref-type name="Journal Article"&gt;17&lt;/ref-type&gt;&lt;contributors&gt;&lt;authors&gt;&lt;author&gt;PHILGBC&lt;/author&gt;&lt;/authors&gt;&lt;/contributors&gt;&lt;titles&gt;&lt;title&gt;BERDE WORKING PAPER SERIES&lt;/title&gt;&lt;/titles&gt;&lt;dates&gt;&lt;year&gt;2011&lt;/year&gt;&lt;/dates&gt;&lt;urls&gt;&lt;/urls&gt;&lt;/record&gt;&lt;/Cite&gt;&lt;/EndNote&gt;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[8]</w:t>
      </w:r>
      <w:r w:rsidRPr="00A92471">
        <w:rPr>
          <w:rFonts w:ascii="Times New Roman" w:hAnsi="Times New Roman" w:cs="Times New Roman"/>
          <w:sz w:val="20"/>
          <w:szCs w:val="20"/>
        </w:rPr>
        <w:fldChar w:fldCharType="end"/>
      </w:r>
      <w:r w:rsidRPr="00A92471">
        <w:rPr>
          <w:rFonts w:ascii="Times New Roman" w:hAnsi="Times New Roman" w:cs="Times New Roman"/>
          <w:sz w:val="20"/>
          <w:szCs w:val="20"/>
        </w:rPr>
        <w:t>.</w:t>
      </w:r>
    </w:p>
    <w:p w14:paraId="1A3C5B83" w14:textId="476E6193" w:rsidR="00743C68" w:rsidRDefault="00743C68" w:rsidP="00A92471">
      <w:pPr>
        <w:spacing w:after="0" w:line="240" w:lineRule="auto"/>
        <w:ind w:firstLine="720"/>
        <w:contextualSpacing/>
        <w:jc w:val="both"/>
        <w:rPr>
          <w:rFonts w:ascii="Times New Roman" w:hAnsi="Times New Roman" w:cs="Times New Roman"/>
          <w:sz w:val="20"/>
          <w:szCs w:val="20"/>
        </w:rPr>
      </w:pPr>
    </w:p>
    <w:p w14:paraId="70A223A2" w14:textId="173DF8E3" w:rsidR="00743C68" w:rsidRDefault="00743C68" w:rsidP="00A92471">
      <w:pPr>
        <w:spacing w:after="0" w:line="240" w:lineRule="auto"/>
        <w:ind w:firstLine="720"/>
        <w:contextualSpacing/>
        <w:jc w:val="both"/>
        <w:rPr>
          <w:rFonts w:ascii="Times New Roman" w:hAnsi="Times New Roman" w:cs="Times New Roman"/>
          <w:sz w:val="20"/>
          <w:szCs w:val="20"/>
        </w:rPr>
      </w:pPr>
    </w:p>
    <w:p w14:paraId="3F81D9D5" w14:textId="738E9126" w:rsidR="00743C68" w:rsidRDefault="00743C68" w:rsidP="00A92471">
      <w:pPr>
        <w:spacing w:after="0" w:line="240" w:lineRule="auto"/>
        <w:ind w:firstLine="720"/>
        <w:contextualSpacing/>
        <w:jc w:val="both"/>
        <w:rPr>
          <w:rFonts w:ascii="Times New Roman" w:hAnsi="Times New Roman" w:cs="Times New Roman"/>
          <w:sz w:val="20"/>
          <w:szCs w:val="20"/>
        </w:rPr>
      </w:pPr>
    </w:p>
    <w:p w14:paraId="3F6357AA" w14:textId="77777777" w:rsidR="00743C68" w:rsidRPr="00A92471" w:rsidRDefault="00743C68" w:rsidP="00A92471">
      <w:pPr>
        <w:spacing w:after="0" w:line="240" w:lineRule="auto"/>
        <w:ind w:firstLine="720"/>
        <w:contextualSpacing/>
        <w:jc w:val="both"/>
        <w:rPr>
          <w:rFonts w:ascii="Times New Roman" w:hAnsi="Times New Roman" w:cs="Times New Roman"/>
          <w:sz w:val="20"/>
          <w:szCs w:val="20"/>
        </w:rPr>
      </w:pPr>
    </w:p>
    <w:p w14:paraId="3019DD73" w14:textId="217CE91A" w:rsidR="00A92471" w:rsidRDefault="00A92471" w:rsidP="00A92471">
      <w:pPr>
        <w:spacing w:after="0" w:line="240" w:lineRule="auto"/>
        <w:ind w:firstLine="720"/>
        <w:contextualSpacing/>
        <w:jc w:val="both"/>
        <w:rPr>
          <w:rFonts w:ascii="Times New Roman" w:hAnsi="Times New Roman" w:cs="Times New Roman"/>
          <w:sz w:val="20"/>
          <w:szCs w:val="20"/>
        </w:rPr>
      </w:pPr>
    </w:p>
    <w:p w14:paraId="50075C0B" w14:textId="4562E46B" w:rsidR="00743C68" w:rsidRDefault="00743C68" w:rsidP="00A92471">
      <w:pPr>
        <w:spacing w:after="0" w:line="240" w:lineRule="auto"/>
        <w:ind w:firstLine="720"/>
        <w:contextualSpacing/>
        <w:jc w:val="both"/>
        <w:rPr>
          <w:rFonts w:ascii="Times New Roman" w:hAnsi="Times New Roman" w:cs="Times New Roman"/>
          <w:sz w:val="20"/>
          <w:szCs w:val="20"/>
        </w:rPr>
      </w:pPr>
    </w:p>
    <w:p w14:paraId="7DE1AF37" w14:textId="560BC2B8" w:rsidR="00743C68" w:rsidRDefault="00743C68" w:rsidP="00A92471">
      <w:pPr>
        <w:spacing w:after="0" w:line="240" w:lineRule="auto"/>
        <w:ind w:firstLine="720"/>
        <w:contextualSpacing/>
        <w:jc w:val="both"/>
        <w:rPr>
          <w:rFonts w:ascii="Times New Roman" w:hAnsi="Times New Roman" w:cs="Times New Roman"/>
          <w:sz w:val="20"/>
          <w:szCs w:val="20"/>
        </w:rPr>
      </w:pPr>
    </w:p>
    <w:p w14:paraId="1C3A02DC" w14:textId="77777777" w:rsidR="00743C68" w:rsidRPr="00A92471" w:rsidRDefault="00743C68" w:rsidP="00A92471">
      <w:pPr>
        <w:spacing w:after="0" w:line="240" w:lineRule="auto"/>
        <w:ind w:firstLine="720"/>
        <w:contextualSpacing/>
        <w:jc w:val="both"/>
        <w:rPr>
          <w:rFonts w:ascii="Times New Roman" w:hAnsi="Times New Roman" w:cs="Times New Roman"/>
          <w:sz w:val="20"/>
          <w:szCs w:val="20"/>
        </w:rPr>
      </w:pPr>
    </w:p>
    <w:tbl>
      <w:tblPr>
        <w:tblW w:w="9356" w:type="dxa"/>
        <w:tblInd w:w="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977"/>
        <w:gridCol w:w="6379"/>
      </w:tblGrid>
      <w:tr w:rsidR="00A92471" w:rsidRPr="00A92471" w14:paraId="0CBA5B45" w14:textId="77777777" w:rsidTr="00A92471">
        <w:trPr>
          <w:trHeight w:val="307"/>
        </w:trPr>
        <w:tc>
          <w:tcPr>
            <w:tcW w:w="2977" w:type="dxa"/>
            <w:vAlign w:val="center"/>
          </w:tcPr>
          <w:p w14:paraId="6B515BB1" w14:textId="77777777" w:rsidR="00A92471" w:rsidRPr="00A92471" w:rsidRDefault="00A92471" w:rsidP="00AA447A">
            <w:pPr>
              <w:pStyle w:val="TableParagraph"/>
              <w:spacing w:line="185" w:lineRule="exact"/>
              <w:ind w:left="120"/>
              <w:rPr>
                <w:b/>
                <w:sz w:val="20"/>
                <w:szCs w:val="20"/>
              </w:rPr>
            </w:pPr>
            <w:r w:rsidRPr="00A92471">
              <w:rPr>
                <w:b/>
                <w:sz w:val="20"/>
                <w:szCs w:val="20"/>
              </w:rPr>
              <w:t>Green</w:t>
            </w:r>
            <w:r w:rsidRPr="00A92471">
              <w:rPr>
                <w:spacing w:val="-8"/>
                <w:sz w:val="20"/>
                <w:szCs w:val="20"/>
              </w:rPr>
              <w:t xml:space="preserve"> </w:t>
            </w:r>
            <w:r w:rsidRPr="00A92471">
              <w:rPr>
                <w:b/>
                <w:sz w:val="20"/>
                <w:szCs w:val="20"/>
              </w:rPr>
              <w:t>Building</w:t>
            </w:r>
            <w:r w:rsidRPr="00A92471">
              <w:rPr>
                <w:spacing w:val="-7"/>
                <w:sz w:val="20"/>
                <w:szCs w:val="20"/>
              </w:rPr>
              <w:t xml:space="preserve"> </w:t>
            </w:r>
            <w:r w:rsidRPr="00A92471">
              <w:rPr>
                <w:b/>
                <w:spacing w:val="-2"/>
                <w:sz w:val="20"/>
                <w:szCs w:val="20"/>
              </w:rPr>
              <w:t>Feature</w:t>
            </w:r>
          </w:p>
        </w:tc>
        <w:tc>
          <w:tcPr>
            <w:tcW w:w="6379" w:type="dxa"/>
            <w:vAlign w:val="center"/>
          </w:tcPr>
          <w:p w14:paraId="2B378A1E" w14:textId="77777777" w:rsidR="00A92471" w:rsidRPr="00A92471" w:rsidRDefault="00A92471" w:rsidP="00AA447A">
            <w:pPr>
              <w:pStyle w:val="TableParagraph"/>
              <w:spacing w:line="185" w:lineRule="exact"/>
              <w:rPr>
                <w:b/>
                <w:sz w:val="20"/>
                <w:szCs w:val="20"/>
              </w:rPr>
            </w:pPr>
            <w:r w:rsidRPr="00A92471">
              <w:rPr>
                <w:b/>
                <w:spacing w:val="-2"/>
                <w:sz w:val="20"/>
                <w:szCs w:val="20"/>
              </w:rPr>
              <w:t>Description</w:t>
            </w:r>
          </w:p>
        </w:tc>
      </w:tr>
      <w:tr w:rsidR="00A92471" w:rsidRPr="00A92471" w14:paraId="5D2D6A33" w14:textId="77777777" w:rsidTr="00A92471">
        <w:trPr>
          <w:trHeight w:val="1732"/>
        </w:trPr>
        <w:tc>
          <w:tcPr>
            <w:tcW w:w="2977" w:type="dxa"/>
            <w:vAlign w:val="center"/>
          </w:tcPr>
          <w:p w14:paraId="644C2CA6" w14:textId="77777777" w:rsidR="00A92471" w:rsidRPr="00A92471" w:rsidRDefault="00A92471" w:rsidP="00AA447A">
            <w:pPr>
              <w:pStyle w:val="TableParagraph"/>
              <w:spacing w:line="202" w:lineRule="exact"/>
              <w:ind w:left="120"/>
              <w:rPr>
                <w:sz w:val="20"/>
                <w:szCs w:val="20"/>
              </w:rPr>
            </w:pPr>
            <w:r w:rsidRPr="00A92471">
              <w:rPr>
                <w:spacing w:val="-2"/>
                <w:sz w:val="20"/>
                <w:szCs w:val="20"/>
              </w:rPr>
              <w:t>Cooling</w:t>
            </w:r>
          </w:p>
        </w:tc>
        <w:tc>
          <w:tcPr>
            <w:tcW w:w="6379" w:type="dxa"/>
            <w:vAlign w:val="center"/>
          </w:tcPr>
          <w:p w14:paraId="5959BA30" w14:textId="77777777" w:rsidR="00A92471" w:rsidRPr="00A92471" w:rsidRDefault="00A92471" w:rsidP="00A92471">
            <w:pPr>
              <w:pStyle w:val="TableParagraph"/>
              <w:numPr>
                <w:ilvl w:val="0"/>
                <w:numId w:val="27"/>
              </w:numPr>
              <w:tabs>
                <w:tab w:val="left" w:pos="460"/>
                <w:tab w:val="left" w:pos="461"/>
              </w:tabs>
              <w:spacing w:line="212" w:lineRule="exact"/>
              <w:ind w:hanging="361"/>
              <w:rPr>
                <w:sz w:val="20"/>
                <w:szCs w:val="20"/>
              </w:rPr>
            </w:pPr>
            <w:r w:rsidRPr="00A92471">
              <w:rPr>
                <w:sz w:val="20"/>
                <w:szCs w:val="20"/>
              </w:rPr>
              <w:t>Replacement</w:t>
            </w:r>
            <w:r w:rsidRPr="00A92471">
              <w:rPr>
                <w:spacing w:val="-4"/>
                <w:sz w:val="20"/>
                <w:szCs w:val="20"/>
              </w:rPr>
              <w:t xml:space="preserve"> </w:t>
            </w:r>
            <w:r w:rsidRPr="00A92471">
              <w:rPr>
                <w:sz w:val="20"/>
                <w:szCs w:val="20"/>
              </w:rPr>
              <w:t>of</w:t>
            </w:r>
            <w:r w:rsidRPr="00A92471">
              <w:rPr>
                <w:spacing w:val="-4"/>
                <w:sz w:val="20"/>
                <w:szCs w:val="20"/>
              </w:rPr>
              <w:t xml:space="preserve"> </w:t>
            </w:r>
            <w:r w:rsidRPr="00A92471">
              <w:rPr>
                <w:sz w:val="20"/>
                <w:szCs w:val="20"/>
              </w:rPr>
              <w:t>CFC</w:t>
            </w:r>
            <w:r w:rsidRPr="00A92471">
              <w:rPr>
                <w:spacing w:val="-2"/>
                <w:sz w:val="20"/>
                <w:szCs w:val="20"/>
              </w:rPr>
              <w:t xml:space="preserve"> </w:t>
            </w:r>
            <w:r w:rsidRPr="00A92471">
              <w:rPr>
                <w:sz w:val="20"/>
                <w:szCs w:val="20"/>
              </w:rPr>
              <w:t>based</w:t>
            </w:r>
            <w:r w:rsidRPr="00A92471">
              <w:rPr>
                <w:spacing w:val="-5"/>
                <w:sz w:val="20"/>
                <w:szCs w:val="20"/>
              </w:rPr>
              <w:t xml:space="preserve"> </w:t>
            </w:r>
            <w:r w:rsidRPr="00A92471">
              <w:rPr>
                <w:spacing w:val="-2"/>
                <w:sz w:val="20"/>
                <w:szCs w:val="20"/>
              </w:rPr>
              <w:t>refrigerants;</w:t>
            </w:r>
          </w:p>
          <w:p w14:paraId="6248B421" w14:textId="77777777" w:rsidR="00A92471" w:rsidRPr="00A92471" w:rsidRDefault="00A92471" w:rsidP="00A92471">
            <w:pPr>
              <w:pStyle w:val="TableParagraph"/>
              <w:numPr>
                <w:ilvl w:val="0"/>
                <w:numId w:val="27"/>
              </w:numPr>
              <w:tabs>
                <w:tab w:val="left" w:pos="460"/>
                <w:tab w:val="left" w:pos="461"/>
              </w:tabs>
              <w:spacing w:before="1" w:line="244" w:lineRule="auto"/>
              <w:ind w:right="105"/>
              <w:rPr>
                <w:sz w:val="20"/>
                <w:szCs w:val="20"/>
              </w:rPr>
            </w:pPr>
            <w:r w:rsidRPr="00A92471">
              <w:rPr>
                <w:sz w:val="20"/>
                <w:szCs w:val="20"/>
              </w:rPr>
              <w:t>Use of</w:t>
            </w:r>
            <w:r w:rsidRPr="00A92471">
              <w:rPr>
                <w:spacing w:val="-2"/>
                <w:sz w:val="20"/>
                <w:szCs w:val="20"/>
              </w:rPr>
              <w:t xml:space="preserve"> </w:t>
            </w:r>
            <w:r w:rsidRPr="00A92471">
              <w:rPr>
                <w:sz w:val="20"/>
                <w:szCs w:val="20"/>
              </w:rPr>
              <w:t>several compressors – to</w:t>
            </w:r>
            <w:r w:rsidRPr="00A92471">
              <w:rPr>
                <w:spacing w:val="-3"/>
                <w:sz w:val="20"/>
                <w:szCs w:val="20"/>
              </w:rPr>
              <w:t xml:space="preserve"> </w:t>
            </w:r>
            <w:r w:rsidRPr="00A92471">
              <w:rPr>
                <w:sz w:val="20"/>
                <w:szCs w:val="20"/>
              </w:rPr>
              <w:t>reduce peak demand charges and lower energy consumption associated with cooling;</w:t>
            </w:r>
          </w:p>
          <w:p w14:paraId="1A333706" w14:textId="77777777" w:rsidR="00A92471" w:rsidRPr="00A92471" w:rsidRDefault="00A92471" w:rsidP="00A92471">
            <w:pPr>
              <w:pStyle w:val="TableParagraph"/>
              <w:numPr>
                <w:ilvl w:val="0"/>
                <w:numId w:val="27"/>
              </w:numPr>
              <w:tabs>
                <w:tab w:val="left" w:pos="460"/>
                <w:tab w:val="left" w:pos="461"/>
              </w:tabs>
              <w:spacing w:line="212" w:lineRule="exact"/>
              <w:ind w:hanging="361"/>
              <w:rPr>
                <w:sz w:val="20"/>
                <w:szCs w:val="20"/>
              </w:rPr>
            </w:pPr>
            <w:r w:rsidRPr="00A92471">
              <w:rPr>
                <w:sz w:val="20"/>
                <w:szCs w:val="20"/>
              </w:rPr>
              <w:t>Variable</w:t>
            </w:r>
            <w:r w:rsidRPr="00A92471">
              <w:rPr>
                <w:spacing w:val="-4"/>
                <w:sz w:val="20"/>
                <w:szCs w:val="20"/>
              </w:rPr>
              <w:t xml:space="preserve"> </w:t>
            </w:r>
            <w:r w:rsidRPr="00A92471">
              <w:rPr>
                <w:sz w:val="20"/>
                <w:szCs w:val="20"/>
              </w:rPr>
              <w:t>speed</w:t>
            </w:r>
            <w:r w:rsidRPr="00A92471">
              <w:rPr>
                <w:spacing w:val="-4"/>
                <w:sz w:val="20"/>
                <w:szCs w:val="20"/>
              </w:rPr>
              <w:t xml:space="preserve"> </w:t>
            </w:r>
            <w:r w:rsidRPr="00A92471">
              <w:rPr>
                <w:spacing w:val="-2"/>
                <w:sz w:val="20"/>
                <w:szCs w:val="20"/>
              </w:rPr>
              <w:t>drives;</w:t>
            </w:r>
          </w:p>
          <w:p w14:paraId="39D29D46" w14:textId="77777777" w:rsidR="00A92471" w:rsidRPr="00A92471" w:rsidRDefault="00A92471" w:rsidP="00A92471">
            <w:pPr>
              <w:pStyle w:val="TableParagraph"/>
              <w:numPr>
                <w:ilvl w:val="0"/>
                <w:numId w:val="27"/>
              </w:numPr>
              <w:tabs>
                <w:tab w:val="left" w:pos="460"/>
                <w:tab w:val="left" w:pos="461"/>
              </w:tabs>
              <w:spacing w:line="240" w:lineRule="auto"/>
              <w:ind w:hanging="361"/>
              <w:rPr>
                <w:sz w:val="20"/>
                <w:szCs w:val="20"/>
              </w:rPr>
            </w:pPr>
            <w:r w:rsidRPr="00A92471">
              <w:rPr>
                <w:sz w:val="20"/>
                <w:szCs w:val="20"/>
              </w:rPr>
              <w:t>Variable</w:t>
            </w:r>
            <w:r w:rsidRPr="00A92471">
              <w:rPr>
                <w:spacing w:val="-7"/>
                <w:sz w:val="20"/>
                <w:szCs w:val="20"/>
              </w:rPr>
              <w:t xml:space="preserve"> </w:t>
            </w:r>
            <w:r w:rsidRPr="00A92471">
              <w:rPr>
                <w:sz w:val="20"/>
                <w:szCs w:val="20"/>
              </w:rPr>
              <w:t>refrigerant</w:t>
            </w:r>
            <w:r w:rsidRPr="00A92471">
              <w:rPr>
                <w:spacing w:val="-5"/>
                <w:sz w:val="20"/>
                <w:szCs w:val="20"/>
              </w:rPr>
              <w:t xml:space="preserve"> </w:t>
            </w:r>
            <w:r w:rsidRPr="00A92471">
              <w:rPr>
                <w:sz w:val="20"/>
                <w:szCs w:val="20"/>
              </w:rPr>
              <w:t>flow</w:t>
            </w:r>
            <w:r w:rsidRPr="00A92471">
              <w:rPr>
                <w:spacing w:val="-5"/>
                <w:sz w:val="20"/>
                <w:szCs w:val="20"/>
              </w:rPr>
              <w:t xml:space="preserve"> </w:t>
            </w:r>
            <w:r w:rsidRPr="00A92471">
              <w:rPr>
                <w:spacing w:val="-2"/>
                <w:sz w:val="20"/>
                <w:szCs w:val="20"/>
              </w:rPr>
              <w:t>system;</w:t>
            </w:r>
          </w:p>
          <w:p w14:paraId="5FE853D4" w14:textId="77777777" w:rsidR="00A92471" w:rsidRPr="00A92471" w:rsidRDefault="00A92471" w:rsidP="00A92471">
            <w:pPr>
              <w:pStyle w:val="TableParagraph"/>
              <w:numPr>
                <w:ilvl w:val="0"/>
                <w:numId w:val="27"/>
              </w:numPr>
              <w:tabs>
                <w:tab w:val="left" w:pos="460"/>
                <w:tab w:val="left" w:pos="461"/>
              </w:tabs>
              <w:spacing w:line="240" w:lineRule="auto"/>
              <w:ind w:hanging="361"/>
              <w:rPr>
                <w:sz w:val="20"/>
                <w:szCs w:val="20"/>
              </w:rPr>
            </w:pPr>
            <w:r w:rsidRPr="00A92471">
              <w:rPr>
                <w:sz w:val="20"/>
                <w:szCs w:val="20"/>
              </w:rPr>
              <w:t>Ice</w:t>
            </w:r>
            <w:r w:rsidRPr="00A92471">
              <w:rPr>
                <w:spacing w:val="-4"/>
                <w:sz w:val="20"/>
                <w:szCs w:val="20"/>
              </w:rPr>
              <w:t xml:space="preserve"> </w:t>
            </w:r>
            <w:r w:rsidRPr="00A92471">
              <w:rPr>
                <w:sz w:val="20"/>
                <w:szCs w:val="20"/>
              </w:rPr>
              <w:t>thermal</w:t>
            </w:r>
            <w:r w:rsidRPr="00A92471">
              <w:rPr>
                <w:spacing w:val="-6"/>
                <w:sz w:val="20"/>
                <w:szCs w:val="20"/>
              </w:rPr>
              <w:t xml:space="preserve"> </w:t>
            </w:r>
            <w:r w:rsidRPr="00A92471">
              <w:rPr>
                <w:sz w:val="20"/>
                <w:szCs w:val="20"/>
              </w:rPr>
              <w:t>air-conditioning</w:t>
            </w:r>
            <w:r w:rsidRPr="00A92471">
              <w:rPr>
                <w:spacing w:val="-8"/>
                <w:sz w:val="20"/>
                <w:szCs w:val="20"/>
              </w:rPr>
              <w:t xml:space="preserve"> </w:t>
            </w:r>
            <w:r w:rsidRPr="00A92471">
              <w:rPr>
                <w:spacing w:val="-2"/>
                <w:sz w:val="20"/>
                <w:szCs w:val="20"/>
              </w:rPr>
              <w:t>systems;</w:t>
            </w:r>
          </w:p>
          <w:p w14:paraId="6EE4DE34" w14:textId="77777777" w:rsidR="00A92471" w:rsidRPr="00A92471" w:rsidRDefault="00A92471" w:rsidP="00A92471">
            <w:pPr>
              <w:pStyle w:val="TableParagraph"/>
              <w:numPr>
                <w:ilvl w:val="0"/>
                <w:numId w:val="27"/>
              </w:numPr>
              <w:tabs>
                <w:tab w:val="left" w:pos="460"/>
                <w:tab w:val="left" w:pos="461"/>
              </w:tabs>
              <w:spacing w:line="206" w:lineRule="exact"/>
              <w:ind w:right="105"/>
              <w:rPr>
                <w:sz w:val="20"/>
                <w:szCs w:val="20"/>
              </w:rPr>
            </w:pPr>
            <w:r w:rsidRPr="00A92471">
              <w:rPr>
                <w:sz w:val="20"/>
                <w:szCs w:val="20"/>
              </w:rPr>
              <w:t>Shadow effect</w:t>
            </w:r>
            <w:r w:rsidRPr="00A92471">
              <w:rPr>
                <w:spacing w:val="29"/>
                <w:sz w:val="20"/>
                <w:szCs w:val="20"/>
              </w:rPr>
              <w:t xml:space="preserve"> </w:t>
            </w:r>
            <w:r w:rsidRPr="00A92471">
              <w:rPr>
                <w:sz w:val="20"/>
                <w:szCs w:val="20"/>
              </w:rPr>
              <w:t>–</w:t>
            </w:r>
            <w:r w:rsidRPr="00A92471">
              <w:rPr>
                <w:spacing w:val="30"/>
                <w:sz w:val="20"/>
                <w:szCs w:val="20"/>
              </w:rPr>
              <w:t xml:space="preserve"> </w:t>
            </w:r>
            <w:r w:rsidRPr="00A92471">
              <w:rPr>
                <w:sz w:val="20"/>
                <w:szCs w:val="20"/>
              </w:rPr>
              <w:t>orienting buildings</w:t>
            </w:r>
            <w:r w:rsidRPr="00A92471">
              <w:rPr>
                <w:spacing w:val="26"/>
                <w:sz w:val="20"/>
                <w:szCs w:val="20"/>
              </w:rPr>
              <w:t xml:space="preserve"> </w:t>
            </w:r>
            <w:r w:rsidRPr="00A92471">
              <w:rPr>
                <w:sz w:val="20"/>
                <w:szCs w:val="20"/>
              </w:rPr>
              <w:t>to take</w:t>
            </w:r>
            <w:r w:rsidRPr="00A92471">
              <w:rPr>
                <w:spacing w:val="26"/>
                <w:sz w:val="20"/>
                <w:szCs w:val="20"/>
              </w:rPr>
              <w:t xml:space="preserve"> </w:t>
            </w:r>
            <w:r w:rsidRPr="00A92471">
              <w:rPr>
                <w:sz w:val="20"/>
                <w:szCs w:val="20"/>
              </w:rPr>
              <w:t>advantage</w:t>
            </w:r>
            <w:r w:rsidRPr="00A92471">
              <w:rPr>
                <w:spacing w:val="26"/>
                <w:sz w:val="20"/>
                <w:szCs w:val="20"/>
              </w:rPr>
              <w:t xml:space="preserve"> </w:t>
            </w:r>
            <w:r w:rsidRPr="00A92471">
              <w:rPr>
                <w:sz w:val="20"/>
                <w:szCs w:val="20"/>
              </w:rPr>
              <w:t>of</w:t>
            </w:r>
            <w:r w:rsidRPr="00A92471">
              <w:rPr>
                <w:spacing w:val="27"/>
                <w:sz w:val="20"/>
                <w:szCs w:val="20"/>
              </w:rPr>
              <w:t xml:space="preserve"> </w:t>
            </w:r>
            <w:r w:rsidRPr="00A92471">
              <w:rPr>
                <w:sz w:val="20"/>
                <w:szCs w:val="20"/>
              </w:rPr>
              <w:t>shadows</w:t>
            </w:r>
            <w:r w:rsidRPr="00A92471">
              <w:rPr>
                <w:spacing w:val="32"/>
                <w:sz w:val="20"/>
                <w:szCs w:val="20"/>
              </w:rPr>
              <w:t xml:space="preserve"> </w:t>
            </w:r>
            <w:r w:rsidRPr="00A92471">
              <w:rPr>
                <w:sz w:val="20"/>
                <w:szCs w:val="20"/>
              </w:rPr>
              <w:t>to reduce heat gain in buildings.</w:t>
            </w:r>
          </w:p>
        </w:tc>
      </w:tr>
      <w:tr w:rsidR="00A92471" w:rsidRPr="00A92471" w14:paraId="3E0CC84E" w14:textId="77777777" w:rsidTr="00A92471">
        <w:trPr>
          <w:trHeight w:val="297"/>
        </w:trPr>
        <w:tc>
          <w:tcPr>
            <w:tcW w:w="2977" w:type="dxa"/>
            <w:vAlign w:val="center"/>
          </w:tcPr>
          <w:p w14:paraId="3250035D" w14:textId="77777777" w:rsidR="00A92471" w:rsidRPr="00A92471" w:rsidRDefault="00A92471" w:rsidP="00AA447A">
            <w:pPr>
              <w:pStyle w:val="TableParagraph"/>
              <w:spacing w:line="191" w:lineRule="exact"/>
              <w:ind w:left="120"/>
              <w:rPr>
                <w:sz w:val="20"/>
                <w:szCs w:val="20"/>
              </w:rPr>
            </w:pPr>
            <w:r w:rsidRPr="00A92471">
              <w:rPr>
                <w:spacing w:val="-2"/>
                <w:sz w:val="20"/>
                <w:szCs w:val="20"/>
              </w:rPr>
              <w:t>Elevators</w:t>
            </w:r>
          </w:p>
        </w:tc>
        <w:tc>
          <w:tcPr>
            <w:tcW w:w="6379" w:type="dxa"/>
            <w:vAlign w:val="center"/>
          </w:tcPr>
          <w:p w14:paraId="429DE2A6" w14:textId="77777777" w:rsidR="00A92471" w:rsidRPr="00A92471" w:rsidRDefault="00A92471" w:rsidP="00AA447A">
            <w:pPr>
              <w:pStyle w:val="TableParagraph"/>
              <w:spacing w:line="191" w:lineRule="exact"/>
              <w:rPr>
                <w:sz w:val="20"/>
                <w:szCs w:val="20"/>
              </w:rPr>
            </w:pPr>
            <w:r w:rsidRPr="00A92471">
              <w:rPr>
                <w:sz w:val="20"/>
                <w:szCs w:val="20"/>
              </w:rPr>
              <w:t>Optimized</w:t>
            </w:r>
            <w:r w:rsidRPr="00A92471">
              <w:rPr>
                <w:spacing w:val="-4"/>
                <w:sz w:val="20"/>
                <w:szCs w:val="20"/>
              </w:rPr>
              <w:t xml:space="preserve"> </w:t>
            </w:r>
            <w:r w:rsidRPr="00A92471">
              <w:rPr>
                <w:sz w:val="20"/>
                <w:szCs w:val="20"/>
              </w:rPr>
              <w:t>operation</w:t>
            </w:r>
            <w:r w:rsidRPr="00A92471">
              <w:rPr>
                <w:spacing w:val="-6"/>
                <w:sz w:val="20"/>
                <w:szCs w:val="20"/>
              </w:rPr>
              <w:t xml:space="preserve"> </w:t>
            </w:r>
            <w:r w:rsidRPr="00A92471">
              <w:rPr>
                <w:sz w:val="20"/>
                <w:szCs w:val="20"/>
              </w:rPr>
              <w:t>by</w:t>
            </w:r>
            <w:r w:rsidRPr="00A92471">
              <w:rPr>
                <w:spacing w:val="-11"/>
                <w:sz w:val="20"/>
                <w:szCs w:val="20"/>
              </w:rPr>
              <w:t xml:space="preserve"> </w:t>
            </w:r>
            <w:r w:rsidRPr="00A92471">
              <w:rPr>
                <w:spacing w:val="-2"/>
                <w:sz w:val="20"/>
                <w:szCs w:val="20"/>
              </w:rPr>
              <w:t>zoning</w:t>
            </w:r>
          </w:p>
        </w:tc>
      </w:tr>
      <w:tr w:rsidR="00A92471" w:rsidRPr="00A92471" w14:paraId="1F8FC84A" w14:textId="77777777" w:rsidTr="00A92471">
        <w:trPr>
          <w:trHeight w:val="259"/>
        </w:trPr>
        <w:tc>
          <w:tcPr>
            <w:tcW w:w="2977" w:type="dxa"/>
            <w:vAlign w:val="center"/>
          </w:tcPr>
          <w:p w14:paraId="0B6D358D" w14:textId="77777777" w:rsidR="00A92471" w:rsidRPr="00A92471" w:rsidRDefault="00A92471" w:rsidP="00AA447A">
            <w:pPr>
              <w:pStyle w:val="TableParagraph"/>
              <w:ind w:left="120"/>
              <w:rPr>
                <w:sz w:val="20"/>
                <w:szCs w:val="20"/>
              </w:rPr>
            </w:pPr>
            <w:r w:rsidRPr="00A92471">
              <w:rPr>
                <w:spacing w:val="-4"/>
                <w:sz w:val="20"/>
                <w:szCs w:val="20"/>
              </w:rPr>
              <w:t>Pumps</w:t>
            </w:r>
          </w:p>
        </w:tc>
        <w:tc>
          <w:tcPr>
            <w:tcW w:w="6379" w:type="dxa"/>
            <w:vAlign w:val="center"/>
          </w:tcPr>
          <w:p w14:paraId="77AC1432" w14:textId="77777777" w:rsidR="00A92471" w:rsidRPr="00A92471" w:rsidRDefault="00A92471" w:rsidP="00AA447A">
            <w:pPr>
              <w:pStyle w:val="TableParagraph"/>
              <w:rPr>
                <w:sz w:val="20"/>
                <w:szCs w:val="20"/>
              </w:rPr>
            </w:pPr>
            <w:r w:rsidRPr="00A92471">
              <w:rPr>
                <w:sz w:val="20"/>
                <w:szCs w:val="20"/>
              </w:rPr>
              <w:t>Better</w:t>
            </w:r>
            <w:r w:rsidRPr="00A92471">
              <w:rPr>
                <w:spacing w:val="-9"/>
                <w:sz w:val="20"/>
                <w:szCs w:val="20"/>
              </w:rPr>
              <w:t xml:space="preserve"> </w:t>
            </w:r>
            <w:r w:rsidRPr="00A92471">
              <w:rPr>
                <w:sz w:val="20"/>
                <w:szCs w:val="20"/>
              </w:rPr>
              <w:t>regulation</w:t>
            </w:r>
            <w:r w:rsidRPr="00A92471">
              <w:rPr>
                <w:spacing w:val="-2"/>
                <w:sz w:val="20"/>
                <w:szCs w:val="20"/>
              </w:rPr>
              <w:t xml:space="preserve"> </w:t>
            </w:r>
            <w:r w:rsidRPr="00A92471">
              <w:rPr>
                <w:sz w:val="20"/>
                <w:szCs w:val="20"/>
              </w:rPr>
              <w:t>of</w:t>
            </w:r>
            <w:r w:rsidRPr="00A92471">
              <w:rPr>
                <w:spacing w:val="-4"/>
                <w:sz w:val="20"/>
                <w:szCs w:val="20"/>
              </w:rPr>
              <w:t xml:space="preserve"> speed</w:t>
            </w:r>
          </w:p>
        </w:tc>
      </w:tr>
      <w:tr w:rsidR="00A92471" w:rsidRPr="00A92471" w14:paraId="7DD33570" w14:textId="77777777" w:rsidTr="00A92471">
        <w:trPr>
          <w:trHeight w:val="878"/>
        </w:trPr>
        <w:tc>
          <w:tcPr>
            <w:tcW w:w="2977" w:type="dxa"/>
            <w:vAlign w:val="center"/>
          </w:tcPr>
          <w:p w14:paraId="6A0377C0" w14:textId="77777777" w:rsidR="00A92471" w:rsidRPr="00A92471" w:rsidRDefault="00A92471" w:rsidP="00AA447A">
            <w:pPr>
              <w:pStyle w:val="TableParagraph"/>
              <w:spacing w:line="202" w:lineRule="exact"/>
              <w:ind w:left="120"/>
              <w:rPr>
                <w:sz w:val="20"/>
                <w:szCs w:val="20"/>
              </w:rPr>
            </w:pPr>
            <w:r w:rsidRPr="00A92471">
              <w:rPr>
                <w:spacing w:val="-2"/>
                <w:sz w:val="20"/>
                <w:szCs w:val="20"/>
              </w:rPr>
              <w:t>Lighting</w:t>
            </w:r>
          </w:p>
        </w:tc>
        <w:tc>
          <w:tcPr>
            <w:tcW w:w="6379" w:type="dxa"/>
            <w:vAlign w:val="center"/>
          </w:tcPr>
          <w:p w14:paraId="2215FBC9" w14:textId="77777777" w:rsidR="00A92471" w:rsidRPr="00A92471" w:rsidRDefault="00A92471" w:rsidP="00A92471">
            <w:pPr>
              <w:pStyle w:val="TableParagraph"/>
              <w:numPr>
                <w:ilvl w:val="0"/>
                <w:numId w:val="26"/>
              </w:numPr>
              <w:tabs>
                <w:tab w:val="left" w:pos="460"/>
                <w:tab w:val="left" w:pos="461"/>
              </w:tabs>
              <w:spacing w:line="212" w:lineRule="exact"/>
              <w:ind w:hanging="361"/>
              <w:rPr>
                <w:sz w:val="20"/>
                <w:szCs w:val="20"/>
              </w:rPr>
            </w:pPr>
            <w:r w:rsidRPr="00A92471">
              <w:rPr>
                <w:sz w:val="20"/>
                <w:szCs w:val="20"/>
              </w:rPr>
              <w:t>Motion</w:t>
            </w:r>
            <w:r w:rsidRPr="00A92471">
              <w:rPr>
                <w:spacing w:val="-1"/>
                <w:sz w:val="20"/>
                <w:szCs w:val="20"/>
              </w:rPr>
              <w:t xml:space="preserve"> </w:t>
            </w:r>
            <w:r w:rsidRPr="00A92471">
              <w:rPr>
                <w:spacing w:val="-2"/>
                <w:sz w:val="20"/>
                <w:szCs w:val="20"/>
              </w:rPr>
              <w:t>detection,</w:t>
            </w:r>
          </w:p>
          <w:p w14:paraId="40690B3C" w14:textId="77777777" w:rsidR="00A92471" w:rsidRPr="00A92471" w:rsidRDefault="00A92471" w:rsidP="00A92471">
            <w:pPr>
              <w:pStyle w:val="TableParagraph"/>
              <w:numPr>
                <w:ilvl w:val="0"/>
                <w:numId w:val="26"/>
              </w:numPr>
              <w:tabs>
                <w:tab w:val="left" w:pos="460"/>
                <w:tab w:val="left" w:pos="461"/>
              </w:tabs>
              <w:spacing w:line="240" w:lineRule="auto"/>
              <w:ind w:hanging="361"/>
              <w:rPr>
                <w:sz w:val="20"/>
                <w:szCs w:val="20"/>
              </w:rPr>
            </w:pPr>
            <w:r w:rsidRPr="00A92471">
              <w:rPr>
                <w:sz w:val="20"/>
                <w:szCs w:val="20"/>
              </w:rPr>
              <w:t>LED</w:t>
            </w:r>
            <w:r w:rsidRPr="00A92471">
              <w:rPr>
                <w:spacing w:val="-5"/>
                <w:sz w:val="20"/>
                <w:szCs w:val="20"/>
              </w:rPr>
              <w:t xml:space="preserve"> </w:t>
            </w:r>
            <w:r w:rsidRPr="00A92471">
              <w:rPr>
                <w:spacing w:val="-2"/>
                <w:sz w:val="20"/>
                <w:szCs w:val="20"/>
              </w:rPr>
              <w:t>Lighting,</w:t>
            </w:r>
          </w:p>
          <w:p w14:paraId="18E0E600" w14:textId="77777777" w:rsidR="00A92471" w:rsidRPr="00A92471" w:rsidRDefault="00A92471" w:rsidP="00A92471">
            <w:pPr>
              <w:pStyle w:val="TableParagraph"/>
              <w:numPr>
                <w:ilvl w:val="0"/>
                <w:numId w:val="26"/>
              </w:numPr>
              <w:tabs>
                <w:tab w:val="left" w:pos="460"/>
                <w:tab w:val="left" w:pos="461"/>
              </w:tabs>
              <w:spacing w:line="218" w:lineRule="exact"/>
              <w:ind w:hanging="361"/>
              <w:rPr>
                <w:sz w:val="20"/>
                <w:szCs w:val="20"/>
              </w:rPr>
            </w:pPr>
            <w:r w:rsidRPr="00A92471">
              <w:rPr>
                <w:sz w:val="20"/>
                <w:szCs w:val="20"/>
              </w:rPr>
              <w:t>Compact</w:t>
            </w:r>
            <w:r w:rsidRPr="00A92471">
              <w:rPr>
                <w:spacing w:val="-3"/>
                <w:sz w:val="20"/>
                <w:szCs w:val="20"/>
              </w:rPr>
              <w:t xml:space="preserve"> </w:t>
            </w:r>
            <w:r w:rsidRPr="00A92471">
              <w:rPr>
                <w:sz w:val="20"/>
                <w:szCs w:val="20"/>
              </w:rPr>
              <w:t>Fluorescent</w:t>
            </w:r>
            <w:r w:rsidRPr="00A92471">
              <w:rPr>
                <w:spacing w:val="-6"/>
                <w:sz w:val="20"/>
                <w:szCs w:val="20"/>
              </w:rPr>
              <w:t xml:space="preserve"> </w:t>
            </w:r>
            <w:r w:rsidRPr="00A92471">
              <w:rPr>
                <w:sz w:val="20"/>
                <w:szCs w:val="20"/>
              </w:rPr>
              <w:t>Lamps</w:t>
            </w:r>
            <w:r w:rsidRPr="00A92471">
              <w:rPr>
                <w:spacing w:val="-8"/>
                <w:sz w:val="20"/>
                <w:szCs w:val="20"/>
              </w:rPr>
              <w:t xml:space="preserve"> </w:t>
            </w:r>
            <w:r w:rsidRPr="00A92471">
              <w:rPr>
                <w:spacing w:val="-2"/>
                <w:sz w:val="20"/>
                <w:szCs w:val="20"/>
              </w:rPr>
              <w:t>(CFL),</w:t>
            </w:r>
          </w:p>
          <w:p w14:paraId="06E44261" w14:textId="77777777" w:rsidR="00A92471" w:rsidRPr="00A92471" w:rsidRDefault="00A92471" w:rsidP="00A92471">
            <w:pPr>
              <w:pStyle w:val="TableParagraph"/>
              <w:numPr>
                <w:ilvl w:val="0"/>
                <w:numId w:val="26"/>
              </w:numPr>
              <w:tabs>
                <w:tab w:val="left" w:pos="460"/>
                <w:tab w:val="left" w:pos="461"/>
              </w:tabs>
              <w:spacing w:line="207" w:lineRule="exact"/>
              <w:ind w:hanging="361"/>
              <w:rPr>
                <w:sz w:val="20"/>
                <w:szCs w:val="20"/>
              </w:rPr>
            </w:pPr>
            <w:r w:rsidRPr="00A92471">
              <w:rPr>
                <w:sz w:val="20"/>
                <w:szCs w:val="20"/>
              </w:rPr>
              <w:t>Soft</w:t>
            </w:r>
            <w:r w:rsidRPr="00A92471">
              <w:rPr>
                <w:spacing w:val="-3"/>
                <w:sz w:val="20"/>
                <w:szCs w:val="20"/>
              </w:rPr>
              <w:t xml:space="preserve"> </w:t>
            </w:r>
            <w:r w:rsidRPr="00A92471">
              <w:rPr>
                <w:spacing w:val="-2"/>
                <w:sz w:val="20"/>
                <w:szCs w:val="20"/>
              </w:rPr>
              <w:t>starters.</w:t>
            </w:r>
          </w:p>
        </w:tc>
      </w:tr>
      <w:tr w:rsidR="00A92471" w:rsidRPr="00A92471" w14:paraId="2CBFB7B8" w14:textId="77777777" w:rsidTr="00A92471">
        <w:trPr>
          <w:trHeight w:val="441"/>
        </w:trPr>
        <w:tc>
          <w:tcPr>
            <w:tcW w:w="2977" w:type="dxa"/>
            <w:vAlign w:val="center"/>
          </w:tcPr>
          <w:p w14:paraId="2AB5FE5A" w14:textId="77777777" w:rsidR="00A92471" w:rsidRPr="00A92471" w:rsidRDefault="00A92471" w:rsidP="00AA447A">
            <w:pPr>
              <w:pStyle w:val="TableParagraph"/>
              <w:spacing w:line="202" w:lineRule="exact"/>
              <w:ind w:left="120"/>
              <w:rPr>
                <w:sz w:val="20"/>
                <w:szCs w:val="20"/>
              </w:rPr>
            </w:pPr>
            <w:r w:rsidRPr="00A92471">
              <w:rPr>
                <w:sz w:val="20"/>
                <w:szCs w:val="20"/>
              </w:rPr>
              <w:t>Building</w:t>
            </w:r>
            <w:r w:rsidRPr="00A92471">
              <w:rPr>
                <w:spacing w:val="1"/>
                <w:sz w:val="20"/>
                <w:szCs w:val="20"/>
              </w:rPr>
              <w:t xml:space="preserve"> </w:t>
            </w:r>
            <w:r w:rsidRPr="00A92471">
              <w:rPr>
                <w:spacing w:val="-2"/>
                <w:sz w:val="20"/>
                <w:szCs w:val="20"/>
              </w:rPr>
              <w:t>Envelope</w:t>
            </w:r>
          </w:p>
        </w:tc>
        <w:tc>
          <w:tcPr>
            <w:tcW w:w="6379" w:type="dxa"/>
            <w:vAlign w:val="center"/>
          </w:tcPr>
          <w:p w14:paraId="22EB957E" w14:textId="77777777" w:rsidR="00A92471" w:rsidRPr="00A92471" w:rsidRDefault="00A92471" w:rsidP="00A92471">
            <w:pPr>
              <w:pStyle w:val="TableParagraph"/>
              <w:numPr>
                <w:ilvl w:val="0"/>
                <w:numId w:val="25"/>
              </w:numPr>
              <w:tabs>
                <w:tab w:val="left" w:pos="460"/>
                <w:tab w:val="left" w:pos="461"/>
              </w:tabs>
              <w:spacing w:line="212" w:lineRule="exact"/>
              <w:ind w:hanging="361"/>
              <w:rPr>
                <w:sz w:val="20"/>
                <w:szCs w:val="20"/>
              </w:rPr>
            </w:pPr>
            <w:r w:rsidRPr="00A92471">
              <w:rPr>
                <w:sz w:val="20"/>
                <w:szCs w:val="20"/>
              </w:rPr>
              <w:t>Sun</w:t>
            </w:r>
            <w:r w:rsidRPr="00A92471">
              <w:rPr>
                <w:spacing w:val="3"/>
                <w:sz w:val="20"/>
                <w:szCs w:val="20"/>
              </w:rPr>
              <w:t xml:space="preserve"> </w:t>
            </w:r>
            <w:r w:rsidRPr="00A92471">
              <w:rPr>
                <w:spacing w:val="-2"/>
                <w:sz w:val="20"/>
                <w:szCs w:val="20"/>
              </w:rPr>
              <w:t>Shields;</w:t>
            </w:r>
          </w:p>
          <w:p w14:paraId="42D2D199" w14:textId="77777777" w:rsidR="00A92471" w:rsidRPr="00A92471" w:rsidRDefault="00A92471" w:rsidP="00A92471">
            <w:pPr>
              <w:pStyle w:val="TableParagraph"/>
              <w:numPr>
                <w:ilvl w:val="0"/>
                <w:numId w:val="25"/>
              </w:numPr>
              <w:tabs>
                <w:tab w:val="left" w:pos="460"/>
                <w:tab w:val="left" w:pos="461"/>
              </w:tabs>
              <w:spacing w:line="209" w:lineRule="exact"/>
              <w:ind w:hanging="361"/>
              <w:rPr>
                <w:sz w:val="20"/>
                <w:szCs w:val="20"/>
              </w:rPr>
            </w:pPr>
            <w:r w:rsidRPr="00A92471">
              <w:rPr>
                <w:sz w:val="20"/>
                <w:szCs w:val="20"/>
              </w:rPr>
              <w:t>Low-e</w:t>
            </w:r>
            <w:r w:rsidRPr="00A92471">
              <w:rPr>
                <w:spacing w:val="-6"/>
                <w:sz w:val="20"/>
                <w:szCs w:val="20"/>
              </w:rPr>
              <w:t xml:space="preserve"> </w:t>
            </w:r>
            <w:r w:rsidRPr="00A92471">
              <w:rPr>
                <w:spacing w:val="-2"/>
                <w:sz w:val="20"/>
                <w:szCs w:val="20"/>
              </w:rPr>
              <w:t>glazing.</w:t>
            </w:r>
          </w:p>
        </w:tc>
      </w:tr>
      <w:tr w:rsidR="00A92471" w:rsidRPr="00A92471" w14:paraId="5101EAA1" w14:textId="77777777" w:rsidTr="00A92471">
        <w:trPr>
          <w:trHeight w:val="325"/>
        </w:trPr>
        <w:tc>
          <w:tcPr>
            <w:tcW w:w="2977" w:type="dxa"/>
            <w:vAlign w:val="center"/>
          </w:tcPr>
          <w:p w14:paraId="51F7DF37" w14:textId="77777777" w:rsidR="00A92471" w:rsidRPr="00A92471" w:rsidRDefault="00A92471" w:rsidP="00AA447A">
            <w:pPr>
              <w:pStyle w:val="TableParagraph"/>
              <w:spacing w:line="201" w:lineRule="exact"/>
              <w:ind w:left="120"/>
              <w:rPr>
                <w:sz w:val="20"/>
                <w:szCs w:val="20"/>
              </w:rPr>
            </w:pPr>
            <w:r w:rsidRPr="00A92471">
              <w:rPr>
                <w:sz w:val="20"/>
                <w:szCs w:val="20"/>
              </w:rPr>
              <w:t>Renewable</w:t>
            </w:r>
            <w:r w:rsidRPr="00A92471">
              <w:rPr>
                <w:spacing w:val="-5"/>
                <w:sz w:val="20"/>
                <w:szCs w:val="20"/>
              </w:rPr>
              <w:t xml:space="preserve"> </w:t>
            </w:r>
            <w:r w:rsidRPr="00A92471">
              <w:rPr>
                <w:spacing w:val="-2"/>
                <w:sz w:val="20"/>
                <w:szCs w:val="20"/>
              </w:rPr>
              <w:t>energy</w:t>
            </w:r>
          </w:p>
        </w:tc>
        <w:tc>
          <w:tcPr>
            <w:tcW w:w="6379" w:type="dxa"/>
            <w:vAlign w:val="center"/>
          </w:tcPr>
          <w:p w14:paraId="2D3B24DD" w14:textId="77777777" w:rsidR="00A92471" w:rsidRPr="00A92471" w:rsidRDefault="00A92471" w:rsidP="00A92471">
            <w:pPr>
              <w:pStyle w:val="TableParagraph"/>
              <w:numPr>
                <w:ilvl w:val="0"/>
                <w:numId w:val="24"/>
              </w:numPr>
              <w:tabs>
                <w:tab w:val="left" w:pos="460"/>
                <w:tab w:val="left" w:pos="461"/>
              </w:tabs>
              <w:spacing w:line="201" w:lineRule="exact"/>
              <w:ind w:hanging="361"/>
              <w:rPr>
                <w:sz w:val="20"/>
                <w:szCs w:val="20"/>
              </w:rPr>
            </w:pPr>
            <w:r w:rsidRPr="00A92471">
              <w:rPr>
                <w:sz w:val="20"/>
                <w:szCs w:val="20"/>
              </w:rPr>
              <w:t>Solar</w:t>
            </w:r>
            <w:r w:rsidRPr="00A92471">
              <w:rPr>
                <w:spacing w:val="2"/>
                <w:sz w:val="20"/>
                <w:szCs w:val="20"/>
              </w:rPr>
              <w:t xml:space="preserve"> </w:t>
            </w:r>
            <w:r w:rsidRPr="00A92471">
              <w:rPr>
                <w:spacing w:val="-2"/>
                <w:sz w:val="20"/>
                <w:szCs w:val="20"/>
              </w:rPr>
              <w:t>collection</w:t>
            </w:r>
          </w:p>
        </w:tc>
      </w:tr>
      <w:tr w:rsidR="00A92471" w:rsidRPr="00A92471" w14:paraId="407A1B67" w14:textId="77777777" w:rsidTr="00A92471">
        <w:trPr>
          <w:trHeight w:val="1098"/>
        </w:trPr>
        <w:tc>
          <w:tcPr>
            <w:tcW w:w="2977" w:type="dxa"/>
            <w:vAlign w:val="center"/>
          </w:tcPr>
          <w:p w14:paraId="5193131B" w14:textId="77777777" w:rsidR="00A92471" w:rsidRPr="00A92471" w:rsidRDefault="00A92471" w:rsidP="00AA447A">
            <w:pPr>
              <w:pStyle w:val="TableParagraph"/>
              <w:spacing w:line="240" w:lineRule="auto"/>
              <w:ind w:left="120"/>
              <w:rPr>
                <w:sz w:val="20"/>
                <w:szCs w:val="20"/>
              </w:rPr>
            </w:pPr>
            <w:r w:rsidRPr="00A92471">
              <w:rPr>
                <w:sz w:val="20"/>
                <w:szCs w:val="20"/>
              </w:rPr>
              <w:t>Passive</w:t>
            </w:r>
            <w:r w:rsidRPr="00A92471">
              <w:rPr>
                <w:spacing w:val="37"/>
                <w:sz w:val="20"/>
                <w:szCs w:val="20"/>
              </w:rPr>
              <w:t xml:space="preserve"> </w:t>
            </w:r>
            <w:r w:rsidRPr="00A92471">
              <w:rPr>
                <w:sz w:val="20"/>
                <w:szCs w:val="20"/>
              </w:rPr>
              <w:t>strategies</w:t>
            </w:r>
            <w:r w:rsidRPr="00A92471">
              <w:rPr>
                <w:spacing w:val="37"/>
                <w:sz w:val="20"/>
                <w:szCs w:val="20"/>
              </w:rPr>
              <w:t xml:space="preserve"> </w:t>
            </w:r>
            <w:r w:rsidRPr="00A92471">
              <w:rPr>
                <w:sz w:val="20"/>
                <w:szCs w:val="20"/>
              </w:rPr>
              <w:t>used</w:t>
            </w:r>
            <w:r w:rsidRPr="00A92471">
              <w:rPr>
                <w:spacing w:val="33"/>
                <w:sz w:val="20"/>
                <w:szCs w:val="20"/>
              </w:rPr>
              <w:t xml:space="preserve"> </w:t>
            </w:r>
            <w:r w:rsidRPr="00A92471">
              <w:rPr>
                <w:sz w:val="20"/>
                <w:szCs w:val="20"/>
              </w:rPr>
              <w:t xml:space="preserve">in </w:t>
            </w:r>
            <w:r w:rsidRPr="00A92471">
              <w:rPr>
                <w:spacing w:val="-2"/>
                <w:sz w:val="20"/>
                <w:szCs w:val="20"/>
              </w:rPr>
              <w:t>design</w:t>
            </w:r>
          </w:p>
        </w:tc>
        <w:tc>
          <w:tcPr>
            <w:tcW w:w="6379" w:type="dxa"/>
            <w:vAlign w:val="center"/>
          </w:tcPr>
          <w:p w14:paraId="1250CCE0" w14:textId="77777777" w:rsidR="00A92471" w:rsidRPr="00A92471" w:rsidRDefault="00A92471" w:rsidP="00A92471">
            <w:pPr>
              <w:pStyle w:val="TableParagraph"/>
              <w:numPr>
                <w:ilvl w:val="0"/>
                <w:numId w:val="23"/>
              </w:numPr>
              <w:tabs>
                <w:tab w:val="left" w:pos="460"/>
                <w:tab w:val="left" w:pos="461"/>
              </w:tabs>
              <w:spacing w:line="212" w:lineRule="exact"/>
              <w:ind w:hanging="361"/>
              <w:rPr>
                <w:sz w:val="20"/>
                <w:szCs w:val="20"/>
              </w:rPr>
            </w:pPr>
            <w:r w:rsidRPr="00A92471">
              <w:rPr>
                <w:sz w:val="20"/>
                <w:szCs w:val="20"/>
              </w:rPr>
              <w:t>Study</w:t>
            </w:r>
            <w:r w:rsidRPr="00A92471">
              <w:rPr>
                <w:spacing w:val="-7"/>
                <w:sz w:val="20"/>
                <w:szCs w:val="20"/>
              </w:rPr>
              <w:t xml:space="preserve"> </w:t>
            </w:r>
            <w:r w:rsidRPr="00A92471">
              <w:rPr>
                <w:sz w:val="20"/>
                <w:szCs w:val="20"/>
              </w:rPr>
              <w:t>of</w:t>
            </w:r>
            <w:r w:rsidRPr="00A92471">
              <w:rPr>
                <w:spacing w:val="-1"/>
                <w:sz w:val="20"/>
                <w:szCs w:val="20"/>
              </w:rPr>
              <w:t xml:space="preserve"> </w:t>
            </w:r>
            <w:r w:rsidRPr="00A92471">
              <w:rPr>
                <w:sz w:val="20"/>
                <w:szCs w:val="20"/>
              </w:rPr>
              <w:t>solar</w:t>
            </w:r>
            <w:r w:rsidRPr="00A92471">
              <w:rPr>
                <w:spacing w:val="-1"/>
                <w:sz w:val="20"/>
                <w:szCs w:val="20"/>
              </w:rPr>
              <w:t xml:space="preserve"> </w:t>
            </w:r>
            <w:r w:rsidRPr="00A92471">
              <w:rPr>
                <w:spacing w:val="-2"/>
                <w:sz w:val="20"/>
                <w:szCs w:val="20"/>
              </w:rPr>
              <w:t>path;</w:t>
            </w:r>
          </w:p>
          <w:p w14:paraId="40D06D97" w14:textId="77777777" w:rsidR="00A92471" w:rsidRPr="00A92471" w:rsidRDefault="00A92471" w:rsidP="00A92471">
            <w:pPr>
              <w:pStyle w:val="TableParagraph"/>
              <w:numPr>
                <w:ilvl w:val="0"/>
                <w:numId w:val="23"/>
              </w:numPr>
              <w:tabs>
                <w:tab w:val="left" w:pos="460"/>
                <w:tab w:val="left" w:pos="461"/>
              </w:tabs>
              <w:spacing w:line="240" w:lineRule="auto"/>
              <w:ind w:hanging="361"/>
              <w:rPr>
                <w:sz w:val="20"/>
                <w:szCs w:val="20"/>
              </w:rPr>
            </w:pPr>
            <w:r w:rsidRPr="00A92471">
              <w:rPr>
                <w:sz w:val="20"/>
                <w:szCs w:val="20"/>
              </w:rPr>
              <w:t>Study</w:t>
            </w:r>
            <w:r w:rsidRPr="00A92471">
              <w:rPr>
                <w:spacing w:val="-8"/>
                <w:sz w:val="20"/>
                <w:szCs w:val="20"/>
              </w:rPr>
              <w:t xml:space="preserve"> </w:t>
            </w:r>
            <w:r w:rsidRPr="00A92471">
              <w:rPr>
                <w:sz w:val="20"/>
                <w:szCs w:val="20"/>
              </w:rPr>
              <w:t>of</w:t>
            </w:r>
            <w:r w:rsidRPr="00A92471">
              <w:rPr>
                <w:spacing w:val="-1"/>
                <w:sz w:val="20"/>
                <w:szCs w:val="20"/>
              </w:rPr>
              <w:t xml:space="preserve"> </w:t>
            </w:r>
            <w:r w:rsidRPr="00A92471">
              <w:rPr>
                <w:sz w:val="20"/>
                <w:szCs w:val="20"/>
              </w:rPr>
              <w:t>wind</w:t>
            </w:r>
            <w:r w:rsidRPr="00A92471">
              <w:rPr>
                <w:spacing w:val="-2"/>
                <w:sz w:val="20"/>
                <w:szCs w:val="20"/>
              </w:rPr>
              <w:t xml:space="preserve"> </w:t>
            </w:r>
            <w:r w:rsidRPr="00A92471">
              <w:rPr>
                <w:sz w:val="20"/>
                <w:szCs w:val="20"/>
              </w:rPr>
              <w:t>and</w:t>
            </w:r>
            <w:r w:rsidRPr="00A92471">
              <w:rPr>
                <w:spacing w:val="-2"/>
                <w:sz w:val="20"/>
                <w:szCs w:val="20"/>
              </w:rPr>
              <w:t xml:space="preserve"> </w:t>
            </w:r>
            <w:r w:rsidRPr="00A92471">
              <w:rPr>
                <w:sz w:val="20"/>
                <w:szCs w:val="20"/>
              </w:rPr>
              <w:t xml:space="preserve">rainfall </w:t>
            </w:r>
            <w:r w:rsidRPr="00A92471">
              <w:rPr>
                <w:spacing w:val="-4"/>
                <w:sz w:val="20"/>
                <w:szCs w:val="20"/>
              </w:rPr>
              <w:t>data;</w:t>
            </w:r>
          </w:p>
          <w:p w14:paraId="170906E2" w14:textId="77777777" w:rsidR="00A92471" w:rsidRPr="00A92471" w:rsidRDefault="00A92471" w:rsidP="00A92471">
            <w:pPr>
              <w:pStyle w:val="TableParagraph"/>
              <w:numPr>
                <w:ilvl w:val="0"/>
                <w:numId w:val="23"/>
              </w:numPr>
              <w:tabs>
                <w:tab w:val="left" w:pos="460"/>
                <w:tab w:val="left" w:pos="461"/>
              </w:tabs>
              <w:spacing w:line="218" w:lineRule="exact"/>
              <w:ind w:hanging="361"/>
              <w:rPr>
                <w:sz w:val="20"/>
                <w:szCs w:val="20"/>
              </w:rPr>
            </w:pPr>
            <w:r w:rsidRPr="00A92471">
              <w:rPr>
                <w:sz w:val="20"/>
                <w:szCs w:val="20"/>
              </w:rPr>
              <w:t>Proper</w:t>
            </w:r>
            <w:r w:rsidRPr="00A92471">
              <w:rPr>
                <w:spacing w:val="-2"/>
                <w:sz w:val="20"/>
                <w:szCs w:val="20"/>
              </w:rPr>
              <w:t xml:space="preserve"> </w:t>
            </w:r>
            <w:r w:rsidRPr="00A92471">
              <w:rPr>
                <w:sz w:val="20"/>
                <w:szCs w:val="20"/>
              </w:rPr>
              <w:t>building</w:t>
            </w:r>
            <w:r w:rsidRPr="00A92471">
              <w:rPr>
                <w:spacing w:val="-2"/>
                <w:sz w:val="20"/>
                <w:szCs w:val="20"/>
              </w:rPr>
              <w:t xml:space="preserve"> orientation;</w:t>
            </w:r>
          </w:p>
          <w:p w14:paraId="5059DB73" w14:textId="77777777" w:rsidR="00A92471" w:rsidRPr="00A92471" w:rsidRDefault="00A92471" w:rsidP="00A92471">
            <w:pPr>
              <w:pStyle w:val="TableParagraph"/>
              <w:numPr>
                <w:ilvl w:val="0"/>
                <w:numId w:val="23"/>
              </w:numPr>
              <w:tabs>
                <w:tab w:val="left" w:pos="460"/>
                <w:tab w:val="left" w:pos="461"/>
              </w:tabs>
              <w:spacing w:line="218" w:lineRule="exact"/>
              <w:ind w:hanging="361"/>
              <w:rPr>
                <w:sz w:val="20"/>
                <w:szCs w:val="20"/>
              </w:rPr>
            </w:pPr>
            <w:r w:rsidRPr="00A92471">
              <w:rPr>
                <w:sz w:val="20"/>
                <w:szCs w:val="20"/>
              </w:rPr>
              <w:t>Natural</w:t>
            </w:r>
            <w:r w:rsidRPr="00A92471">
              <w:rPr>
                <w:spacing w:val="-6"/>
                <w:sz w:val="20"/>
                <w:szCs w:val="20"/>
              </w:rPr>
              <w:t xml:space="preserve"> </w:t>
            </w:r>
            <w:r w:rsidRPr="00A92471">
              <w:rPr>
                <w:spacing w:val="-2"/>
                <w:sz w:val="20"/>
                <w:szCs w:val="20"/>
              </w:rPr>
              <w:t>lighting;</w:t>
            </w:r>
          </w:p>
          <w:p w14:paraId="2244B255" w14:textId="77777777" w:rsidR="00A92471" w:rsidRPr="00A92471" w:rsidRDefault="00A92471" w:rsidP="00A92471">
            <w:pPr>
              <w:pStyle w:val="TableParagraph"/>
              <w:numPr>
                <w:ilvl w:val="0"/>
                <w:numId w:val="23"/>
              </w:numPr>
              <w:tabs>
                <w:tab w:val="left" w:pos="460"/>
                <w:tab w:val="left" w:pos="461"/>
              </w:tabs>
              <w:spacing w:before="1" w:line="209" w:lineRule="exact"/>
              <w:ind w:hanging="361"/>
              <w:rPr>
                <w:sz w:val="20"/>
                <w:szCs w:val="20"/>
              </w:rPr>
            </w:pPr>
            <w:r w:rsidRPr="00A92471">
              <w:rPr>
                <w:sz w:val="20"/>
                <w:szCs w:val="20"/>
              </w:rPr>
              <w:t>Natural</w:t>
            </w:r>
            <w:r w:rsidRPr="00A92471">
              <w:rPr>
                <w:spacing w:val="-2"/>
                <w:sz w:val="20"/>
                <w:szCs w:val="20"/>
              </w:rPr>
              <w:t xml:space="preserve"> ventilation.</w:t>
            </w:r>
          </w:p>
        </w:tc>
      </w:tr>
      <w:tr w:rsidR="00A92471" w:rsidRPr="00A92471" w14:paraId="424A3728" w14:textId="77777777" w:rsidTr="00A92471">
        <w:trPr>
          <w:trHeight w:val="440"/>
        </w:trPr>
        <w:tc>
          <w:tcPr>
            <w:tcW w:w="2977" w:type="dxa"/>
            <w:vAlign w:val="center"/>
          </w:tcPr>
          <w:p w14:paraId="277A24EC" w14:textId="77777777" w:rsidR="00A92471" w:rsidRPr="00A92471" w:rsidRDefault="00A92471" w:rsidP="00AA447A">
            <w:pPr>
              <w:pStyle w:val="TableParagraph"/>
              <w:spacing w:line="202" w:lineRule="exact"/>
              <w:ind w:left="120"/>
              <w:rPr>
                <w:sz w:val="20"/>
                <w:szCs w:val="20"/>
              </w:rPr>
            </w:pPr>
            <w:r w:rsidRPr="00A92471">
              <w:rPr>
                <w:spacing w:val="-2"/>
                <w:sz w:val="20"/>
                <w:szCs w:val="20"/>
              </w:rPr>
              <w:t>Water</w:t>
            </w:r>
          </w:p>
        </w:tc>
        <w:tc>
          <w:tcPr>
            <w:tcW w:w="6379" w:type="dxa"/>
            <w:vAlign w:val="center"/>
          </w:tcPr>
          <w:p w14:paraId="13E737CC" w14:textId="77777777" w:rsidR="00A92471" w:rsidRPr="00A92471" w:rsidRDefault="00A92471" w:rsidP="00A92471">
            <w:pPr>
              <w:pStyle w:val="TableParagraph"/>
              <w:numPr>
                <w:ilvl w:val="0"/>
                <w:numId w:val="22"/>
              </w:numPr>
              <w:tabs>
                <w:tab w:val="left" w:pos="460"/>
                <w:tab w:val="left" w:pos="461"/>
              </w:tabs>
              <w:spacing w:line="212" w:lineRule="exact"/>
              <w:ind w:hanging="361"/>
              <w:rPr>
                <w:sz w:val="20"/>
                <w:szCs w:val="20"/>
              </w:rPr>
            </w:pPr>
            <w:r w:rsidRPr="00A92471">
              <w:rPr>
                <w:sz w:val="20"/>
                <w:szCs w:val="20"/>
              </w:rPr>
              <w:t>Double/triple</w:t>
            </w:r>
            <w:r w:rsidRPr="00A92471">
              <w:rPr>
                <w:spacing w:val="-9"/>
                <w:sz w:val="20"/>
                <w:szCs w:val="20"/>
              </w:rPr>
              <w:t xml:space="preserve"> </w:t>
            </w:r>
            <w:r w:rsidRPr="00A92471">
              <w:rPr>
                <w:spacing w:val="-2"/>
                <w:sz w:val="20"/>
                <w:szCs w:val="20"/>
              </w:rPr>
              <w:t>Piping;</w:t>
            </w:r>
          </w:p>
          <w:p w14:paraId="28543A38" w14:textId="77777777" w:rsidR="00A92471" w:rsidRPr="00A92471" w:rsidRDefault="00A92471" w:rsidP="00A92471">
            <w:pPr>
              <w:pStyle w:val="TableParagraph"/>
              <w:numPr>
                <w:ilvl w:val="0"/>
                <w:numId w:val="22"/>
              </w:numPr>
              <w:tabs>
                <w:tab w:val="left" w:pos="460"/>
                <w:tab w:val="left" w:pos="461"/>
              </w:tabs>
              <w:spacing w:line="208" w:lineRule="exact"/>
              <w:ind w:hanging="361"/>
              <w:rPr>
                <w:sz w:val="20"/>
                <w:szCs w:val="20"/>
              </w:rPr>
            </w:pPr>
            <w:r w:rsidRPr="00A92471">
              <w:rPr>
                <w:sz w:val="20"/>
                <w:szCs w:val="20"/>
              </w:rPr>
              <w:t xml:space="preserve">Reed bed </w:t>
            </w:r>
            <w:r w:rsidRPr="00A92471">
              <w:rPr>
                <w:spacing w:val="-2"/>
                <w:sz w:val="20"/>
                <w:szCs w:val="20"/>
              </w:rPr>
              <w:t>systems.</w:t>
            </w:r>
          </w:p>
        </w:tc>
      </w:tr>
    </w:tbl>
    <w:p w14:paraId="3432D7F1" w14:textId="44C35F40" w:rsidR="00A92471" w:rsidRPr="00A92471" w:rsidRDefault="00A92471" w:rsidP="00A92471">
      <w:pPr>
        <w:spacing w:after="0" w:line="240" w:lineRule="auto"/>
        <w:contextualSpacing/>
        <w:jc w:val="center"/>
        <w:rPr>
          <w:rFonts w:ascii="Times New Roman" w:hAnsi="Times New Roman" w:cs="Times New Roman"/>
          <w:sz w:val="20"/>
          <w:szCs w:val="20"/>
        </w:rPr>
      </w:pPr>
      <w:r w:rsidRPr="00A92471">
        <w:rPr>
          <w:rFonts w:ascii="Times New Roman" w:hAnsi="Times New Roman" w:cs="Times New Roman"/>
          <w:b/>
          <w:bCs/>
          <w:sz w:val="20"/>
          <w:szCs w:val="20"/>
        </w:rPr>
        <w:t xml:space="preserve">Table 1. </w:t>
      </w:r>
      <w:r w:rsidRPr="00A92471">
        <w:rPr>
          <w:rFonts w:ascii="Times New Roman" w:hAnsi="Times New Roman" w:cs="Times New Roman"/>
          <w:sz w:val="20"/>
          <w:szCs w:val="20"/>
        </w:rPr>
        <w:t xml:space="preserve">Common Green Building Features in Commercial Buildings </w:t>
      </w:r>
      <w:r w:rsidRPr="00A92471">
        <w:rPr>
          <w:rFonts w:ascii="Times New Roman" w:hAnsi="Times New Roman" w:cs="Times New Roman"/>
          <w:sz w:val="20"/>
          <w:szCs w:val="20"/>
        </w:rPr>
        <w:fldChar w:fldCharType="begin"/>
      </w:r>
      <w:r w:rsidRPr="00A92471">
        <w:rPr>
          <w:rFonts w:ascii="Times New Roman" w:hAnsi="Times New Roman" w:cs="Times New Roman"/>
          <w:sz w:val="20"/>
          <w:szCs w:val="20"/>
        </w:rPr>
        <w:instrText xml:space="preserve"> ADDIN EN.CITE &lt;EndNote&gt;&lt;Cite&gt;&lt;Author&gt;PHILGBC&lt;/Author&gt;&lt;Year&gt;2011&lt;/Year&gt;&lt;RecNum&gt;11&lt;/RecNum&gt;&lt;DisplayText&gt;[8]&lt;/DisplayText&gt;&lt;record&gt;&lt;rec-number&gt;11&lt;/rec-number&gt;&lt;foreign-keys&gt;&lt;key app="EN" db-id="92ee9rpf9vz2e0es0adpspe10f90df95xfsx" timestamp="1684506989"&gt;11&lt;/key&gt;&lt;/foreign-keys&gt;&lt;ref-type name="Journal Article"&gt;17&lt;/ref-type&gt;&lt;contributors&gt;&lt;authors&gt;&lt;author&gt;PHILGBC&lt;/author&gt;&lt;/authors&gt;&lt;/contributors&gt;&lt;titles&gt;&lt;title&gt;BERDE WORKING PAPER SERIES&lt;/title&gt;&lt;/titles&gt;&lt;dates&gt;&lt;year&gt;2011&lt;/year&gt;&lt;/dates&gt;&lt;urls&gt;&lt;/urls&gt;&lt;/record&gt;&lt;/Cite&gt;&lt;/EndNote&gt;</w:instrText>
      </w:r>
      <w:r w:rsidRPr="00A92471">
        <w:rPr>
          <w:rFonts w:ascii="Times New Roman" w:hAnsi="Times New Roman" w:cs="Times New Roman"/>
          <w:sz w:val="20"/>
          <w:szCs w:val="20"/>
        </w:rPr>
        <w:fldChar w:fldCharType="separate"/>
      </w:r>
      <w:r w:rsidRPr="00A92471">
        <w:rPr>
          <w:rFonts w:ascii="Times New Roman" w:hAnsi="Times New Roman" w:cs="Times New Roman"/>
          <w:noProof/>
          <w:sz w:val="20"/>
          <w:szCs w:val="20"/>
        </w:rPr>
        <w:t>[8]</w:t>
      </w:r>
      <w:r w:rsidRPr="00A92471">
        <w:rPr>
          <w:rFonts w:ascii="Times New Roman" w:hAnsi="Times New Roman" w:cs="Times New Roman"/>
          <w:sz w:val="20"/>
          <w:szCs w:val="20"/>
        </w:rPr>
        <w:fldChar w:fldCharType="end"/>
      </w:r>
    </w:p>
    <w:p w14:paraId="7DC75E5F" w14:textId="34E7451F" w:rsidR="00743C68" w:rsidRDefault="00743C68" w:rsidP="00A92471">
      <w:pPr>
        <w:spacing w:after="0" w:line="240" w:lineRule="auto"/>
        <w:contextualSpacing/>
        <w:jc w:val="center"/>
        <w:rPr>
          <w:rFonts w:ascii="Times New Roman" w:hAnsi="Times New Roman" w:cs="Times New Roman"/>
          <w:b/>
          <w:bCs/>
          <w:i/>
          <w:iCs/>
          <w:sz w:val="24"/>
          <w:szCs w:val="24"/>
        </w:rPr>
      </w:pPr>
    </w:p>
    <w:p w14:paraId="27537FB1" w14:textId="77777777" w:rsidR="00041E73" w:rsidRDefault="00041E73" w:rsidP="00A92471">
      <w:pPr>
        <w:spacing w:after="0" w:line="240" w:lineRule="auto"/>
        <w:contextualSpacing/>
        <w:jc w:val="center"/>
        <w:rPr>
          <w:rFonts w:ascii="Times New Roman" w:hAnsi="Times New Roman" w:cs="Times New Roman"/>
          <w:b/>
          <w:bCs/>
          <w:i/>
          <w:iCs/>
          <w:sz w:val="24"/>
          <w:szCs w:val="24"/>
        </w:rPr>
      </w:pPr>
    </w:p>
    <w:p w14:paraId="2D8AF608" w14:textId="77777777" w:rsidR="00743C68" w:rsidRDefault="00743C68" w:rsidP="00A92471">
      <w:pPr>
        <w:spacing w:after="0" w:line="240" w:lineRule="auto"/>
        <w:contextualSpacing/>
        <w:jc w:val="center"/>
        <w:rPr>
          <w:rFonts w:ascii="Times New Roman" w:hAnsi="Times New Roman" w:cs="Times New Roman"/>
          <w:b/>
          <w:bCs/>
          <w:i/>
          <w:iCs/>
          <w:sz w:val="24"/>
          <w:szCs w:val="24"/>
        </w:rPr>
      </w:pPr>
    </w:p>
    <w:p w14:paraId="15EA5217" w14:textId="52E84D38" w:rsidR="00743C68" w:rsidRPr="00041E73" w:rsidRDefault="00A92471" w:rsidP="00041E73">
      <w:pPr>
        <w:spacing w:before="54" w:after="0" w:line="276" w:lineRule="auto"/>
        <w:jc w:val="both"/>
        <w:rPr>
          <w:rFonts w:ascii="Times New Roman" w:hAnsi="Times New Roman" w:cs="Times New Roman"/>
          <w:b/>
          <w:bCs/>
          <w:color w:val="000000" w:themeColor="text1"/>
          <w:sz w:val="20"/>
          <w:szCs w:val="20"/>
        </w:rPr>
      </w:pPr>
      <w:r w:rsidRPr="00A92471">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sidRPr="00A92471">
        <w:rPr>
          <w:rFonts w:ascii="Times New Roman" w:hAnsi="Times New Roman" w:cs="Times New Roman"/>
          <w:b/>
          <w:bCs/>
          <w:color w:val="000000" w:themeColor="text1"/>
          <w:sz w:val="20"/>
          <w:szCs w:val="20"/>
        </w:rPr>
        <w:t xml:space="preserve"> Green Building Stakeholders</w:t>
      </w:r>
      <w:r w:rsidR="00743C68" w:rsidRPr="00A92471">
        <w:rPr>
          <w:rFonts w:ascii="Times New Roman" w:hAnsi="Times New Roman" w:cs="Times New Roman"/>
          <w:b/>
          <w:bCs/>
          <w:sz w:val="24"/>
          <w:szCs w:val="24"/>
        </w:rPr>
        <w:t xml:space="preserve"> </w:t>
      </w:r>
    </w:p>
    <w:p w14:paraId="42691831" w14:textId="7BC8DB10" w:rsidR="00A92471" w:rsidRPr="00A92471" w:rsidRDefault="00A92471" w:rsidP="00A92471">
      <w:pPr>
        <w:spacing w:before="54" w:after="0" w:line="276" w:lineRule="auto"/>
        <w:ind w:firstLine="36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 xml:space="preserve">On June 25, 2015, the Department of Public Works and Highways [9] officially introduced the Green Building Code. This code is a supplementary document to the National Building Code (Presidential Decree No. 1096). The launch of the Green Building Code was made possible with the World Bank-IFC's support and the Philippine Green Building Initiative (PGBI) technical assistance. The PGBI comprises accredited professional organizations within the building industry [10]. </w:t>
      </w:r>
    </w:p>
    <w:p w14:paraId="369FD948" w14:textId="5F722D49" w:rsidR="00A92471" w:rsidRDefault="00A92471" w:rsidP="00A92471">
      <w:pPr>
        <w:spacing w:before="54" w:after="0" w:line="276" w:lineRule="auto"/>
        <w:ind w:firstLine="360"/>
        <w:jc w:val="both"/>
        <w:rPr>
          <w:rFonts w:ascii="Times New Roman" w:hAnsi="Times New Roman" w:cs="Times New Roman"/>
          <w:color w:val="000000" w:themeColor="text1"/>
          <w:sz w:val="20"/>
          <w:szCs w:val="20"/>
        </w:rPr>
      </w:pPr>
      <w:r w:rsidRPr="00A92471">
        <w:rPr>
          <w:rFonts w:ascii="Times New Roman" w:hAnsi="Times New Roman" w:cs="Times New Roman"/>
          <w:color w:val="000000" w:themeColor="text1"/>
          <w:sz w:val="20"/>
          <w:szCs w:val="20"/>
        </w:rPr>
        <w:t>The Green Building Code follows a progressive or phased approach and undergoes regular evaluations by the Secretary of the Department of Public Works and Highways [9] through the National Building Code Development Office (NBCDO). These reviews aim to make necessary updates, incorporate emerging efficient technologies, expand its applicability to different building uses or occupancies, and replace outdated measures. The National Building Code Development Office (NBCDO) will be the hub for advancing and advocating green buildings in the Philippines. It will serve as a repository of relevant resources on green buildings, create modules, and deliver training on green building practices. The Executive Director of NBCDO will lead the Technical Working Group (TWG) and can collaborate with the DPWH Secretary to provide compensation for the TWG's services. Additionally, the Executive Director has the authority to hire and compensate consultants, experts, and advisers, within the available appropriations, from relevant government agencies, private businesses, Accredited Professional Organizations (APO), and other</w:t>
      </w:r>
      <w:r>
        <w:rPr>
          <w:rFonts w:ascii="Times New Roman" w:hAnsi="Times New Roman" w:cs="Times New Roman"/>
          <w:color w:val="000000" w:themeColor="text1"/>
          <w:sz w:val="20"/>
          <w:szCs w:val="20"/>
        </w:rPr>
        <w:t xml:space="preserve"> </w:t>
      </w:r>
      <w:r w:rsidRPr="00A92471">
        <w:rPr>
          <w:rFonts w:ascii="Times New Roman" w:hAnsi="Times New Roman" w:cs="Times New Roman"/>
          <w:color w:val="000000" w:themeColor="text1"/>
          <w:sz w:val="20"/>
          <w:szCs w:val="20"/>
        </w:rPr>
        <w:t>associations to fulfill the requirements of the Green Building Code [9]. The TWG comprises authorised representatives from the following institutions as shown in Table 2.</w:t>
      </w:r>
    </w:p>
    <w:p w14:paraId="4284866F" w14:textId="497D2443" w:rsidR="00A92471" w:rsidRDefault="00A92471" w:rsidP="00A92471">
      <w:pPr>
        <w:spacing w:after="0" w:line="240" w:lineRule="auto"/>
        <w:ind w:firstLine="720"/>
        <w:contextualSpacing/>
        <w:jc w:val="both"/>
        <w:rPr>
          <w:rFonts w:ascii="Times New Roman" w:hAnsi="Times New Roman" w:cs="Times New Roman"/>
          <w:sz w:val="24"/>
          <w:szCs w:val="24"/>
        </w:rPr>
      </w:pPr>
    </w:p>
    <w:p w14:paraId="60E4E96B" w14:textId="48DB87DC" w:rsidR="00743C68" w:rsidRDefault="00743C68" w:rsidP="00A92471">
      <w:pPr>
        <w:spacing w:after="0" w:line="240" w:lineRule="auto"/>
        <w:ind w:firstLine="720"/>
        <w:contextualSpacing/>
        <w:jc w:val="both"/>
        <w:rPr>
          <w:rFonts w:ascii="Times New Roman" w:hAnsi="Times New Roman" w:cs="Times New Roman"/>
          <w:sz w:val="24"/>
          <w:szCs w:val="24"/>
        </w:rPr>
      </w:pPr>
    </w:p>
    <w:p w14:paraId="28F7E288" w14:textId="48BA4C8E" w:rsidR="00743C68" w:rsidRDefault="00743C68" w:rsidP="00A92471">
      <w:pPr>
        <w:spacing w:after="0" w:line="240" w:lineRule="auto"/>
        <w:ind w:firstLine="720"/>
        <w:contextualSpacing/>
        <w:jc w:val="both"/>
        <w:rPr>
          <w:rFonts w:ascii="Times New Roman" w:hAnsi="Times New Roman" w:cs="Times New Roman"/>
          <w:sz w:val="24"/>
          <w:szCs w:val="24"/>
        </w:rPr>
      </w:pPr>
    </w:p>
    <w:p w14:paraId="2E17B290" w14:textId="649FCA7C" w:rsidR="00743C68" w:rsidRDefault="00743C68" w:rsidP="00A92471">
      <w:pPr>
        <w:spacing w:after="0" w:line="240" w:lineRule="auto"/>
        <w:ind w:firstLine="720"/>
        <w:contextualSpacing/>
        <w:jc w:val="both"/>
        <w:rPr>
          <w:rFonts w:ascii="Times New Roman" w:hAnsi="Times New Roman" w:cs="Times New Roman"/>
          <w:sz w:val="24"/>
          <w:szCs w:val="24"/>
        </w:rPr>
      </w:pPr>
    </w:p>
    <w:p w14:paraId="6127DA40" w14:textId="77777777" w:rsidR="003F0FAB" w:rsidRDefault="003F0FAB" w:rsidP="00A92471">
      <w:pPr>
        <w:spacing w:after="0" w:line="240" w:lineRule="auto"/>
        <w:ind w:firstLine="720"/>
        <w:contextualSpacing/>
        <w:jc w:val="both"/>
        <w:rPr>
          <w:rFonts w:ascii="Times New Roman" w:hAnsi="Times New Roman" w:cs="Times New Roman"/>
          <w:sz w:val="24"/>
          <w:szCs w:val="24"/>
        </w:rPr>
      </w:pPr>
    </w:p>
    <w:p w14:paraId="0CC2C650" w14:textId="452F03AA" w:rsidR="00743C68" w:rsidRDefault="00743C68" w:rsidP="00A92471">
      <w:pPr>
        <w:spacing w:after="0" w:line="240" w:lineRule="auto"/>
        <w:ind w:firstLine="720"/>
        <w:contextualSpacing/>
        <w:jc w:val="both"/>
        <w:rPr>
          <w:rFonts w:ascii="Times New Roman" w:hAnsi="Times New Roman" w:cs="Times New Roman"/>
          <w:sz w:val="24"/>
          <w:szCs w:val="24"/>
        </w:rPr>
      </w:pPr>
    </w:p>
    <w:p w14:paraId="37AC6B46" w14:textId="6C9C2016" w:rsidR="004B3291" w:rsidRDefault="004B3291" w:rsidP="00A92471">
      <w:pPr>
        <w:spacing w:after="0" w:line="240" w:lineRule="auto"/>
        <w:ind w:firstLine="720"/>
        <w:contextualSpacing/>
        <w:jc w:val="both"/>
        <w:rPr>
          <w:rFonts w:ascii="Times New Roman" w:hAnsi="Times New Roman" w:cs="Times New Roman"/>
          <w:sz w:val="24"/>
          <w:szCs w:val="24"/>
        </w:rPr>
      </w:pPr>
    </w:p>
    <w:p w14:paraId="3C87ED05" w14:textId="459CAA90" w:rsidR="004B3291" w:rsidRDefault="004B3291" w:rsidP="00A92471">
      <w:pPr>
        <w:spacing w:after="0" w:line="240" w:lineRule="auto"/>
        <w:ind w:firstLine="720"/>
        <w:contextualSpacing/>
        <w:jc w:val="both"/>
        <w:rPr>
          <w:rFonts w:ascii="Times New Roman" w:hAnsi="Times New Roman" w:cs="Times New Roman"/>
          <w:sz w:val="24"/>
          <w:szCs w:val="24"/>
        </w:rPr>
      </w:pPr>
    </w:p>
    <w:p w14:paraId="264836AC" w14:textId="77777777" w:rsidR="004B3291" w:rsidRDefault="004B3291" w:rsidP="00A92471">
      <w:pPr>
        <w:spacing w:after="0" w:line="240" w:lineRule="auto"/>
        <w:ind w:firstLine="720"/>
        <w:contextualSpacing/>
        <w:jc w:val="both"/>
        <w:rPr>
          <w:rFonts w:ascii="Times New Roman" w:hAnsi="Times New Roman" w:cs="Times New Roman"/>
          <w:sz w:val="24"/>
          <w:szCs w:val="24"/>
        </w:rPr>
      </w:pPr>
    </w:p>
    <w:p w14:paraId="0E752F5D" w14:textId="1EC21927" w:rsidR="00041E73" w:rsidRDefault="004B3291" w:rsidP="004B3291">
      <w:pPr>
        <w:spacing w:after="0" w:line="240" w:lineRule="auto"/>
        <w:contextualSpacing/>
        <w:jc w:val="center"/>
        <w:rPr>
          <w:rFonts w:ascii="Times New Roman" w:hAnsi="Times New Roman" w:cs="Times New Roman"/>
          <w:sz w:val="24"/>
          <w:szCs w:val="24"/>
        </w:rPr>
      </w:pPr>
      <w:r w:rsidRPr="00A92471">
        <w:rPr>
          <w:rFonts w:ascii="Times New Roman" w:hAnsi="Times New Roman" w:cs="Times New Roman"/>
          <w:b/>
          <w:bCs/>
          <w:sz w:val="20"/>
          <w:szCs w:val="20"/>
        </w:rPr>
        <w:lastRenderedPageBreak/>
        <w:t xml:space="preserve">Table 2. </w:t>
      </w:r>
      <w:r w:rsidRPr="00A92471">
        <w:rPr>
          <w:rFonts w:ascii="Times New Roman" w:hAnsi="Times New Roman" w:cs="Times New Roman"/>
          <w:sz w:val="20"/>
          <w:szCs w:val="20"/>
        </w:rPr>
        <w:t>Philippine Green Building Code Technical Working Group</w:t>
      </w:r>
    </w:p>
    <w:tbl>
      <w:tblPr>
        <w:tblW w:w="6232" w:type="dxa"/>
        <w:tblInd w:w="1927" w:type="dxa"/>
        <w:tblLook w:val="04A0" w:firstRow="1" w:lastRow="0" w:firstColumn="1" w:lastColumn="0" w:noHBand="0" w:noVBand="1"/>
      </w:tblPr>
      <w:tblGrid>
        <w:gridCol w:w="6232"/>
      </w:tblGrid>
      <w:tr w:rsidR="00743C68" w:rsidRPr="00A92471" w14:paraId="23A85DF9" w14:textId="77777777" w:rsidTr="00743C68">
        <w:trPr>
          <w:trHeight w:val="288"/>
        </w:trPr>
        <w:tc>
          <w:tcPr>
            <w:tcW w:w="6232" w:type="dxa"/>
            <w:tcBorders>
              <w:top w:val="single" w:sz="4" w:space="0" w:color="auto"/>
              <w:left w:val="single" w:sz="4" w:space="0" w:color="auto"/>
              <w:bottom w:val="single" w:sz="4" w:space="0" w:color="auto"/>
              <w:right w:val="single" w:sz="4" w:space="0" w:color="auto"/>
            </w:tcBorders>
            <w:shd w:val="clear" w:color="auto" w:fill="auto"/>
            <w:noWrap/>
            <w:hideMark/>
          </w:tcPr>
          <w:p w14:paraId="1242B1B6"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CCC  :  Climate Change Commission</w:t>
            </w:r>
          </w:p>
        </w:tc>
      </w:tr>
      <w:tr w:rsidR="00743C68" w:rsidRPr="00A92471" w14:paraId="1A4B401B"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0D29DE8B"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DENR  :  Department of Environment and Natural Resources</w:t>
            </w:r>
          </w:p>
        </w:tc>
      </w:tr>
      <w:tr w:rsidR="00743C68" w:rsidRPr="00A92471" w14:paraId="642393EB"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53E71BD5"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DILG :  Department of Interior and Local Government </w:t>
            </w:r>
          </w:p>
        </w:tc>
      </w:tr>
      <w:tr w:rsidR="00743C68" w:rsidRPr="00A92471" w14:paraId="2EDF9D48"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43EE7A88"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DOE  : Department of Energy </w:t>
            </w:r>
          </w:p>
        </w:tc>
      </w:tr>
      <w:tr w:rsidR="00743C68" w:rsidRPr="00A92471" w14:paraId="7A7F7AF0"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53A19FE2"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DOST  : Department of Science and Technology </w:t>
            </w:r>
          </w:p>
        </w:tc>
      </w:tr>
      <w:tr w:rsidR="00743C68" w:rsidRPr="00A92471" w14:paraId="107F0140"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079C413A"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DTI  : Department of Trade and Industry </w:t>
            </w:r>
          </w:p>
        </w:tc>
      </w:tr>
      <w:tr w:rsidR="00743C68" w:rsidRPr="00A92471" w14:paraId="380B783C"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735FAA0C"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GEP  : Geodetic Engineers of the Philippines </w:t>
            </w:r>
          </w:p>
        </w:tc>
      </w:tr>
      <w:tr w:rsidR="00743C68" w:rsidRPr="00A92471" w14:paraId="2EA36864"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2B10629A"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IECEP  : Institute of Electronics Engineers of the Philippines </w:t>
            </w:r>
          </w:p>
        </w:tc>
      </w:tr>
      <w:tr w:rsidR="00743C68" w:rsidRPr="00A92471" w14:paraId="6E313E80"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4DE891E1"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IIEE  : Institute of Integrated Electrical Engineers </w:t>
            </w:r>
          </w:p>
        </w:tc>
      </w:tr>
      <w:tr w:rsidR="00743C68" w:rsidRPr="00A92471" w14:paraId="5BD78943"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7237A590"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PALA  : Philippine Association of Landscape Architects </w:t>
            </w:r>
          </w:p>
        </w:tc>
      </w:tr>
      <w:tr w:rsidR="00743C68" w:rsidRPr="00A92471" w14:paraId="4ADE63EB"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76B9A43B"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PICE  : Philippine Institute of Civil Engineers </w:t>
            </w:r>
          </w:p>
        </w:tc>
      </w:tr>
      <w:tr w:rsidR="00743C68" w:rsidRPr="00A92471" w14:paraId="7336CC1D"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50AC0B35"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PIEP  : Philippine Institute of Environmental Planners </w:t>
            </w:r>
          </w:p>
        </w:tc>
      </w:tr>
      <w:tr w:rsidR="00743C68" w:rsidRPr="00A92471" w14:paraId="20621CD8"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184168E7"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PIID  : Philippine Institute of Interior Designers </w:t>
            </w:r>
          </w:p>
        </w:tc>
      </w:tr>
      <w:tr w:rsidR="00743C68" w:rsidRPr="00A92471" w14:paraId="6B9C1525"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6EF94369"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PSME  : Philippine Society of Mechanical Engineers </w:t>
            </w:r>
          </w:p>
        </w:tc>
      </w:tr>
      <w:tr w:rsidR="00743C68" w:rsidRPr="00A92471" w14:paraId="10AC4014"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5DE40BF9"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PSSE  : Philippine Society of Sanitary Engineers </w:t>
            </w:r>
          </w:p>
        </w:tc>
      </w:tr>
      <w:tr w:rsidR="00743C68" w:rsidRPr="00A92471" w14:paraId="46CFD44F"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3B22F2F7"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UAP  : United Architects of the Philippines </w:t>
            </w:r>
          </w:p>
        </w:tc>
      </w:tr>
      <w:tr w:rsidR="00743C68" w:rsidRPr="00A92471" w14:paraId="4FFF59EB"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2E10A7BA"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BOMAP  : Building Owners and Managers Association of the Philippines </w:t>
            </w:r>
          </w:p>
        </w:tc>
      </w:tr>
      <w:tr w:rsidR="00743C68" w:rsidRPr="00A92471" w14:paraId="5B50FF9F"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122973ED"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PABA  : Philippine Association of Building Administrators </w:t>
            </w:r>
          </w:p>
        </w:tc>
      </w:tr>
      <w:tr w:rsidR="00743C68" w:rsidRPr="00A92471" w14:paraId="2AE5BFC3" w14:textId="77777777" w:rsidTr="00743C68">
        <w:trPr>
          <w:trHeight w:val="288"/>
        </w:trPr>
        <w:tc>
          <w:tcPr>
            <w:tcW w:w="6232" w:type="dxa"/>
            <w:tcBorders>
              <w:top w:val="nil"/>
              <w:left w:val="single" w:sz="4" w:space="0" w:color="auto"/>
              <w:bottom w:val="single" w:sz="4" w:space="0" w:color="auto"/>
              <w:right w:val="single" w:sz="4" w:space="0" w:color="auto"/>
            </w:tcBorders>
            <w:shd w:val="clear" w:color="auto" w:fill="auto"/>
            <w:noWrap/>
            <w:hideMark/>
          </w:tcPr>
          <w:p w14:paraId="4D6B5D43" w14:textId="77777777" w:rsidR="00743C68" w:rsidRPr="00A92471" w:rsidRDefault="00743C68" w:rsidP="00AA447A">
            <w:pPr>
              <w:spacing w:after="0" w:line="240" w:lineRule="auto"/>
              <w:rPr>
                <w:rFonts w:ascii="Times New Roman" w:eastAsia="Times New Roman" w:hAnsi="Times New Roman" w:cs="Times New Roman"/>
                <w:color w:val="000000"/>
                <w:sz w:val="20"/>
                <w:szCs w:val="20"/>
                <w:lang w:eastAsia="en-PH"/>
              </w:rPr>
            </w:pPr>
            <w:r w:rsidRPr="00A92471">
              <w:rPr>
                <w:rFonts w:ascii="Times New Roman" w:hAnsi="Times New Roman" w:cs="Times New Roman"/>
                <w:sz w:val="20"/>
                <w:szCs w:val="20"/>
              </w:rPr>
              <w:t xml:space="preserve">PABO  : Philippine Association of the Building Officials </w:t>
            </w:r>
          </w:p>
        </w:tc>
      </w:tr>
    </w:tbl>
    <w:p w14:paraId="564C1E47" w14:textId="77777777" w:rsidR="00041E73" w:rsidRDefault="00041E73" w:rsidP="00A92471">
      <w:pPr>
        <w:spacing w:after="0" w:line="240" w:lineRule="auto"/>
        <w:ind w:firstLine="720"/>
        <w:contextualSpacing/>
        <w:jc w:val="both"/>
        <w:rPr>
          <w:rFonts w:ascii="Times New Roman" w:hAnsi="Times New Roman" w:cs="Times New Roman"/>
          <w:sz w:val="20"/>
          <w:szCs w:val="20"/>
        </w:rPr>
      </w:pPr>
    </w:p>
    <w:p w14:paraId="71263374" w14:textId="40A6B3CA" w:rsidR="00A92471" w:rsidRPr="00743C68" w:rsidRDefault="00A92471" w:rsidP="00A92471">
      <w:pPr>
        <w:spacing w:after="0" w:line="240" w:lineRule="auto"/>
        <w:ind w:firstLine="720"/>
        <w:contextualSpacing/>
        <w:jc w:val="both"/>
        <w:rPr>
          <w:rFonts w:ascii="Times New Roman" w:hAnsi="Times New Roman" w:cs="Times New Roman"/>
          <w:sz w:val="20"/>
          <w:szCs w:val="20"/>
        </w:rPr>
      </w:pPr>
      <w:r w:rsidRPr="00743C68">
        <w:rPr>
          <w:rFonts w:ascii="Times New Roman" w:hAnsi="Times New Roman" w:cs="Times New Roman"/>
          <w:sz w:val="20"/>
          <w:szCs w:val="20"/>
        </w:rPr>
        <w:t>Green building stakeholders include various parties, such as end users, building owners, finance entities, green building consultants, security personnel, ICT consultants, and environmental compliance entities. Private enterprises are the dominant forces in the green building industry in the Philippines. The real estate development sector, which focuses on constructing residential, commercial, and industrial buildings, is highly competitive within the country. Listed in Table 3 are some of the existing and well-known real estate developers in Mindanao, all of which are private companies, play a significant role in this industry, and are primarily engaged in constructing contemporary residential and commercial structures.</w:t>
      </w:r>
    </w:p>
    <w:p w14:paraId="3F53DF28" w14:textId="77777777" w:rsidR="00041E73" w:rsidRPr="00743C68" w:rsidRDefault="00041E73" w:rsidP="00041E73">
      <w:pPr>
        <w:spacing w:after="0" w:line="240" w:lineRule="auto"/>
        <w:contextualSpacing/>
        <w:jc w:val="both"/>
        <w:rPr>
          <w:rFonts w:ascii="Times New Roman" w:hAnsi="Times New Roman" w:cs="Times New Roman"/>
          <w:sz w:val="24"/>
          <w:szCs w:val="24"/>
        </w:rPr>
      </w:pPr>
    </w:p>
    <w:tbl>
      <w:tblPr>
        <w:tblW w:w="7225"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828"/>
      </w:tblGrid>
      <w:tr w:rsidR="00A92471" w:rsidRPr="00743C68" w14:paraId="3828C686" w14:textId="77777777" w:rsidTr="00AA447A">
        <w:trPr>
          <w:trHeight w:val="288"/>
        </w:trPr>
        <w:tc>
          <w:tcPr>
            <w:tcW w:w="3397" w:type="dxa"/>
            <w:shd w:val="clear" w:color="auto" w:fill="auto"/>
            <w:noWrap/>
            <w:vAlign w:val="center"/>
            <w:hideMark/>
          </w:tcPr>
          <w:p w14:paraId="0B5DF472"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Ayala Land</w:t>
            </w:r>
          </w:p>
        </w:tc>
        <w:tc>
          <w:tcPr>
            <w:tcW w:w="3828" w:type="dxa"/>
            <w:shd w:val="clear" w:color="auto" w:fill="auto"/>
            <w:noWrap/>
            <w:vAlign w:val="center"/>
            <w:hideMark/>
          </w:tcPr>
          <w:p w14:paraId="2E77774E"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Megaworld Corporation</w:t>
            </w:r>
          </w:p>
        </w:tc>
      </w:tr>
      <w:tr w:rsidR="00A92471" w:rsidRPr="00743C68" w14:paraId="2478E121" w14:textId="77777777" w:rsidTr="00AA447A">
        <w:trPr>
          <w:trHeight w:val="288"/>
        </w:trPr>
        <w:tc>
          <w:tcPr>
            <w:tcW w:w="3397" w:type="dxa"/>
            <w:shd w:val="clear" w:color="auto" w:fill="auto"/>
            <w:noWrap/>
            <w:vAlign w:val="center"/>
            <w:hideMark/>
          </w:tcPr>
          <w:p w14:paraId="0F54DEB2"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SM Development Corporation</w:t>
            </w:r>
          </w:p>
        </w:tc>
        <w:tc>
          <w:tcPr>
            <w:tcW w:w="3828" w:type="dxa"/>
            <w:shd w:val="clear" w:color="auto" w:fill="auto"/>
            <w:noWrap/>
            <w:vAlign w:val="center"/>
            <w:hideMark/>
          </w:tcPr>
          <w:p w14:paraId="45F0083D"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FTC Group Of Companies Corp.</w:t>
            </w:r>
          </w:p>
        </w:tc>
      </w:tr>
      <w:tr w:rsidR="00A92471" w:rsidRPr="00743C68" w14:paraId="3BD95C6C" w14:textId="77777777" w:rsidTr="00AA447A">
        <w:trPr>
          <w:trHeight w:val="288"/>
        </w:trPr>
        <w:tc>
          <w:tcPr>
            <w:tcW w:w="3397" w:type="dxa"/>
            <w:shd w:val="clear" w:color="auto" w:fill="auto"/>
            <w:noWrap/>
            <w:vAlign w:val="center"/>
            <w:hideMark/>
          </w:tcPr>
          <w:p w14:paraId="4C618814"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DMCI Homes</w:t>
            </w:r>
          </w:p>
        </w:tc>
        <w:tc>
          <w:tcPr>
            <w:tcW w:w="3828" w:type="dxa"/>
            <w:shd w:val="clear" w:color="auto" w:fill="auto"/>
            <w:noWrap/>
            <w:vAlign w:val="center"/>
            <w:hideMark/>
          </w:tcPr>
          <w:p w14:paraId="54AE3FFB"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Torre Lorenzo Development Corp.</w:t>
            </w:r>
          </w:p>
        </w:tc>
      </w:tr>
      <w:tr w:rsidR="00A92471" w:rsidRPr="00743C68" w14:paraId="343CB435" w14:textId="77777777" w:rsidTr="00AA447A">
        <w:trPr>
          <w:trHeight w:val="288"/>
        </w:trPr>
        <w:tc>
          <w:tcPr>
            <w:tcW w:w="3397" w:type="dxa"/>
            <w:shd w:val="clear" w:color="auto" w:fill="auto"/>
            <w:noWrap/>
            <w:vAlign w:val="center"/>
            <w:hideMark/>
          </w:tcPr>
          <w:p w14:paraId="1CBB65B7"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Filinvest Land</w:t>
            </w:r>
          </w:p>
        </w:tc>
        <w:tc>
          <w:tcPr>
            <w:tcW w:w="3828" w:type="dxa"/>
            <w:shd w:val="clear" w:color="auto" w:fill="auto"/>
            <w:noWrap/>
            <w:vAlign w:val="center"/>
            <w:hideMark/>
          </w:tcPr>
          <w:p w14:paraId="5C39E616"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Damosa Land, Inc.</w:t>
            </w:r>
          </w:p>
        </w:tc>
      </w:tr>
      <w:tr w:rsidR="00A92471" w:rsidRPr="00743C68" w14:paraId="0CE7B7C7" w14:textId="77777777" w:rsidTr="00AA447A">
        <w:trPr>
          <w:trHeight w:val="288"/>
        </w:trPr>
        <w:tc>
          <w:tcPr>
            <w:tcW w:w="3397" w:type="dxa"/>
            <w:shd w:val="clear" w:color="auto" w:fill="auto"/>
            <w:noWrap/>
            <w:vAlign w:val="center"/>
            <w:hideMark/>
          </w:tcPr>
          <w:p w14:paraId="17DA2368"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Vista Land</w:t>
            </w:r>
          </w:p>
        </w:tc>
        <w:tc>
          <w:tcPr>
            <w:tcW w:w="3828" w:type="dxa"/>
            <w:shd w:val="clear" w:color="auto" w:fill="auto"/>
            <w:noWrap/>
            <w:vAlign w:val="center"/>
            <w:hideMark/>
          </w:tcPr>
          <w:p w14:paraId="268D1191"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Cebu Landmasters</w:t>
            </w:r>
          </w:p>
        </w:tc>
      </w:tr>
      <w:tr w:rsidR="00A92471" w:rsidRPr="00743C68" w14:paraId="28EE68D2" w14:textId="77777777" w:rsidTr="00AA447A">
        <w:trPr>
          <w:trHeight w:val="288"/>
        </w:trPr>
        <w:tc>
          <w:tcPr>
            <w:tcW w:w="3397" w:type="dxa"/>
            <w:shd w:val="clear" w:color="auto" w:fill="auto"/>
            <w:noWrap/>
            <w:vAlign w:val="center"/>
            <w:hideMark/>
          </w:tcPr>
          <w:p w14:paraId="30820770"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Robinsons Land Corp.</w:t>
            </w:r>
          </w:p>
        </w:tc>
        <w:tc>
          <w:tcPr>
            <w:tcW w:w="3828" w:type="dxa"/>
            <w:shd w:val="clear" w:color="auto" w:fill="auto"/>
            <w:noWrap/>
            <w:vAlign w:val="center"/>
            <w:hideMark/>
          </w:tcPr>
          <w:p w14:paraId="07642BBB" w14:textId="77777777" w:rsidR="00A92471" w:rsidRPr="00743C68" w:rsidRDefault="00A92471" w:rsidP="00AA447A">
            <w:pPr>
              <w:spacing w:after="0" w:line="240" w:lineRule="auto"/>
              <w:rPr>
                <w:rFonts w:ascii="Times New Roman" w:eastAsia="Times New Roman" w:hAnsi="Times New Roman" w:cs="Times New Roman"/>
                <w:color w:val="000000"/>
                <w:sz w:val="20"/>
                <w:szCs w:val="20"/>
                <w:lang w:eastAsia="en-PH"/>
              </w:rPr>
            </w:pPr>
            <w:r w:rsidRPr="00743C68">
              <w:rPr>
                <w:rFonts w:ascii="Times New Roman" w:eastAsia="Times New Roman" w:hAnsi="Times New Roman" w:cs="Times New Roman"/>
                <w:color w:val="000000"/>
                <w:sz w:val="20"/>
                <w:szCs w:val="20"/>
                <w:lang w:eastAsia="en-PH"/>
              </w:rPr>
              <w:t>Phinma Properties</w:t>
            </w:r>
          </w:p>
        </w:tc>
      </w:tr>
    </w:tbl>
    <w:p w14:paraId="5D38097E" w14:textId="77777777" w:rsidR="00A92471" w:rsidRPr="00743C68" w:rsidRDefault="00A92471" w:rsidP="00A92471">
      <w:pPr>
        <w:spacing w:after="0" w:line="240" w:lineRule="auto"/>
        <w:contextualSpacing/>
        <w:jc w:val="center"/>
        <w:rPr>
          <w:rFonts w:ascii="Times New Roman" w:hAnsi="Times New Roman" w:cs="Times New Roman"/>
          <w:sz w:val="20"/>
          <w:szCs w:val="20"/>
        </w:rPr>
      </w:pPr>
      <w:r w:rsidRPr="00743C68">
        <w:rPr>
          <w:rFonts w:ascii="Times New Roman" w:hAnsi="Times New Roman" w:cs="Times New Roman"/>
          <w:b/>
          <w:bCs/>
          <w:sz w:val="20"/>
          <w:szCs w:val="20"/>
        </w:rPr>
        <w:t>Table 3.</w:t>
      </w:r>
      <w:r w:rsidRPr="00743C68">
        <w:rPr>
          <w:rFonts w:ascii="Times New Roman" w:hAnsi="Times New Roman" w:cs="Times New Roman"/>
          <w:sz w:val="20"/>
          <w:szCs w:val="20"/>
        </w:rPr>
        <w:t xml:space="preserve"> Existing Real Estate Developers in Mindanao</w:t>
      </w:r>
    </w:p>
    <w:p w14:paraId="74BA9A0E" w14:textId="77777777" w:rsidR="00A92471" w:rsidRPr="00743C68" w:rsidRDefault="00A92471" w:rsidP="003F0FAB">
      <w:pPr>
        <w:spacing w:after="0" w:line="240" w:lineRule="auto"/>
        <w:rPr>
          <w:rFonts w:ascii="Times New Roman" w:hAnsi="Times New Roman" w:cs="Times New Roman"/>
        </w:rPr>
      </w:pPr>
    </w:p>
    <w:p w14:paraId="5508E9F3" w14:textId="16FD4D3C" w:rsidR="00041E73" w:rsidRDefault="00041E73" w:rsidP="003F0FAB">
      <w:pPr>
        <w:spacing w:after="0" w:line="276" w:lineRule="auto"/>
        <w:jc w:val="both"/>
        <w:rPr>
          <w:rFonts w:ascii="Times New Roman" w:hAnsi="Times New Roman" w:cs="Times New Roman"/>
          <w:b/>
          <w:bCs/>
          <w:color w:val="000000" w:themeColor="text1"/>
          <w:sz w:val="20"/>
          <w:szCs w:val="20"/>
        </w:rPr>
      </w:pPr>
      <w:r w:rsidRPr="00A92471">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4</w:t>
      </w:r>
      <w:r w:rsidRPr="00A92471">
        <w:rPr>
          <w:rFonts w:ascii="Times New Roman" w:hAnsi="Times New Roman" w:cs="Times New Roman"/>
          <w:b/>
          <w:bCs/>
          <w:color w:val="000000" w:themeColor="text1"/>
          <w:sz w:val="20"/>
          <w:szCs w:val="20"/>
        </w:rPr>
        <w:t xml:space="preserve"> </w:t>
      </w:r>
      <w:r w:rsidRPr="00041E73">
        <w:rPr>
          <w:rFonts w:ascii="Times New Roman" w:hAnsi="Times New Roman" w:cs="Times New Roman"/>
          <w:b/>
          <w:bCs/>
          <w:color w:val="000000" w:themeColor="text1"/>
          <w:sz w:val="20"/>
          <w:szCs w:val="20"/>
        </w:rPr>
        <w:t>Green Building Development in Mindanao</w:t>
      </w:r>
    </w:p>
    <w:p w14:paraId="5E3929F4" w14:textId="1A1D82BA" w:rsidR="00041E73" w:rsidRDefault="00041E73" w:rsidP="003F0FAB">
      <w:pPr>
        <w:spacing w:after="0" w:line="240" w:lineRule="auto"/>
        <w:ind w:firstLine="720"/>
        <w:jc w:val="both"/>
        <w:rPr>
          <w:rFonts w:ascii="Times New Roman" w:hAnsi="Times New Roman" w:cs="Times New Roman"/>
          <w:sz w:val="20"/>
          <w:szCs w:val="20"/>
        </w:rPr>
      </w:pPr>
      <w:r w:rsidRPr="00041E73">
        <w:rPr>
          <w:rFonts w:ascii="Times New Roman" w:hAnsi="Times New Roman" w:cs="Times New Roman"/>
          <w:sz w:val="20"/>
          <w:szCs w:val="20"/>
        </w:rPr>
        <w:t>The Philippines and the local government units are beginning to make green buildings a part of their key environmental strategy. Many modern technologies have originated in the western world, and the Philippines can draw inspiration from this thriving market. Numerous globally-utilized technologies are excellent examples, including Light-Emitting Diode (LED) lighting, low-energy-consuming HVAC systems, wastewater treatment methods, rainwater harvesting practices, and solar and wind energy utilization. These technologies offer valuable insights and potential solutions for the Philippines to adopt and implement. As green building technologies are gradually introduced to the Philippines, Mindanao's atmosphere is already embracing the implementation of the Philippine Green Building Code as it manifested growing numbers of Green-building certified structures in the region, as shown in the Table 4.</w:t>
      </w:r>
    </w:p>
    <w:p w14:paraId="792CE1B9" w14:textId="77777777" w:rsidR="003F0FAB" w:rsidRPr="00041E73" w:rsidRDefault="003F0FAB" w:rsidP="003F0FAB">
      <w:pPr>
        <w:spacing w:after="0" w:line="240" w:lineRule="auto"/>
        <w:ind w:firstLine="720"/>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2263"/>
        <w:gridCol w:w="3828"/>
        <w:gridCol w:w="3969"/>
      </w:tblGrid>
      <w:tr w:rsidR="00041E73" w:rsidRPr="00041E73" w14:paraId="039A284E" w14:textId="77777777" w:rsidTr="00041E73">
        <w:tc>
          <w:tcPr>
            <w:tcW w:w="2263" w:type="dxa"/>
          </w:tcPr>
          <w:p w14:paraId="520B522D" w14:textId="77777777" w:rsidR="00041E73" w:rsidRPr="004B3291" w:rsidRDefault="00041E73" w:rsidP="00AA447A">
            <w:pPr>
              <w:jc w:val="center"/>
              <w:rPr>
                <w:rFonts w:ascii="Times New Roman" w:hAnsi="Times New Roman" w:cs="Times New Roman"/>
                <w:b/>
                <w:bCs/>
              </w:rPr>
            </w:pPr>
            <w:r w:rsidRPr="004B3291">
              <w:rPr>
                <w:rFonts w:ascii="Times New Roman" w:hAnsi="Times New Roman" w:cs="Times New Roman"/>
                <w:b/>
                <w:bCs/>
              </w:rPr>
              <w:t>Project</w:t>
            </w:r>
          </w:p>
        </w:tc>
        <w:tc>
          <w:tcPr>
            <w:tcW w:w="3828" w:type="dxa"/>
          </w:tcPr>
          <w:p w14:paraId="175C6EB4" w14:textId="77777777" w:rsidR="00041E73" w:rsidRPr="004B3291" w:rsidRDefault="00041E73" w:rsidP="00AA447A">
            <w:pPr>
              <w:jc w:val="center"/>
              <w:rPr>
                <w:rFonts w:ascii="Times New Roman" w:hAnsi="Times New Roman" w:cs="Times New Roman"/>
                <w:b/>
                <w:bCs/>
              </w:rPr>
            </w:pPr>
            <w:r w:rsidRPr="004B3291">
              <w:rPr>
                <w:rFonts w:ascii="Times New Roman" w:hAnsi="Times New Roman" w:cs="Times New Roman"/>
                <w:b/>
                <w:bCs/>
              </w:rPr>
              <w:t>Green Building Certification</w:t>
            </w:r>
          </w:p>
        </w:tc>
        <w:tc>
          <w:tcPr>
            <w:tcW w:w="3969" w:type="dxa"/>
          </w:tcPr>
          <w:p w14:paraId="500FA783" w14:textId="77777777" w:rsidR="00041E73" w:rsidRPr="004B3291" w:rsidRDefault="00041E73" w:rsidP="00AA447A">
            <w:pPr>
              <w:jc w:val="center"/>
              <w:rPr>
                <w:rFonts w:ascii="Times New Roman" w:hAnsi="Times New Roman" w:cs="Times New Roman"/>
                <w:b/>
                <w:bCs/>
              </w:rPr>
            </w:pPr>
            <w:r w:rsidRPr="004B3291">
              <w:rPr>
                <w:rFonts w:ascii="Times New Roman" w:hAnsi="Times New Roman" w:cs="Times New Roman"/>
                <w:b/>
                <w:bCs/>
              </w:rPr>
              <w:t>Location</w:t>
            </w:r>
          </w:p>
        </w:tc>
      </w:tr>
      <w:tr w:rsidR="00041E73" w:rsidRPr="00041E73" w14:paraId="1118F8BB" w14:textId="77777777" w:rsidTr="00041E73">
        <w:tc>
          <w:tcPr>
            <w:tcW w:w="2263" w:type="dxa"/>
          </w:tcPr>
          <w:p w14:paraId="4C08F866"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Limketkai Luxe Hotel</w:t>
            </w:r>
          </w:p>
        </w:tc>
        <w:tc>
          <w:tcPr>
            <w:tcW w:w="3828" w:type="dxa"/>
          </w:tcPr>
          <w:p w14:paraId="0F2E4683"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LEED NC 2009 Gold</w:t>
            </w:r>
          </w:p>
        </w:tc>
        <w:tc>
          <w:tcPr>
            <w:tcW w:w="3969" w:type="dxa"/>
          </w:tcPr>
          <w:p w14:paraId="7D53C0D0"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Cagayan de Oro, Northern Mindanao</w:t>
            </w:r>
          </w:p>
        </w:tc>
      </w:tr>
      <w:tr w:rsidR="00041E73" w:rsidRPr="00041E73" w14:paraId="51BA308D" w14:textId="77777777" w:rsidTr="00041E73">
        <w:tc>
          <w:tcPr>
            <w:tcW w:w="2263" w:type="dxa"/>
          </w:tcPr>
          <w:p w14:paraId="060AD981"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Pioneer House CDO</w:t>
            </w:r>
          </w:p>
        </w:tc>
        <w:tc>
          <w:tcPr>
            <w:tcW w:w="3828" w:type="dxa"/>
          </w:tcPr>
          <w:p w14:paraId="6946ECD9"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LEED CS 2009 Platinum</w:t>
            </w:r>
          </w:p>
        </w:tc>
        <w:tc>
          <w:tcPr>
            <w:tcW w:w="3969" w:type="dxa"/>
          </w:tcPr>
          <w:p w14:paraId="60F92981"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Cagayan de Oro, Northern Mindanao</w:t>
            </w:r>
          </w:p>
        </w:tc>
      </w:tr>
      <w:tr w:rsidR="00041E73" w:rsidRPr="00041E73" w14:paraId="5F957587" w14:textId="77777777" w:rsidTr="00041E73">
        <w:tc>
          <w:tcPr>
            <w:tcW w:w="2263" w:type="dxa"/>
          </w:tcPr>
          <w:p w14:paraId="6EE56045"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UnionBank - Davao</w:t>
            </w:r>
          </w:p>
        </w:tc>
        <w:tc>
          <w:tcPr>
            <w:tcW w:w="3828" w:type="dxa"/>
          </w:tcPr>
          <w:p w14:paraId="70AB291B"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LEED v4 ID+C Retail Gold</w:t>
            </w:r>
          </w:p>
        </w:tc>
        <w:tc>
          <w:tcPr>
            <w:tcW w:w="3969" w:type="dxa"/>
          </w:tcPr>
          <w:p w14:paraId="7154DC54"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 xml:space="preserve">Cabaguio Ave., Davao City, Davao Region </w:t>
            </w:r>
          </w:p>
        </w:tc>
      </w:tr>
      <w:tr w:rsidR="00041E73" w:rsidRPr="00041E73" w14:paraId="38B44E2D" w14:textId="77777777" w:rsidTr="00041E73">
        <w:tc>
          <w:tcPr>
            <w:tcW w:w="2263" w:type="dxa"/>
          </w:tcPr>
          <w:p w14:paraId="03CAB55B"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Felcris Centrale</w:t>
            </w:r>
          </w:p>
        </w:tc>
        <w:tc>
          <w:tcPr>
            <w:tcW w:w="3828" w:type="dxa"/>
          </w:tcPr>
          <w:p w14:paraId="129C1A76"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BERDE for New Construction Recognized</w:t>
            </w:r>
          </w:p>
        </w:tc>
        <w:tc>
          <w:tcPr>
            <w:tcW w:w="3969" w:type="dxa"/>
          </w:tcPr>
          <w:p w14:paraId="09AFCF67"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Quimpo Blvd., Davao City, Davao Region</w:t>
            </w:r>
          </w:p>
        </w:tc>
      </w:tr>
      <w:tr w:rsidR="00041E73" w:rsidRPr="00041E73" w14:paraId="768CAA63" w14:textId="77777777" w:rsidTr="00041E73">
        <w:tc>
          <w:tcPr>
            <w:tcW w:w="2263" w:type="dxa"/>
          </w:tcPr>
          <w:p w14:paraId="7827F12E"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Damosa Diamond Tower</w:t>
            </w:r>
          </w:p>
        </w:tc>
        <w:tc>
          <w:tcPr>
            <w:tcW w:w="3828" w:type="dxa"/>
          </w:tcPr>
          <w:p w14:paraId="2F5C73F0"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EDGE Certification from Sintali-SGS</w:t>
            </w:r>
          </w:p>
        </w:tc>
        <w:tc>
          <w:tcPr>
            <w:tcW w:w="3969" w:type="dxa"/>
          </w:tcPr>
          <w:p w14:paraId="08D88C57" w14:textId="77777777" w:rsidR="00041E73" w:rsidRPr="00041E73" w:rsidRDefault="00041E73" w:rsidP="00AA447A">
            <w:pPr>
              <w:jc w:val="both"/>
              <w:rPr>
                <w:rFonts w:ascii="Times New Roman" w:hAnsi="Times New Roman" w:cs="Times New Roman"/>
              </w:rPr>
            </w:pPr>
            <w:r w:rsidRPr="00041E73">
              <w:rPr>
                <w:rFonts w:ascii="Times New Roman" w:hAnsi="Times New Roman" w:cs="Times New Roman"/>
              </w:rPr>
              <w:t>Lanang, Davao City, Davao Region</w:t>
            </w:r>
          </w:p>
        </w:tc>
      </w:tr>
    </w:tbl>
    <w:p w14:paraId="5871CC2E" w14:textId="4835CC38" w:rsidR="00041E73" w:rsidRPr="00041E73" w:rsidRDefault="00041E73" w:rsidP="00041E73">
      <w:pPr>
        <w:spacing w:after="0" w:line="240" w:lineRule="auto"/>
        <w:jc w:val="center"/>
        <w:rPr>
          <w:rFonts w:ascii="Times New Roman" w:hAnsi="Times New Roman" w:cs="Times New Roman"/>
          <w:sz w:val="20"/>
          <w:szCs w:val="20"/>
        </w:rPr>
      </w:pPr>
      <w:r w:rsidRPr="00041E73">
        <w:rPr>
          <w:rFonts w:ascii="Times New Roman" w:hAnsi="Times New Roman" w:cs="Times New Roman"/>
          <w:b/>
          <w:bCs/>
          <w:sz w:val="20"/>
          <w:szCs w:val="20"/>
        </w:rPr>
        <w:t>Table 4.</w:t>
      </w:r>
      <w:r w:rsidRPr="00041E73">
        <w:rPr>
          <w:rFonts w:ascii="Times New Roman" w:hAnsi="Times New Roman" w:cs="Times New Roman"/>
          <w:sz w:val="20"/>
          <w:szCs w:val="20"/>
        </w:rPr>
        <w:t xml:space="preserve"> Green-Building Certified Structures in Mindanao,</w:t>
      </w:r>
      <w:r>
        <w:rPr>
          <w:rFonts w:ascii="Times New Roman" w:hAnsi="Times New Roman" w:cs="Times New Roman"/>
          <w:sz w:val="20"/>
          <w:szCs w:val="20"/>
        </w:rPr>
        <w:t xml:space="preserve"> </w:t>
      </w:r>
      <w:r w:rsidRPr="00041E73">
        <w:rPr>
          <w:rFonts w:ascii="Times New Roman" w:hAnsi="Times New Roman" w:cs="Times New Roman"/>
          <w:sz w:val="20"/>
          <w:szCs w:val="20"/>
        </w:rPr>
        <w:fldChar w:fldCharType="begin">
          <w:fldData xml:space="preserve">PEVuZE5vdGU+PENpdGU+PEF1dGhvcj5HQklHPC9BdXRob3I+PFllYXI+MjAxMjwvWWVhcj48UmVj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</w:fldData>
        </w:fldChar>
      </w:r>
      <w:r w:rsidRPr="00041E73">
        <w:rPr>
          <w:rFonts w:ascii="Times New Roman" w:hAnsi="Times New Roman" w:cs="Times New Roman"/>
          <w:sz w:val="20"/>
          <w:szCs w:val="20"/>
        </w:rPr>
        <w:instrText xml:space="preserve"> ADDIN EN.CITE </w:instrText>
      </w:r>
      <w:r w:rsidRPr="00041E73">
        <w:rPr>
          <w:rFonts w:ascii="Times New Roman" w:hAnsi="Times New Roman" w:cs="Times New Roman"/>
          <w:sz w:val="20"/>
          <w:szCs w:val="20"/>
        </w:rPr>
        <w:fldChar w:fldCharType="begin">
          <w:fldData xml:space="preserve">PEVuZE5vdGU+PENpdGU+PEF1dGhvcj5HQklHPC9BdXRob3I+PFllYXI+MjAxMjwvWWVhcj48UmVj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</w:fldData>
        </w:fldChar>
      </w:r>
      <w:r w:rsidRPr="00041E73">
        <w:rPr>
          <w:rFonts w:ascii="Times New Roman" w:hAnsi="Times New Roman" w:cs="Times New Roman"/>
          <w:sz w:val="20"/>
          <w:szCs w:val="20"/>
        </w:rPr>
        <w:instrText xml:space="preserve"> ADDIN EN.CITE.DATA </w:instrText>
      </w:r>
      <w:r w:rsidRPr="00041E73">
        <w:rPr>
          <w:rFonts w:ascii="Times New Roman" w:hAnsi="Times New Roman" w:cs="Times New Roman"/>
          <w:sz w:val="20"/>
          <w:szCs w:val="20"/>
        </w:rPr>
      </w:r>
      <w:r w:rsidRPr="00041E73">
        <w:rPr>
          <w:rFonts w:ascii="Times New Roman" w:hAnsi="Times New Roman" w:cs="Times New Roman"/>
          <w:sz w:val="20"/>
          <w:szCs w:val="20"/>
        </w:rPr>
        <w:fldChar w:fldCharType="end"/>
      </w:r>
      <w:r w:rsidRPr="00041E73">
        <w:rPr>
          <w:rFonts w:ascii="Times New Roman" w:hAnsi="Times New Roman" w:cs="Times New Roman"/>
          <w:sz w:val="20"/>
          <w:szCs w:val="20"/>
        </w:rPr>
      </w:r>
      <w:r w:rsidRPr="00041E73">
        <w:rPr>
          <w:rFonts w:ascii="Times New Roman" w:hAnsi="Times New Roman" w:cs="Times New Roman"/>
          <w:sz w:val="20"/>
          <w:szCs w:val="20"/>
        </w:rPr>
        <w:fldChar w:fldCharType="separate"/>
      </w:r>
      <w:r w:rsidRPr="00041E73">
        <w:rPr>
          <w:rFonts w:ascii="Times New Roman" w:hAnsi="Times New Roman" w:cs="Times New Roman"/>
          <w:noProof/>
          <w:sz w:val="20"/>
          <w:szCs w:val="20"/>
        </w:rPr>
        <w:t>[5, 11-14]</w:t>
      </w:r>
      <w:r w:rsidRPr="00041E73">
        <w:rPr>
          <w:rFonts w:ascii="Times New Roman" w:hAnsi="Times New Roman" w:cs="Times New Roman"/>
          <w:sz w:val="20"/>
          <w:szCs w:val="20"/>
        </w:rPr>
        <w:fldChar w:fldCharType="end"/>
      </w:r>
    </w:p>
    <w:p w14:paraId="6AF97AB6" w14:textId="0A74F229" w:rsidR="00A92471" w:rsidRDefault="00A92471" w:rsidP="00A92471">
      <w:pPr>
        <w:spacing w:after="0" w:line="240" w:lineRule="auto"/>
        <w:contextualSpacing/>
        <w:jc w:val="center"/>
        <w:rPr>
          <w:rFonts w:ascii="Times New Roman" w:hAnsi="Times New Roman" w:cs="Times New Roman"/>
          <w:b/>
          <w:bCs/>
          <w:i/>
          <w:iCs/>
          <w:sz w:val="24"/>
          <w:szCs w:val="24"/>
        </w:rPr>
      </w:pPr>
    </w:p>
    <w:p w14:paraId="437AB4E2" w14:textId="77777777" w:rsidR="003F0FAB" w:rsidRDefault="003F0FAB" w:rsidP="00A92471">
      <w:pPr>
        <w:spacing w:after="0" w:line="240" w:lineRule="auto"/>
        <w:contextualSpacing/>
        <w:jc w:val="center"/>
        <w:rPr>
          <w:rFonts w:ascii="Times New Roman" w:hAnsi="Times New Roman" w:cs="Times New Roman"/>
          <w:b/>
          <w:bCs/>
          <w:i/>
          <w:iCs/>
          <w:sz w:val="24"/>
          <w:szCs w:val="24"/>
        </w:rPr>
      </w:pPr>
    </w:p>
    <w:p w14:paraId="78E51081" w14:textId="13CBF46B" w:rsidR="004B3291" w:rsidRPr="001E51F3" w:rsidRDefault="004B3291" w:rsidP="004B3291">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4B3291">
        <w:rPr>
          <w:rFonts w:ascii="Times New Roman" w:hAnsi="Times New Roman" w:cs="Times New Roman"/>
          <w:b/>
          <w:bCs/>
          <w:color w:val="000000" w:themeColor="text1"/>
          <w:sz w:val="24"/>
          <w:szCs w:val="24"/>
        </w:rPr>
        <w:t>DISCUSSION AND CONCLUSION</w:t>
      </w:r>
    </w:p>
    <w:p w14:paraId="588CCC21" w14:textId="710D7BF2" w:rsidR="004B3291" w:rsidRPr="004B3291" w:rsidRDefault="004B3291" w:rsidP="00043BF2">
      <w:pPr>
        <w:spacing w:after="0" w:line="240" w:lineRule="auto"/>
        <w:ind w:firstLine="851"/>
        <w:jc w:val="both"/>
        <w:rPr>
          <w:rFonts w:ascii="Times New Roman" w:hAnsi="Times New Roman" w:cs="Times New Roman"/>
          <w:sz w:val="20"/>
          <w:szCs w:val="20"/>
        </w:rPr>
      </w:pPr>
      <w:r w:rsidRPr="004B3291">
        <w:rPr>
          <w:rFonts w:ascii="Times New Roman" w:hAnsi="Times New Roman" w:cs="Times New Roman"/>
          <w:sz w:val="20"/>
          <w:szCs w:val="20"/>
        </w:rPr>
        <w:t xml:space="preserve">Residential and commercial buildings are the most significant number of building construction in Mindanao. With the continuing increase of construction after the number drop during COViD pandemic in 2020, the demand for structures is still increasing to provide homes, workplaces, and services for the growing population in the region. As this trend escalates, the massive construction of buildings negatively impacts the environment with conventional building construction methodology. </w:t>
      </w:r>
    </w:p>
    <w:p w14:paraId="11981EEC" w14:textId="2D58F9C9" w:rsidR="00DA52F4" w:rsidRDefault="004B3291" w:rsidP="00043BF2">
      <w:pPr>
        <w:spacing w:before="54" w:after="0" w:line="276" w:lineRule="auto"/>
        <w:ind w:firstLine="851"/>
        <w:jc w:val="both"/>
        <w:rPr>
          <w:rFonts w:ascii="Times New Roman" w:hAnsi="Times New Roman" w:cs="Times New Roman"/>
          <w:sz w:val="20"/>
          <w:szCs w:val="20"/>
        </w:rPr>
      </w:pPr>
      <w:r w:rsidRPr="004B3291">
        <w:rPr>
          <w:rFonts w:ascii="Times New Roman" w:hAnsi="Times New Roman" w:cs="Times New Roman"/>
          <w:sz w:val="20"/>
          <w:szCs w:val="20"/>
        </w:rPr>
        <w:t>Considering innovation and technology management in construction is essential to transition towards a greener approach that involves minimal energy consumption and reducing the negative impact of buildings on climate change by modifying their design, construction, operation, and demolition. Nowadays, green buildings play a crucial role, leading to the development of new construction technologies to meet the growing demand for sustainability in Mindanao, in which both the private and public sectors need to be adaptable. A knowledgeable and well-informed group of industry stakeholders is crucial to adapt to rapid changes effectively.</w:t>
      </w:r>
    </w:p>
    <w:p w14:paraId="7E01DAB9" w14:textId="10660C0B" w:rsidR="004B3291" w:rsidRPr="004B3291" w:rsidRDefault="004B3291" w:rsidP="00043BF2">
      <w:pPr>
        <w:spacing w:after="0" w:line="240" w:lineRule="auto"/>
        <w:ind w:firstLine="851"/>
        <w:jc w:val="both"/>
        <w:rPr>
          <w:rFonts w:ascii="Times New Roman" w:hAnsi="Times New Roman" w:cs="Times New Roman"/>
          <w:sz w:val="20"/>
          <w:szCs w:val="20"/>
        </w:rPr>
      </w:pPr>
      <w:r w:rsidRPr="004B3291">
        <w:rPr>
          <w:rFonts w:ascii="Times New Roman" w:hAnsi="Times New Roman" w:cs="Times New Roman"/>
          <w:sz w:val="20"/>
          <w:szCs w:val="20"/>
        </w:rPr>
        <w:t>In the need to address the issue of climate change and to facilitate green projects in the Philippines, Building Ecological Responsive Design Excellence (BERDE) was developed. Furthermore, BERDE has been created as a comprehensive mechanism for evaluating, quantifying, tracking, and certifying the performance of green building projects that go beyond the requirements set by national and local building codes, environmental regulations, and mandatory standards.</w:t>
      </w:r>
    </w:p>
    <w:p w14:paraId="2830F1C8" w14:textId="77777777" w:rsidR="004B3291" w:rsidRPr="004B3291" w:rsidRDefault="004B3291" w:rsidP="00043BF2">
      <w:pPr>
        <w:spacing w:after="0" w:line="240" w:lineRule="auto"/>
        <w:ind w:firstLine="851"/>
        <w:jc w:val="both"/>
        <w:rPr>
          <w:rFonts w:ascii="Times New Roman" w:hAnsi="Times New Roman" w:cs="Times New Roman"/>
          <w:sz w:val="20"/>
          <w:szCs w:val="20"/>
        </w:rPr>
      </w:pPr>
      <w:r w:rsidRPr="004B3291">
        <w:rPr>
          <w:rFonts w:ascii="Times New Roman" w:hAnsi="Times New Roman" w:cs="Times New Roman"/>
          <w:sz w:val="20"/>
          <w:szCs w:val="20"/>
        </w:rPr>
        <w:t>With the existing numbers of Green Building certified structures in Mindanao nowadays, the government's initiative towards promoting the Philippine Green Building Code, in collaboration with industry professionals, real estate developers, and other private sectors, indicates a potential for green buildings in the region.</w:t>
      </w:r>
    </w:p>
    <w:p w14:paraId="49736C0F" w14:textId="557A1F76" w:rsidR="004B3291" w:rsidRDefault="004B3291" w:rsidP="004B3291">
      <w:pPr>
        <w:spacing w:before="54" w:after="0" w:line="276" w:lineRule="auto"/>
        <w:ind w:firstLine="360"/>
        <w:jc w:val="both"/>
        <w:rPr>
          <w:rFonts w:ascii="Times New Roman" w:hAnsi="Times New Roman" w:cs="Times New Roman"/>
          <w:color w:val="000000" w:themeColor="text1"/>
          <w:sz w:val="20"/>
          <w:szCs w:val="20"/>
        </w:rPr>
      </w:pPr>
    </w:p>
    <w:p w14:paraId="4915D825" w14:textId="77777777" w:rsidR="003F0FAB" w:rsidRPr="004B3291" w:rsidRDefault="003F0FAB" w:rsidP="004B3291">
      <w:pPr>
        <w:spacing w:before="54" w:after="0" w:line="276" w:lineRule="auto"/>
        <w:ind w:firstLine="360"/>
        <w:jc w:val="both"/>
        <w:rPr>
          <w:rFonts w:ascii="Times New Roman" w:hAnsi="Times New Roman" w:cs="Times New Roman"/>
          <w:color w:val="000000" w:themeColor="text1"/>
          <w:sz w:val="20"/>
          <w:szCs w:val="20"/>
        </w:rPr>
      </w:pPr>
    </w:p>
    <w:p w14:paraId="24B2CD4B" w14:textId="52CE893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0FC0D2" w14:textId="77777777" w:rsidR="00A35BBE" w:rsidRPr="00454D8F" w:rsidRDefault="00A35BBE" w:rsidP="00A35BBE">
      <w:pPr>
        <w:pStyle w:val="ListParagraph"/>
        <w:spacing w:after="0" w:line="240" w:lineRule="auto"/>
        <w:ind w:left="360"/>
        <w:rPr>
          <w:rFonts w:ascii="Times New Roman" w:hAnsi="Times New Roman" w:cs="Times New Roman"/>
          <w:color w:val="000000" w:themeColor="text1"/>
          <w:sz w:val="20"/>
          <w:szCs w:val="20"/>
        </w:rPr>
      </w:pPr>
    </w:p>
    <w:p w14:paraId="36650CA9" w14:textId="5FAC0B21"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w:t>
      </w:r>
      <w:r w:rsidRPr="00454D8F">
        <w:rPr>
          <w:rFonts w:ascii="Times New Roman" w:hAnsi="Times New Roman" w:cs="Times New Roman"/>
          <w:color w:val="000000" w:themeColor="text1"/>
          <w:sz w:val="20"/>
          <w:szCs w:val="20"/>
        </w:rPr>
        <w:fldChar w:fldCharType="begin"/>
      </w:r>
      <w:r w:rsidRPr="00454D8F">
        <w:rPr>
          <w:rFonts w:ascii="Times New Roman" w:hAnsi="Times New Roman" w:cs="Times New Roman"/>
          <w:color w:val="000000" w:themeColor="text1"/>
          <w:sz w:val="20"/>
          <w:szCs w:val="20"/>
        </w:rPr>
        <w:instrText xml:space="preserve"> ADDIN EN.REFLIST </w:instrText>
      </w:r>
      <w:r w:rsidRPr="00454D8F">
        <w:rPr>
          <w:rFonts w:ascii="Times New Roman" w:hAnsi="Times New Roman" w:cs="Times New Roman"/>
          <w:color w:val="000000" w:themeColor="text1"/>
          <w:sz w:val="20"/>
          <w:szCs w:val="20"/>
        </w:rPr>
        <w:fldChar w:fldCharType="separate"/>
      </w:r>
      <w:r w:rsidRPr="00454D8F">
        <w:rPr>
          <w:rFonts w:ascii="Times New Roman" w:hAnsi="Times New Roman" w:cs="Times New Roman"/>
          <w:color w:val="000000" w:themeColor="text1"/>
          <w:sz w:val="20"/>
          <w:szCs w:val="20"/>
        </w:rPr>
        <w:t>1]</w:t>
      </w:r>
      <w:r w:rsidRPr="00454D8F">
        <w:rPr>
          <w:rFonts w:ascii="Times New Roman" w:hAnsi="Times New Roman" w:cs="Times New Roman"/>
          <w:color w:val="000000" w:themeColor="text1"/>
          <w:sz w:val="20"/>
          <w:szCs w:val="20"/>
        </w:rPr>
        <w:tab/>
        <w:t xml:space="preserve">PSA, P.S.A., </w:t>
      </w:r>
      <w:r w:rsidR="000932BA">
        <w:rPr>
          <w:rFonts w:ascii="Times New Roman" w:hAnsi="Times New Roman" w:cs="Times New Roman"/>
          <w:i/>
          <w:color w:val="000000" w:themeColor="text1"/>
          <w:sz w:val="20"/>
          <w:szCs w:val="20"/>
        </w:rPr>
        <w:t>Q</w:t>
      </w:r>
      <w:r w:rsidRPr="00454D8F">
        <w:rPr>
          <w:rFonts w:ascii="Times New Roman" w:hAnsi="Times New Roman" w:cs="Times New Roman"/>
          <w:i/>
          <w:color w:val="000000" w:themeColor="text1"/>
          <w:sz w:val="20"/>
          <w:szCs w:val="20"/>
        </w:rPr>
        <w:t>uickStat.</w:t>
      </w:r>
      <w:r w:rsidRPr="00454D8F">
        <w:rPr>
          <w:rFonts w:ascii="Times New Roman" w:hAnsi="Times New Roman" w:cs="Times New Roman"/>
          <w:color w:val="000000" w:themeColor="text1"/>
          <w:sz w:val="20"/>
          <w:szCs w:val="20"/>
        </w:rPr>
        <w:t xml:space="preserve"> Health, 2020. 1227(1229): p. 1232.</w:t>
      </w:r>
    </w:p>
    <w:p w14:paraId="5DA37719"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[2]</w:t>
      </w:r>
      <w:r w:rsidRPr="00454D8F">
        <w:rPr>
          <w:rFonts w:ascii="Times New Roman" w:hAnsi="Times New Roman" w:cs="Times New Roman"/>
          <w:color w:val="000000" w:themeColor="text1"/>
          <w:sz w:val="20"/>
          <w:szCs w:val="20"/>
        </w:rPr>
        <w:tab/>
        <w:t xml:space="preserve">UNCommittee, P., </w:t>
      </w:r>
      <w:r w:rsidRPr="00454D8F">
        <w:rPr>
          <w:rFonts w:ascii="Times New Roman" w:hAnsi="Times New Roman" w:cs="Times New Roman"/>
          <w:i/>
          <w:color w:val="000000" w:themeColor="text1"/>
          <w:sz w:val="20"/>
          <w:szCs w:val="20"/>
        </w:rPr>
        <w:t>Agenda 21, Rio Declaration, Forest Principles</w:t>
      </w:r>
      <w:r w:rsidRPr="00454D8F">
        <w:rPr>
          <w:rFonts w:ascii="Times New Roman" w:hAnsi="Times New Roman" w:cs="Times New Roman"/>
          <w:color w:val="000000" w:themeColor="text1"/>
          <w:sz w:val="20"/>
          <w:szCs w:val="20"/>
        </w:rPr>
        <w:t>. 1992: New York: United Nations.</w:t>
      </w:r>
    </w:p>
    <w:p w14:paraId="631CF3C4"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[3]</w:t>
      </w:r>
      <w:r w:rsidRPr="00454D8F">
        <w:rPr>
          <w:rFonts w:ascii="Times New Roman" w:hAnsi="Times New Roman" w:cs="Times New Roman"/>
          <w:color w:val="000000" w:themeColor="text1"/>
          <w:sz w:val="20"/>
          <w:szCs w:val="20"/>
        </w:rPr>
        <w:tab/>
        <w:t xml:space="preserve">PSA, P.S.A., </w:t>
      </w:r>
      <w:r w:rsidRPr="00454D8F">
        <w:rPr>
          <w:rFonts w:ascii="Times New Roman" w:hAnsi="Times New Roman" w:cs="Times New Roman"/>
          <w:i/>
          <w:color w:val="000000" w:themeColor="text1"/>
          <w:sz w:val="20"/>
          <w:szCs w:val="20"/>
        </w:rPr>
        <w:t>Construction Statistics from Approved Building Permits.</w:t>
      </w:r>
      <w:r w:rsidRPr="00454D8F">
        <w:rPr>
          <w:rFonts w:ascii="Times New Roman" w:hAnsi="Times New Roman" w:cs="Times New Roman"/>
          <w:color w:val="000000" w:themeColor="text1"/>
          <w:sz w:val="20"/>
          <w:szCs w:val="20"/>
        </w:rPr>
        <w:t xml:space="preserve"> 2022.</w:t>
      </w:r>
    </w:p>
    <w:p w14:paraId="68C07F71"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[4]</w:t>
      </w:r>
      <w:r w:rsidRPr="00454D8F">
        <w:rPr>
          <w:rFonts w:ascii="Times New Roman" w:hAnsi="Times New Roman" w:cs="Times New Roman"/>
          <w:color w:val="000000" w:themeColor="text1"/>
          <w:sz w:val="20"/>
          <w:szCs w:val="20"/>
        </w:rPr>
        <w:tab/>
        <w:t xml:space="preserve">Palcis, R., Jr., </w:t>
      </w:r>
      <w:r w:rsidRPr="00454D8F">
        <w:rPr>
          <w:rFonts w:ascii="Times New Roman" w:hAnsi="Times New Roman" w:cs="Times New Roman"/>
          <w:i/>
          <w:color w:val="000000" w:themeColor="text1"/>
          <w:sz w:val="20"/>
          <w:szCs w:val="20"/>
        </w:rPr>
        <w:t>The Impact of COVID-19 on the Construction Industry in the Philippines: Examining the Effects on Supply Chains, Worker Safety, and Project Timelines</w:t>
      </w:r>
      <w:r w:rsidRPr="00454D8F">
        <w:rPr>
          <w:rFonts w:ascii="Times New Roman" w:hAnsi="Times New Roman" w:cs="Times New Roman"/>
          <w:color w:val="000000" w:themeColor="text1"/>
          <w:sz w:val="20"/>
          <w:szCs w:val="20"/>
        </w:rPr>
        <w:t>. 2023.</w:t>
      </w:r>
    </w:p>
    <w:p w14:paraId="3BE5F8B4"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[5]</w:t>
      </w:r>
      <w:r w:rsidRPr="00454D8F">
        <w:rPr>
          <w:rFonts w:ascii="Times New Roman" w:hAnsi="Times New Roman" w:cs="Times New Roman"/>
          <w:color w:val="000000" w:themeColor="text1"/>
          <w:sz w:val="20"/>
          <w:szCs w:val="20"/>
        </w:rPr>
        <w:tab/>
        <w:t xml:space="preserve">GBIG, G.B.I.G., </w:t>
      </w:r>
      <w:r w:rsidRPr="00454D8F">
        <w:rPr>
          <w:rFonts w:ascii="Times New Roman" w:hAnsi="Times New Roman" w:cs="Times New Roman"/>
          <w:i/>
          <w:color w:val="000000" w:themeColor="text1"/>
          <w:sz w:val="20"/>
          <w:szCs w:val="20"/>
        </w:rPr>
        <w:t>Limketkai Luxe Hotel / De Oro Construction Supply Building.</w:t>
      </w:r>
      <w:r w:rsidRPr="00454D8F">
        <w:rPr>
          <w:rFonts w:ascii="Times New Roman" w:hAnsi="Times New Roman" w:cs="Times New Roman"/>
          <w:color w:val="000000" w:themeColor="text1"/>
          <w:sz w:val="20"/>
          <w:szCs w:val="20"/>
        </w:rPr>
        <w:t xml:space="preserve"> Green Building Information Gateway, 2012.</w:t>
      </w:r>
    </w:p>
    <w:p w14:paraId="0082E564"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[6]</w:t>
      </w:r>
      <w:r w:rsidRPr="00454D8F">
        <w:rPr>
          <w:rFonts w:ascii="Times New Roman" w:hAnsi="Times New Roman" w:cs="Times New Roman"/>
          <w:color w:val="000000" w:themeColor="text1"/>
          <w:sz w:val="20"/>
          <w:szCs w:val="20"/>
        </w:rPr>
        <w:tab/>
        <w:t xml:space="preserve">Zhang, X., </w:t>
      </w:r>
      <w:r w:rsidRPr="00454D8F">
        <w:rPr>
          <w:rFonts w:ascii="Times New Roman" w:hAnsi="Times New Roman" w:cs="Times New Roman"/>
          <w:i/>
          <w:color w:val="000000" w:themeColor="text1"/>
          <w:sz w:val="20"/>
          <w:szCs w:val="20"/>
        </w:rPr>
        <w:t>Green real estate development in China: State of art and prospect agenda—A review.</w:t>
      </w:r>
      <w:r w:rsidRPr="00454D8F">
        <w:rPr>
          <w:rFonts w:ascii="Times New Roman" w:hAnsi="Times New Roman" w:cs="Times New Roman"/>
          <w:color w:val="000000" w:themeColor="text1"/>
          <w:sz w:val="20"/>
          <w:szCs w:val="20"/>
        </w:rPr>
        <w:t xml:space="preserve"> Renewable and Sustainable Energy Reviews, 2015. 47: p. 1-13.</w:t>
      </w:r>
    </w:p>
    <w:p w14:paraId="38A6D232"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[7]</w:t>
      </w:r>
      <w:r w:rsidRPr="00454D8F">
        <w:rPr>
          <w:rFonts w:ascii="Times New Roman" w:hAnsi="Times New Roman" w:cs="Times New Roman"/>
          <w:color w:val="000000" w:themeColor="text1"/>
          <w:sz w:val="20"/>
          <w:szCs w:val="20"/>
        </w:rPr>
        <w:tab/>
        <w:t xml:space="preserve">WorldGBC, </w:t>
      </w:r>
      <w:r w:rsidRPr="00454D8F">
        <w:rPr>
          <w:rFonts w:ascii="Times New Roman" w:hAnsi="Times New Roman" w:cs="Times New Roman"/>
          <w:i/>
          <w:color w:val="000000" w:themeColor="text1"/>
          <w:sz w:val="20"/>
          <w:szCs w:val="20"/>
        </w:rPr>
        <w:t>What is a green building rating tool?</w:t>
      </w:r>
      <w:r w:rsidRPr="00454D8F">
        <w:rPr>
          <w:rFonts w:ascii="Times New Roman" w:hAnsi="Times New Roman" w:cs="Times New Roman"/>
          <w:color w:val="000000" w:themeColor="text1"/>
          <w:sz w:val="20"/>
          <w:szCs w:val="20"/>
        </w:rPr>
        <w:t xml:space="preserve"> 2017. (2017b).</w:t>
      </w:r>
    </w:p>
    <w:p w14:paraId="72DA89BA"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[8]</w:t>
      </w:r>
      <w:r w:rsidRPr="00454D8F">
        <w:rPr>
          <w:rFonts w:ascii="Times New Roman" w:hAnsi="Times New Roman" w:cs="Times New Roman"/>
          <w:color w:val="000000" w:themeColor="text1"/>
          <w:sz w:val="20"/>
          <w:szCs w:val="20"/>
        </w:rPr>
        <w:tab/>
        <w:t xml:space="preserve">PHILGBC, </w:t>
      </w:r>
      <w:r w:rsidRPr="00454D8F">
        <w:rPr>
          <w:rFonts w:ascii="Times New Roman" w:hAnsi="Times New Roman" w:cs="Times New Roman"/>
          <w:i/>
          <w:color w:val="000000" w:themeColor="text1"/>
          <w:sz w:val="20"/>
          <w:szCs w:val="20"/>
        </w:rPr>
        <w:t>BERDE WORKING PAPER SERIES.</w:t>
      </w:r>
      <w:r w:rsidRPr="00454D8F">
        <w:rPr>
          <w:rFonts w:ascii="Times New Roman" w:hAnsi="Times New Roman" w:cs="Times New Roman"/>
          <w:color w:val="000000" w:themeColor="text1"/>
          <w:sz w:val="20"/>
          <w:szCs w:val="20"/>
        </w:rPr>
        <w:t xml:space="preserve"> 2011.</w:t>
      </w:r>
    </w:p>
    <w:p w14:paraId="44E28767"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[9]</w:t>
      </w:r>
      <w:r w:rsidRPr="00454D8F">
        <w:rPr>
          <w:rFonts w:ascii="Times New Roman" w:hAnsi="Times New Roman" w:cs="Times New Roman"/>
          <w:color w:val="000000" w:themeColor="text1"/>
          <w:sz w:val="20"/>
          <w:szCs w:val="20"/>
        </w:rPr>
        <w:tab/>
        <w:t xml:space="preserve">DPWH, D.o.P.W.a.H., </w:t>
      </w:r>
      <w:r w:rsidRPr="00454D8F">
        <w:rPr>
          <w:rFonts w:ascii="Times New Roman" w:hAnsi="Times New Roman" w:cs="Times New Roman"/>
          <w:i/>
          <w:color w:val="000000" w:themeColor="text1"/>
          <w:sz w:val="20"/>
          <w:szCs w:val="20"/>
        </w:rPr>
        <w:t>Philippine Green Building Code User Guide.</w:t>
      </w:r>
      <w:r w:rsidRPr="00454D8F">
        <w:rPr>
          <w:rFonts w:ascii="Times New Roman" w:hAnsi="Times New Roman" w:cs="Times New Roman"/>
          <w:color w:val="000000" w:themeColor="text1"/>
          <w:sz w:val="20"/>
          <w:szCs w:val="20"/>
        </w:rPr>
        <w:t xml:space="preserve"> Philippine Green Building Code User Guide, 2015.</w:t>
      </w:r>
    </w:p>
    <w:p w14:paraId="4171445F"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[10]</w:t>
      </w:r>
      <w:r w:rsidRPr="00454D8F">
        <w:rPr>
          <w:rFonts w:ascii="Times New Roman" w:hAnsi="Times New Roman" w:cs="Times New Roman"/>
          <w:color w:val="000000" w:themeColor="text1"/>
          <w:sz w:val="20"/>
          <w:szCs w:val="20"/>
        </w:rPr>
        <w:tab/>
        <w:t xml:space="preserve">de Jesus, A., </w:t>
      </w:r>
      <w:r w:rsidRPr="00454D8F">
        <w:rPr>
          <w:rFonts w:ascii="Times New Roman" w:hAnsi="Times New Roman" w:cs="Times New Roman"/>
          <w:i/>
          <w:color w:val="000000" w:themeColor="text1"/>
          <w:sz w:val="20"/>
          <w:szCs w:val="20"/>
        </w:rPr>
        <w:t>Philippine Green Building Code</w:t>
      </w:r>
      <w:r w:rsidRPr="00454D8F">
        <w:rPr>
          <w:rFonts w:ascii="Times New Roman" w:hAnsi="Times New Roman" w:cs="Times New Roman"/>
          <w:color w:val="000000" w:themeColor="text1"/>
          <w:sz w:val="20"/>
          <w:szCs w:val="20"/>
        </w:rPr>
        <w:t xml:space="preserve">, in </w:t>
      </w:r>
      <w:r w:rsidRPr="00454D8F">
        <w:rPr>
          <w:rFonts w:ascii="Times New Roman" w:hAnsi="Times New Roman" w:cs="Times New Roman"/>
          <w:i/>
          <w:color w:val="000000" w:themeColor="text1"/>
          <w:sz w:val="20"/>
          <w:szCs w:val="20"/>
        </w:rPr>
        <w:t>Philippine Daily Inquirer</w:t>
      </w:r>
      <w:r w:rsidRPr="00454D8F">
        <w:rPr>
          <w:rFonts w:ascii="Times New Roman" w:hAnsi="Times New Roman" w:cs="Times New Roman"/>
          <w:color w:val="000000" w:themeColor="text1"/>
          <w:sz w:val="20"/>
          <w:szCs w:val="20"/>
        </w:rPr>
        <w:t>. 2015.</w:t>
      </w:r>
    </w:p>
    <w:p w14:paraId="3158D511"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[11]</w:t>
      </w:r>
      <w:r w:rsidRPr="00454D8F">
        <w:rPr>
          <w:rFonts w:ascii="Times New Roman" w:hAnsi="Times New Roman" w:cs="Times New Roman"/>
          <w:color w:val="000000" w:themeColor="text1"/>
          <w:sz w:val="20"/>
          <w:szCs w:val="20"/>
        </w:rPr>
        <w:tab/>
        <w:t xml:space="preserve">GBIG, G.B.I.G., </w:t>
      </w:r>
      <w:r w:rsidRPr="00454D8F">
        <w:rPr>
          <w:rFonts w:ascii="Times New Roman" w:hAnsi="Times New Roman" w:cs="Times New Roman"/>
          <w:i/>
          <w:color w:val="000000" w:themeColor="text1"/>
          <w:sz w:val="20"/>
          <w:szCs w:val="20"/>
        </w:rPr>
        <w:t>Pioneer House CDO.</w:t>
      </w:r>
      <w:r w:rsidRPr="00454D8F">
        <w:rPr>
          <w:rFonts w:ascii="Times New Roman" w:hAnsi="Times New Roman" w:cs="Times New Roman"/>
          <w:color w:val="000000" w:themeColor="text1"/>
          <w:sz w:val="20"/>
          <w:szCs w:val="20"/>
        </w:rPr>
        <w:t xml:space="preserve"> Green Building Information Gateway, 2013.</w:t>
      </w:r>
    </w:p>
    <w:p w14:paraId="37F2BDE0"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[12]</w:t>
      </w:r>
      <w:r w:rsidRPr="00454D8F">
        <w:rPr>
          <w:rFonts w:ascii="Times New Roman" w:hAnsi="Times New Roman" w:cs="Times New Roman"/>
          <w:color w:val="000000" w:themeColor="text1"/>
          <w:sz w:val="20"/>
          <w:szCs w:val="20"/>
        </w:rPr>
        <w:tab/>
        <w:t xml:space="preserve">GBIG, G.B.I.G., </w:t>
      </w:r>
      <w:r w:rsidRPr="00454D8F">
        <w:rPr>
          <w:rFonts w:ascii="Times New Roman" w:hAnsi="Times New Roman" w:cs="Times New Roman"/>
          <w:i/>
          <w:color w:val="000000" w:themeColor="text1"/>
          <w:sz w:val="20"/>
          <w:szCs w:val="20"/>
        </w:rPr>
        <w:t>UnionBank - Davao Cabaguio Branch.</w:t>
      </w:r>
      <w:r w:rsidRPr="00454D8F">
        <w:rPr>
          <w:rFonts w:ascii="Times New Roman" w:hAnsi="Times New Roman" w:cs="Times New Roman"/>
          <w:color w:val="000000" w:themeColor="text1"/>
          <w:sz w:val="20"/>
          <w:szCs w:val="20"/>
        </w:rPr>
        <w:t xml:space="preserve"> Green Building Information Gateway, 2017.</w:t>
      </w:r>
    </w:p>
    <w:p w14:paraId="766B05E6" w14:textId="77777777" w:rsidR="00A35BBE"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[13]</w:t>
      </w:r>
      <w:r w:rsidRPr="00454D8F">
        <w:rPr>
          <w:rFonts w:ascii="Times New Roman" w:hAnsi="Times New Roman" w:cs="Times New Roman"/>
          <w:color w:val="000000" w:themeColor="text1"/>
          <w:sz w:val="20"/>
          <w:szCs w:val="20"/>
        </w:rPr>
        <w:tab/>
        <w:t xml:space="preserve">GBIG, G.B.I.G., </w:t>
      </w:r>
      <w:r w:rsidRPr="00454D8F">
        <w:rPr>
          <w:rFonts w:ascii="Times New Roman" w:hAnsi="Times New Roman" w:cs="Times New Roman"/>
          <w:i/>
          <w:color w:val="000000" w:themeColor="text1"/>
          <w:sz w:val="20"/>
          <w:szCs w:val="20"/>
        </w:rPr>
        <w:t>Felcris Centrale - BERDE for New Construction.</w:t>
      </w:r>
      <w:r w:rsidRPr="00454D8F">
        <w:rPr>
          <w:rFonts w:ascii="Times New Roman" w:hAnsi="Times New Roman" w:cs="Times New Roman"/>
          <w:color w:val="000000" w:themeColor="text1"/>
          <w:sz w:val="20"/>
          <w:szCs w:val="20"/>
        </w:rPr>
        <w:t xml:space="preserve"> Green Building Information Gateway, 2013.</w:t>
      </w:r>
    </w:p>
    <w:p w14:paraId="4F7B6FB5" w14:textId="77777777" w:rsidR="00454D8F" w:rsidRPr="00454D8F" w:rsidRDefault="00A35BBE"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[14]</w:t>
      </w:r>
      <w:r w:rsidRPr="00454D8F">
        <w:rPr>
          <w:rFonts w:ascii="Times New Roman" w:hAnsi="Times New Roman" w:cs="Times New Roman"/>
          <w:color w:val="000000" w:themeColor="text1"/>
          <w:sz w:val="20"/>
          <w:szCs w:val="20"/>
        </w:rPr>
        <w:tab/>
        <w:t xml:space="preserve">EDGE. </w:t>
      </w:r>
      <w:r w:rsidRPr="00454D8F">
        <w:rPr>
          <w:rFonts w:ascii="Times New Roman" w:hAnsi="Times New Roman" w:cs="Times New Roman"/>
          <w:i/>
          <w:color w:val="000000" w:themeColor="text1"/>
          <w:sz w:val="20"/>
          <w:szCs w:val="20"/>
        </w:rPr>
        <w:t>Damosa Diamond Tower</w:t>
      </w:r>
      <w:r w:rsidRPr="00454D8F">
        <w:rPr>
          <w:rFonts w:ascii="Times New Roman" w:hAnsi="Times New Roman" w:cs="Times New Roman"/>
          <w:color w:val="000000" w:themeColor="text1"/>
          <w:sz w:val="20"/>
          <w:szCs w:val="20"/>
        </w:rPr>
        <w:t xml:space="preserve">. 2021  [cited 2023 May 20, 2023]; Available from: </w:t>
      </w:r>
      <w:hyperlink r:id="rId15" w:history="1">
        <w:r w:rsidRPr="00454D8F">
          <w:rPr>
            <w:rStyle w:val="Hyperlink"/>
            <w:rFonts w:ascii="Times New Roman" w:hAnsi="Times New Roman"/>
            <w:color w:val="000000" w:themeColor="text1"/>
            <w:sz w:val="20"/>
            <w:szCs w:val="20"/>
            <w:u w:val="none"/>
          </w:rPr>
          <w:t>https://edgebuildings.com/project-studies/damosa-diamond-tower/</w:t>
        </w:r>
      </w:hyperlink>
      <w:r w:rsidRPr="00454D8F">
        <w:rPr>
          <w:rFonts w:ascii="Times New Roman" w:hAnsi="Times New Roman" w:cs="Times New Roman"/>
          <w:color w:val="000000" w:themeColor="text1"/>
          <w:sz w:val="20"/>
          <w:szCs w:val="20"/>
        </w:rPr>
        <w:t>.</w:t>
      </w:r>
    </w:p>
    <w:p w14:paraId="78AE7BDE" w14:textId="7D4B5EA9" w:rsidR="00454D8F" w:rsidRPr="00454D8F" w:rsidRDefault="00454D8F" w:rsidP="00E0061F">
      <w:pPr>
        <w:pStyle w:val="EndNoteBibliography"/>
        <w:spacing w:after="0" w:line="360" w:lineRule="auto"/>
        <w:ind w:left="426" w:hanging="426"/>
        <w:contextualSpacing/>
        <w:rPr>
          <w:rFonts w:ascii="Times New Roman" w:hAnsi="Times New Roman" w:cs="Times New Roman"/>
          <w:color w:val="000000" w:themeColor="text1"/>
          <w:sz w:val="20"/>
          <w:szCs w:val="20"/>
        </w:rPr>
      </w:pPr>
      <w:r w:rsidRPr="00454D8F">
        <w:rPr>
          <w:rFonts w:ascii="Times New Roman" w:hAnsi="Times New Roman" w:cs="Times New Roman"/>
          <w:color w:val="000000" w:themeColor="text1"/>
          <w:sz w:val="20"/>
          <w:szCs w:val="20"/>
        </w:rPr>
        <w:t>[15]</w:t>
      </w:r>
      <w:r w:rsidRPr="00454D8F">
        <w:rPr>
          <w:rFonts w:ascii="Times New Roman" w:hAnsi="Times New Roman" w:cs="Times New Roman"/>
          <w:color w:val="000000" w:themeColor="text1"/>
          <w:sz w:val="20"/>
          <w:szCs w:val="20"/>
        </w:rPr>
        <w:tab/>
        <w:t xml:space="preserve">Moises Jr, C. (2020). </w:t>
      </w:r>
      <w:r w:rsidRPr="003F0FAB">
        <w:rPr>
          <w:rFonts w:ascii="Times New Roman" w:hAnsi="Times New Roman" w:cs="Times New Roman"/>
          <w:i/>
          <w:iCs/>
          <w:color w:val="000000" w:themeColor="text1"/>
          <w:sz w:val="20"/>
          <w:szCs w:val="20"/>
        </w:rPr>
        <w:t>Online data collection as adaptation in conducting quantitative and qualitative research during the COVID-19 pandemic</w:t>
      </w:r>
      <w:r w:rsidRPr="00454D8F">
        <w:rPr>
          <w:rFonts w:ascii="Times New Roman" w:hAnsi="Times New Roman" w:cs="Times New Roman"/>
          <w:color w:val="000000" w:themeColor="text1"/>
          <w:sz w:val="20"/>
          <w:szCs w:val="20"/>
        </w:rPr>
        <w:t>. European Journal of Education Studies, 7(11).</w:t>
      </w:r>
    </w:p>
    <w:p w14:paraId="5873CA1E" w14:textId="3F540604" w:rsidR="00A35BBE" w:rsidRPr="00A35BBE" w:rsidRDefault="00A35BBE" w:rsidP="00E0061F">
      <w:pPr>
        <w:pStyle w:val="ListParagraph"/>
        <w:spacing w:after="0" w:line="360" w:lineRule="auto"/>
        <w:ind w:left="426" w:hanging="426"/>
        <w:rPr>
          <w:sz w:val="24"/>
          <w:szCs w:val="24"/>
        </w:rPr>
      </w:pPr>
      <w:r w:rsidRPr="00454D8F">
        <w:rPr>
          <w:sz w:val="20"/>
          <w:szCs w:val="20"/>
        </w:rPr>
        <w:fldChar w:fldCharType="end"/>
      </w:r>
    </w:p>
    <w:sectPr w:rsidR="00A35BBE" w:rsidRPr="00A35BBE"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C4ED" w14:textId="77777777" w:rsidR="00A70D63" w:rsidRDefault="00A70D63" w:rsidP="00C556D7">
      <w:pPr>
        <w:spacing w:after="0" w:line="240" w:lineRule="auto"/>
      </w:pPr>
      <w:r>
        <w:separator/>
      </w:r>
    </w:p>
  </w:endnote>
  <w:endnote w:type="continuationSeparator" w:id="0">
    <w:p w14:paraId="61C5328D" w14:textId="77777777" w:rsidR="00A70D63" w:rsidRDefault="00A70D6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6F2BB" w14:textId="77777777" w:rsidR="00A70D63" w:rsidRDefault="00A70D63" w:rsidP="00C556D7">
      <w:pPr>
        <w:spacing w:after="0" w:line="240" w:lineRule="auto"/>
      </w:pPr>
      <w:r>
        <w:separator/>
      </w:r>
    </w:p>
  </w:footnote>
  <w:footnote w:type="continuationSeparator" w:id="0">
    <w:p w14:paraId="5B4AFBD2" w14:textId="77777777" w:rsidR="00A70D63" w:rsidRDefault="00A70D6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3C757DA1"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610881">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5474552E"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15DCD8C2"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A36B1F"/>
    <w:multiLevelType w:val="hybridMultilevel"/>
    <w:tmpl w:val="CB2E29E2"/>
    <w:lvl w:ilvl="0" w:tplc="40902004">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96BAE868">
      <w:numFmt w:val="bullet"/>
      <w:lvlText w:val="•"/>
      <w:lvlJc w:val="left"/>
      <w:pPr>
        <w:ind w:left="1047" w:hanging="360"/>
      </w:pPr>
      <w:rPr>
        <w:rFonts w:hint="default"/>
        <w:lang w:val="en-US" w:eastAsia="en-US" w:bidi="ar-SA"/>
      </w:rPr>
    </w:lvl>
    <w:lvl w:ilvl="2" w:tplc="5C140870">
      <w:numFmt w:val="bullet"/>
      <w:lvlText w:val="•"/>
      <w:lvlJc w:val="left"/>
      <w:pPr>
        <w:ind w:left="1635" w:hanging="360"/>
      </w:pPr>
      <w:rPr>
        <w:rFonts w:hint="default"/>
        <w:lang w:val="en-US" w:eastAsia="en-US" w:bidi="ar-SA"/>
      </w:rPr>
    </w:lvl>
    <w:lvl w:ilvl="3" w:tplc="0CEC2572">
      <w:numFmt w:val="bullet"/>
      <w:lvlText w:val="•"/>
      <w:lvlJc w:val="left"/>
      <w:pPr>
        <w:ind w:left="2223" w:hanging="360"/>
      </w:pPr>
      <w:rPr>
        <w:rFonts w:hint="default"/>
        <w:lang w:val="en-US" w:eastAsia="en-US" w:bidi="ar-SA"/>
      </w:rPr>
    </w:lvl>
    <w:lvl w:ilvl="4" w:tplc="DEEE1152">
      <w:numFmt w:val="bullet"/>
      <w:lvlText w:val="•"/>
      <w:lvlJc w:val="left"/>
      <w:pPr>
        <w:ind w:left="2811" w:hanging="360"/>
      </w:pPr>
      <w:rPr>
        <w:rFonts w:hint="default"/>
        <w:lang w:val="en-US" w:eastAsia="en-US" w:bidi="ar-SA"/>
      </w:rPr>
    </w:lvl>
    <w:lvl w:ilvl="5" w:tplc="EEA2516A">
      <w:numFmt w:val="bullet"/>
      <w:lvlText w:val="•"/>
      <w:lvlJc w:val="left"/>
      <w:pPr>
        <w:ind w:left="3399" w:hanging="360"/>
      </w:pPr>
      <w:rPr>
        <w:rFonts w:hint="default"/>
        <w:lang w:val="en-US" w:eastAsia="en-US" w:bidi="ar-SA"/>
      </w:rPr>
    </w:lvl>
    <w:lvl w:ilvl="6" w:tplc="E48672B2">
      <w:numFmt w:val="bullet"/>
      <w:lvlText w:val="•"/>
      <w:lvlJc w:val="left"/>
      <w:pPr>
        <w:ind w:left="3986" w:hanging="360"/>
      </w:pPr>
      <w:rPr>
        <w:rFonts w:hint="default"/>
        <w:lang w:val="en-US" w:eastAsia="en-US" w:bidi="ar-SA"/>
      </w:rPr>
    </w:lvl>
    <w:lvl w:ilvl="7" w:tplc="A1C45828">
      <w:numFmt w:val="bullet"/>
      <w:lvlText w:val="•"/>
      <w:lvlJc w:val="left"/>
      <w:pPr>
        <w:ind w:left="4574" w:hanging="360"/>
      </w:pPr>
      <w:rPr>
        <w:rFonts w:hint="default"/>
        <w:lang w:val="en-US" w:eastAsia="en-US" w:bidi="ar-SA"/>
      </w:rPr>
    </w:lvl>
    <w:lvl w:ilvl="8" w:tplc="89A4DD08">
      <w:numFmt w:val="bullet"/>
      <w:lvlText w:val="•"/>
      <w:lvlJc w:val="left"/>
      <w:pPr>
        <w:ind w:left="5162" w:hanging="360"/>
      </w:pPr>
      <w:rPr>
        <w:rFonts w:hint="default"/>
        <w:lang w:val="en-US" w:eastAsia="en-US" w:bidi="ar-SA"/>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1B2C79"/>
    <w:multiLevelType w:val="hybridMultilevel"/>
    <w:tmpl w:val="B1684E22"/>
    <w:lvl w:ilvl="0" w:tplc="D94CEE6E">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B68CABDE">
      <w:numFmt w:val="bullet"/>
      <w:lvlText w:val="•"/>
      <w:lvlJc w:val="left"/>
      <w:pPr>
        <w:ind w:left="1047" w:hanging="360"/>
      </w:pPr>
      <w:rPr>
        <w:rFonts w:hint="default"/>
        <w:lang w:val="en-US" w:eastAsia="en-US" w:bidi="ar-SA"/>
      </w:rPr>
    </w:lvl>
    <w:lvl w:ilvl="2" w:tplc="FF0C2F60">
      <w:numFmt w:val="bullet"/>
      <w:lvlText w:val="•"/>
      <w:lvlJc w:val="left"/>
      <w:pPr>
        <w:ind w:left="1635" w:hanging="360"/>
      </w:pPr>
      <w:rPr>
        <w:rFonts w:hint="default"/>
        <w:lang w:val="en-US" w:eastAsia="en-US" w:bidi="ar-SA"/>
      </w:rPr>
    </w:lvl>
    <w:lvl w:ilvl="3" w:tplc="EF7C2C02">
      <w:numFmt w:val="bullet"/>
      <w:lvlText w:val="•"/>
      <w:lvlJc w:val="left"/>
      <w:pPr>
        <w:ind w:left="2223" w:hanging="360"/>
      </w:pPr>
      <w:rPr>
        <w:rFonts w:hint="default"/>
        <w:lang w:val="en-US" w:eastAsia="en-US" w:bidi="ar-SA"/>
      </w:rPr>
    </w:lvl>
    <w:lvl w:ilvl="4" w:tplc="99608F38">
      <w:numFmt w:val="bullet"/>
      <w:lvlText w:val="•"/>
      <w:lvlJc w:val="left"/>
      <w:pPr>
        <w:ind w:left="2811" w:hanging="360"/>
      </w:pPr>
      <w:rPr>
        <w:rFonts w:hint="default"/>
        <w:lang w:val="en-US" w:eastAsia="en-US" w:bidi="ar-SA"/>
      </w:rPr>
    </w:lvl>
    <w:lvl w:ilvl="5" w:tplc="0000453A">
      <w:numFmt w:val="bullet"/>
      <w:lvlText w:val="•"/>
      <w:lvlJc w:val="left"/>
      <w:pPr>
        <w:ind w:left="3399" w:hanging="360"/>
      </w:pPr>
      <w:rPr>
        <w:rFonts w:hint="default"/>
        <w:lang w:val="en-US" w:eastAsia="en-US" w:bidi="ar-SA"/>
      </w:rPr>
    </w:lvl>
    <w:lvl w:ilvl="6" w:tplc="31F4ECCE">
      <w:numFmt w:val="bullet"/>
      <w:lvlText w:val="•"/>
      <w:lvlJc w:val="left"/>
      <w:pPr>
        <w:ind w:left="3986" w:hanging="360"/>
      </w:pPr>
      <w:rPr>
        <w:rFonts w:hint="default"/>
        <w:lang w:val="en-US" w:eastAsia="en-US" w:bidi="ar-SA"/>
      </w:rPr>
    </w:lvl>
    <w:lvl w:ilvl="7" w:tplc="537E61BA">
      <w:numFmt w:val="bullet"/>
      <w:lvlText w:val="•"/>
      <w:lvlJc w:val="left"/>
      <w:pPr>
        <w:ind w:left="4574" w:hanging="360"/>
      </w:pPr>
      <w:rPr>
        <w:rFonts w:hint="default"/>
        <w:lang w:val="en-US" w:eastAsia="en-US" w:bidi="ar-SA"/>
      </w:rPr>
    </w:lvl>
    <w:lvl w:ilvl="8" w:tplc="9D30BEE4">
      <w:numFmt w:val="bullet"/>
      <w:lvlText w:val="•"/>
      <w:lvlJc w:val="left"/>
      <w:pPr>
        <w:ind w:left="5162" w:hanging="360"/>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5F5FA0"/>
    <w:multiLevelType w:val="hybridMultilevel"/>
    <w:tmpl w:val="7122ADCE"/>
    <w:lvl w:ilvl="0" w:tplc="5BCC3156">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34282E26">
      <w:numFmt w:val="bullet"/>
      <w:lvlText w:val="•"/>
      <w:lvlJc w:val="left"/>
      <w:pPr>
        <w:ind w:left="1047" w:hanging="360"/>
      </w:pPr>
      <w:rPr>
        <w:rFonts w:hint="default"/>
        <w:lang w:val="en-US" w:eastAsia="en-US" w:bidi="ar-SA"/>
      </w:rPr>
    </w:lvl>
    <w:lvl w:ilvl="2" w:tplc="B806381C">
      <w:numFmt w:val="bullet"/>
      <w:lvlText w:val="•"/>
      <w:lvlJc w:val="left"/>
      <w:pPr>
        <w:ind w:left="1635" w:hanging="360"/>
      </w:pPr>
      <w:rPr>
        <w:rFonts w:hint="default"/>
        <w:lang w:val="en-US" w:eastAsia="en-US" w:bidi="ar-SA"/>
      </w:rPr>
    </w:lvl>
    <w:lvl w:ilvl="3" w:tplc="09E4E850">
      <w:numFmt w:val="bullet"/>
      <w:lvlText w:val="•"/>
      <w:lvlJc w:val="left"/>
      <w:pPr>
        <w:ind w:left="2223" w:hanging="360"/>
      </w:pPr>
      <w:rPr>
        <w:rFonts w:hint="default"/>
        <w:lang w:val="en-US" w:eastAsia="en-US" w:bidi="ar-SA"/>
      </w:rPr>
    </w:lvl>
    <w:lvl w:ilvl="4" w:tplc="FCDAECE2">
      <w:numFmt w:val="bullet"/>
      <w:lvlText w:val="•"/>
      <w:lvlJc w:val="left"/>
      <w:pPr>
        <w:ind w:left="2811" w:hanging="360"/>
      </w:pPr>
      <w:rPr>
        <w:rFonts w:hint="default"/>
        <w:lang w:val="en-US" w:eastAsia="en-US" w:bidi="ar-SA"/>
      </w:rPr>
    </w:lvl>
    <w:lvl w:ilvl="5" w:tplc="4A98360A">
      <w:numFmt w:val="bullet"/>
      <w:lvlText w:val="•"/>
      <w:lvlJc w:val="left"/>
      <w:pPr>
        <w:ind w:left="3399" w:hanging="360"/>
      </w:pPr>
      <w:rPr>
        <w:rFonts w:hint="default"/>
        <w:lang w:val="en-US" w:eastAsia="en-US" w:bidi="ar-SA"/>
      </w:rPr>
    </w:lvl>
    <w:lvl w:ilvl="6" w:tplc="64965F8E">
      <w:numFmt w:val="bullet"/>
      <w:lvlText w:val="•"/>
      <w:lvlJc w:val="left"/>
      <w:pPr>
        <w:ind w:left="3986" w:hanging="360"/>
      </w:pPr>
      <w:rPr>
        <w:rFonts w:hint="default"/>
        <w:lang w:val="en-US" w:eastAsia="en-US" w:bidi="ar-SA"/>
      </w:rPr>
    </w:lvl>
    <w:lvl w:ilvl="7" w:tplc="37E6EA6C">
      <w:numFmt w:val="bullet"/>
      <w:lvlText w:val="•"/>
      <w:lvlJc w:val="left"/>
      <w:pPr>
        <w:ind w:left="4574" w:hanging="360"/>
      </w:pPr>
      <w:rPr>
        <w:rFonts w:hint="default"/>
        <w:lang w:val="en-US" w:eastAsia="en-US" w:bidi="ar-SA"/>
      </w:rPr>
    </w:lvl>
    <w:lvl w:ilvl="8" w:tplc="D2B067C4">
      <w:numFmt w:val="bullet"/>
      <w:lvlText w:val="•"/>
      <w:lvlJc w:val="left"/>
      <w:pPr>
        <w:ind w:left="5162" w:hanging="360"/>
      </w:pPr>
      <w:rPr>
        <w:rFonts w:hint="default"/>
        <w:lang w:val="en-US" w:eastAsia="en-US" w:bidi="ar-SA"/>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6244F6"/>
    <w:multiLevelType w:val="hybridMultilevel"/>
    <w:tmpl w:val="A40AB168"/>
    <w:lvl w:ilvl="0" w:tplc="507CFA26">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3716BA44">
      <w:numFmt w:val="bullet"/>
      <w:lvlText w:val="•"/>
      <w:lvlJc w:val="left"/>
      <w:pPr>
        <w:ind w:left="1047" w:hanging="360"/>
      </w:pPr>
      <w:rPr>
        <w:rFonts w:hint="default"/>
        <w:lang w:val="en-US" w:eastAsia="en-US" w:bidi="ar-SA"/>
      </w:rPr>
    </w:lvl>
    <w:lvl w:ilvl="2" w:tplc="44A8595A">
      <w:numFmt w:val="bullet"/>
      <w:lvlText w:val="•"/>
      <w:lvlJc w:val="left"/>
      <w:pPr>
        <w:ind w:left="1635" w:hanging="360"/>
      </w:pPr>
      <w:rPr>
        <w:rFonts w:hint="default"/>
        <w:lang w:val="en-US" w:eastAsia="en-US" w:bidi="ar-SA"/>
      </w:rPr>
    </w:lvl>
    <w:lvl w:ilvl="3" w:tplc="32BCA810">
      <w:numFmt w:val="bullet"/>
      <w:lvlText w:val="•"/>
      <w:lvlJc w:val="left"/>
      <w:pPr>
        <w:ind w:left="2223" w:hanging="360"/>
      </w:pPr>
      <w:rPr>
        <w:rFonts w:hint="default"/>
        <w:lang w:val="en-US" w:eastAsia="en-US" w:bidi="ar-SA"/>
      </w:rPr>
    </w:lvl>
    <w:lvl w:ilvl="4" w:tplc="E0EA1980">
      <w:numFmt w:val="bullet"/>
      <w:lvlText w:val="•"/>
      <w:lvlJc w:val="left"/>
      <w:pPr>
        <w:ind w:left="2811" w:hanging="360"/>
      </w:pPr>
      <w:rPr>
        <w:rFonts w:hint="default"/>
        <w:lang w:val="en-US" w:eastAsia="en-US" w:bidi="ar-SA"/>
      </w:rPr>
    </w:lvl>
    <w:lvl w:ilvl="5" w:tplc="CD7480BC">
      <w:numFmt w:val="bullet"/>
      <w:lvlText w:val="•"/>
      <w:lvlJc w:val="left"/>
      <w:pPr>
        <w:ind w:left="3399" w:hanging="360"/>
      </w:pPr>
      <w:rPr>
        <w:rFonts w:hint="default"/>
        <w:lang w:val="en-US" w:eastAsia="en-US" w:bidi="ar-SA"/>
      </w:rPr>
    </w:lvl>
    <w:lvl w:ilvl="6" w:tplc="4210C848">
      <w:numFmt w:val="bullet"/>
      <w:lvlText w:val="•"/>
      <w:lvlJc w:val="left"/>
      <w:pPr>
        <w:ind w:left="3986" w:hanging="360"/>
      </w:pPr>
      <w:rPr>
        <w:rFonts w:hint="default"/>
        <w:lang w:val="en-US" w:eastAsia="en-US" w:bidi="ar-SA"/>
      </w:rPr>
    </w:lvl>
    <w:lvl w:ilvl="7" w:tplc="2826B292">
      <w:numFmt w:val="bullet"/>
      <w:lvlText w:val="•"/>
      <w:lvlJc w:val="left"/>
      <w:pPr>
        <w:ind w:left="4574" w:hanging="360"/>
      </w:pPr>
      <w:rPr>
        <w:rFonts w:hint="default"/>
        <w:lang w:val="en-US" w:eastAsia="en-US" w:bidi="ar-SA"/>
      </w:rPr>
    </w:lvl>
    <w:lvl w:ilvl="8" w:tplc="26643D32">
      <w:numFmt w:val="bullet"/>
      <w:lvlText w:val="•"/>
      <w:lvlJc w:val="left"/>
      <w:pPr>
        <w:ind w:left="5162" w:hanging="360"/>
      </w:pPr>
      <w:rPr>
        <w:rFonts w:hint="default"/>
        <w:lang w:val="en-US" w:eastAsia="en-US" w:bidi="ar-SA"/>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9B2A11E6"/>
    <w:lvl w:ilvl="0" w:tplc="EB90AE3E">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F6019E"/>
    <w:multiLevelType w:val="hybridMultilevel"/>
    <w:tmpl w:val="6DE2DDFA"/>
    <w:lvl w:ilvl="0" w:tplc="34090015">
      <w:start w:val="1"/>
      <w:numFmt w:val="upperLetter"/>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FA0707"/>
    <w:multiLevelType w:val="hybridMultilevel"/>
    <w:tmpl w:val="A6489DE4"/>
    <w:lvl w:ilvl="0" w:tplc="E304A220">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1D0CCECE">
      <w:numFmt w:val="bullet"/>
      <w:lvlText w:val="•"/>
      <w:lvlJc w:val="left"/>
      <w:pPr>
        <w:ind w:left="1047" w:hanging="360"/>
      </w:pPr>
      <w:rPr>
        <w:rFonts w:hint="default"/>
        <w:lang w:val="en-US" w:eastAsia="en-US" w:bidi="ar-SA"/>
      </w:rPr>
    </w:lvl>
    <w:lvl w:ilvl="2" w:tplc="3B92A08E">
      <w:numFmt w:val="bullet"/>
      <w:lvlText w:val="•"/>
      <w:lvlJc w:val="left"/>
      <w:pPr>
        <w:ind w:left="1635" w:hanging="360"/>
      </w:pPr>
      <w:rPr>
        <w:rFonts w:hint="default"/>
        <w:lang w:val="en-US" w:eastAsia="en-US" w:bidi="ar-SA"/>
      </w:rPr>
    </w:lvl>
    <w:lvl w:ilvl="3" w:tplc="D8D4C4FC">
      <w:numFmt w:val="bullet"/>
      <w:lvlText w:val="•"/>
      <w:lvlJc w:val="left"/>
      <w:pPr>
        <w:ind w:left="2223" w:hanging="360"/>
      </w:pPr>
      <w:rPr>
        <w:rFonts w:hint="default"/>
        <w:lang w:val="en-US" w:eastAsia="en-US" w:bidi="ar-SA"/>
      </w:rPr>
    </w:lvl>
    <w:lvl w:ilvl="4" w:tplc="9FB0C9A8">
      <w:numFmt w:val="bullet"/>
      <w:lvlText w:val="•"/>
      <w:lvlJc w:val="left"/>
      <w:pPr>
        <w:ind w:left="2811" w:hanging="360"/>
      </w:pPr>
      <w:rPr>
        <w:rFonts w:hint="default"/>
        <w:lang w:val="en-US" w:eastAsia="en-US" w:bidi="ar-SA"/>
      </w:rPr>
    </w:lvl>
    <w:lvl w:ilvl="5" w:tplc="EC865658">
      <w:numFmt w:val="bullet"/>
      <w:lvlText w:val="•"/>
      <w:lvlJc w:val="left"/>
      <w:pPr>
        <w:ind w:left="3399" w:hanging="360"/>
      </w:pPr>
      <w:rPr>
        <w:rFonts w:hint="default"/>
        <w:lang w:val="en-US" w:eastAsia="en-US" w:bidi="ar-SA"/>
      </w:rPr>
    </w:lvl>
    <w:lvl w:ilvl="6" w:tplc="E5C41100">
      <w:numFmt w:val="bullet"/>
      <w:lvlText w:val="•"/>
      <w:lvlJc w:val="left"/>
      <w:pPr>
        <w:ind w:left="3986" w:hanging="360"/>
      </w:pPr>
      <w:rPr>
        <w:rFonts w:hint="default"/>
        <w:lang w:val="en-US" w:eastAsia="en-US" w:bidi="ar-SA"/>
      </w:rPr>
    </w:lvl>
    <w:lvl w:ilvl="7" w:tplc="8C5E53E4">
      <w:numFmt w:val="bullet"/>
      <w:lvlText w:val="•"/>
      <w:lvlJc w:val="left"/>
      <w:pPr>
        <w:ind w:left="4574" w:hanging="360"/>
      </w:pPr>
      <w:rPr>
        <w:rFonts w:hint="default"/>
        <w:lang w:val="en-US" w:eastAsia="en-US" w:bidi="ar-SA"/>
      </w:rPr>
    </w:lvl>
    <w:lvl w:ilvl="8" w:tplc="CECCFCDA">
      <w:numFmt w:val="bullet"/>
      <w:lvlText w:val="•"/>
      <w:lvlJc w:val="left"/>
      <w:pPr>
        <w:ind w:left="5162" w:hanging="360"/>
      </w:pPr>
      <w:rPr>
        <w:rFonts w:hint="default"/>
        <w:lang w:val="en-US" w:eastAsia="en-US" w:bidi="ar-SA"/>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045B29"/>
    <w:multiLevelType w:val="hybridMultilevel"/>
    <w:tmpl w:val="FB5EFA6C"/>
    <w:lvl w:ilvl="0" w:tplc="BB228BD6">
      <w:numFmt w:val="bullet"/>
      <w:lvlText w:val=""/>
      <w:lvlJc w:val="left"/>
      <w:pPr>
        <w:ind w:left="460" w:hanging="360"/>
      </w:pPr>
      <w:rPr>
        <w:rFonts w:ascii="Symbol" w:eastAsia="Symbol" w:hAnsi="Symbol" w:cs="Symbol" w:hint="default"/>
        <w:b w:val="0"/>
        <w:bCs w:val="0"/>
        <w:i w:val="0"/>
        <w:iCs w:val="0"/>
        <w:w w:val="101"/>
        <w:sz w:val="18"/>
        <w:szCs w:val="18"/>
        <w:lang w:val="en-US" w:eastAsia="en-US" w:bidi="ar-SA"/>
      </w:rPr>
    </w:lvl>
    <w:lvl w:ilvl="1" w:tplc="2B40B4B2">
      <w:numFmt w:val="bullet"/>
      <w:lvlText w:val="•"/>
      <w:lvlJc w:val="left"/>
      <w:pPr>
        <w:ind w:left="1047" w:hanging="360"/>
      </w:pPr>
      <w:rPr>
        <w:rFonts w:hint="default"/>
        <w:lang w:val="en-US" w:eastAsia="en-US" w:bidi="ar-SA"/>
      </w:rPr>
    </w:lvl>
    <w:lvl w:ilvl="2" w:tplc="C2EEC25C">
      <w:numFmt w:val="bullet"/>
      <w:lvlText w:val="•"/>
      <w:lvlJc w:val="left"/>
      <w:pPr>
        <w:ind w:left="1635" w:hanging="360"/>
      </w:pPr>
      <w:rPr>
        <w:rFonts w:hint="default"/>
        <w:lang w:val="en-US" w:eastAsia="en-US" w:bidi="ar-SA"/>
      </w:rPr>
    </w:lvl>
    <w:lvl w:ilvl="3" w:tplc="BF46874C">
      <w:numFmt w:val="bullet"/>
      <w:lvlText w:val="•"/>
      <w:lvlJc w:val="left"/>
      <w:pPr>
        <w:ind w:left="2223" w:hanging="360"/>
      </w:pPr>
      <w:rPr>
        <w:rFonts w:hint="default"/>
        <w:lang w:val="en-US" w:eastAsia="en-US" w:bidi="ar-SA"/>
      </w:rPr>
    </w:lvl>
    <w:lvl w:ilvl="4" w:tplc="F2902EC8">
      <w:numFmt w:val="bullet"/>
      <w:lvlText w:val="•"/>
      <w:lvlJc w:val="left"/>
      <w:pPr>
        <w:ind w:left="2811" w:hanging="360"/>
      </w:pPr>
      <w:rPr>
        <w:rFonts w:hint="default"/>
        <w:lang w:val="en-US" w:eastAsia="en-US" w:bidi="ar-SA"/>
      </w:rPr>
    </w:lvl>
    <w:lvl w:ilvl="5" w:tplc="19D44256">
      <w:numFmt w:val="bullet"/>
      <w:lvlText w:val="•"/>
      <w:lvlJc w:val="left"/>
      <w:pPr>
        <w:ind w:left="3399" w:hanging="360"/>
      </w:pPr>
      <w:rPr>
        <w:rFonts w:hint="default"/>
        <w:lang w:val="en-US" w:eastAsia="en-US" w:bidi="ar-SA"/>
      </w:rPr>
    </w:lvl>
    <w:lvl w:ilvl="6" w:tplc="507AE7C4">
      <w:numFmt w:val="bullet"/>
      <w:lvlText w:val="•"/>
      <w:lvlJc w:val="left"/>
      <w:pPr>
        <w:ind w:left="3986" w:hanging="360"/>
      </w:pPr>
      <w:rPr>
        <w:rFonts w:hint="default"/>
        <w:lang w:val="en-US" w:eastAsia="en-US" w:bidi="ar-SA"/>
      </w:rPr>
    </w:lvl>
    <w:lvl w:ilvl="7" w:tplc="EEBE7374">
      <w:numFmt w:val="bullet"/>
      <w:lvlText w:val="•"/>
      <w:lvlJc w:val="left"/>
      <w:pPr>
        <w:ind w:left="4574" w:hanging="360"/>
      </w:pPr>
      <w:rPr>
        <w:rFonts w:hint="default"/>
        <w:lang w:val="en-US" w:eastAsia="en-US" w:bidi="ar-SA"/>
      </w:rPr>
    </w:lvl>
    <w:lvl w:ilvl="8" w:tplc="938246FE">
      <w:numFmt w:val="bullet"/>
      <w:lvlText w:val="•"/>
      <w:lvlJc w:val="left"/>
      <w:pPr>
        <w:ind w:left="5162" w:hanging="360"/>
      </w:pPr>
      <w:rPr>
        <w:rFonts w:hint="default"/>
        <w:lang w:val="en-US" w:eastAsia="en-US" w:bidi="ar-SA"/>
      </w:rPr>
    </w:lvl>
  </w:abstractNum>
  <w:num w:numId="1">
    <w:abstractNumId w:val="11"/>
  </w:num>
  <w:num w:numId="2">
    <w:abstractNumId w:val="8"/>
  </w:num>
  <w:num w:numId="3">
    <w:abstractNumId w:val="15"/>
  </w:num>
  <w:num w:numId="4">
    <w:abstractNumId w:val="16"/>
  </w:num>
  <w:num w:numId="5">
    <w:abstractNumId w:val="10"/>
  </w:num>
  <w:num w:numId="6">
    <w:abstractNumId w:val="19"/>
  </w:num>
  <w:num w:numId="7">
    <w:abstractNumId w:val="1"/>
  </w:num>
  <w:num w:numId="8">
    <w:abstractNumId w:val="26"/>
  </w:num>
  <w:num w:numId="9">
    <w:abstractNumId w:val="0"/>
  </w:num>
  <w:num w:numId="10">
    <w:abstractNumId w:val="6"/>
  </w:num>
  <w:num w:numId="11">
    <w:abstractNumId w:val="23"/>
  </w:num>
  <w:num w:numId="12">
    <w:abstractNumId w:val="18"/>
  </w:num>
  <w:num w:numId="13">
    <w:abstractNumId w:val="14"/>
  </w:num>
  <w:num w:numId="14">
    <w:abstractNumId w:val="4"/>
  </w:num>
  <w:num w:numId="15">
    <w:abstractNumId w:val="21"/>
  </w:num>
  <w:num w:numId="16">
    <w:abstractNumId w:val="13"/>
  </w:num>
  <w:num w:numId="17">
    <w:abstractNumId w:val="17"/>
  </w:num>
  <w:num w:numId="18">
    <w:abstractNumId w:val="3"/>
  </w:num>
  <w:num w:numId="19">
    <w:abstractNumId w:val="25"/>
  </w:num>
  <w:num w:numId="20">
    <w:abstractNumId w:val="9"/>
  </w:num>
  <w:num w:numId="21">
    <w:abstractNumId w:val="20"/>
  </w:num>
  <w:num w:numId="22">
    <w:abstractNumId w:val="2"/>
  </w:num>
  <w:num w:numId="23">
    <w:abstractNumId w:val="7"/>
  </w:num>
  <w:num w:numId="24">
    <w:abstractNumId w:val="12"/>
  </w:num>
  <w:num w:numId="25">
    <w:abstractNumId w:val="5"/>
  </w:num>
  <w:num w:numId="26">
    <w:abstractNumId w:val="24"/>
  </w:num>
  <w:num w:numId="27">
    <w:abstractNumId w:val="27"/>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wM7Y0NzM3NzI0NTBX0lEKTi0uzszPAykwrgUAhxnc5ywAAAA="/>
  </w:docVars>
  <w:rsids>
    <w:rsidRoot w:val="00B82E3B"/>
    <w:rsid w:val="000001D6"/>
    <w:rsid w:val="00002102"/>
    <w:rsid w:val="000056AE"/>
    <w:rsid w:val="0000775C"/>
    <w:rsid w:val="00041E73"/>
    <w:rsid w:val="00043BF2"/>
    <w:rsid w:val="00062B06"/>
    <w:rsid w:val="000649B0"/>
    <w:rsid w:val="00066A7A"/>
    <w:rsid w:val="000717AD"/>
    <w:rsid w:val="00081E20"/>
    <w:rsid w:val="000846F5"/>
    <w:rsid w:val="00091059"/>
    <w:rsid w:val="000932BA"/>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3210"/>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0FAB"/>
    <w:rsid w:val="003F6F2B"/>
    <w:rsid w:val="004161D7"/>
    <w:rsid w:val="0044570C"/>
    <w:rsid w:val="00446FEA"/>
    <w:rsid w:val="00450069"/>
    <w:rsid w:val="00454D8F"/>
    <w:rsid w:val="004623B5"/>
    <w:rsid w:val="0048549C"/>
    <w:rsid w:val="004960D6"/>
    <w:rsid w:val="00496A8A"/>
    <w:rsid w:val="004A26D4"/>
    <w:rsid w:val="004A52B3"/>
    <w:rsid w:val="004B0E1D"/>
    <w:rsid w:val="004B3291"/>
    <w:rsid w:val="004D5813"/>
    <w:rsid w:val="004D5DC8"/>
    <w:rsid w:val="004D5FF5"/>
    <w:rsid w:val="00505045"/>
    <w:rsid w:val="0051462D"/>
    <w:rsid w:val="005165E7"/>
    <w:rsid w:val="00524B78"/>
    <w:rsid w:val="005256A9"/>
    <w:rsid w:val="00526DDB"/>
    <w:rsid w:val="005338E6"/>
    <w:rsid w:val="00557B92"/>
    <w:rsid w:val="005A48C2"/>
    <w:rsid w:val="005B3887"/>
    <w:rsid w:val="005B73A4"/>
    <w:rsid w:val="005C1D19"/>
    <w:rsid w:val="005D265F"/>
    <w:rsid w:val="005D713C"/>
    <w:rsid w:val="005F717A"/>
    <w:rsid w:val="00610881"/>
    <w:rsid w:val="006110CA"/>
    <w:rsid w:val="00617A82"/>
    <w:rsid w:val="00632466"/>
    <w:rsid w:val="00633CDF"/>
    <w:rsid w:val="00634FF0"/>
    <w:rsid w:val="006413AE"/>
    <w:rsid w:val="00690A1B"/>
    <w:rsid w:val="006918DA"/>
    <w:rsid w:val="006962A4"/>
    <w:rsid w:val="006A5E5C"/>
    <w:rsid w:val="006A6434"/>
    <w:rsid w:val="006B2ED8"/>
    <w:rsid w:val="006C11CA"/>
    <w:rsid w:val="006C74D5"/>
    <w:rsid w:val="006D7E62"/>
    <w:rsid w:val="006F51F4"/>
    <w:rsid w:val="00732B32"/>
    <w:rsid w:val="00743C68"/>
    <w:rsid w:val="00756E86"/>
    <w:rsid w:val="00767719"/>
    <w:rsid w:val="0079243B"/>
    <w:rsid w:val="007B170D"/>
    <w:rsid w:val="007D5C9A"/>
    <w:rsid w:val="007E75BA"/>
    <w:rsid w:val="007E79D6"/>
    <w:rsid w:val="007F4C35"/>
    <w:rsid w:val="007F6CE4"/>
    <w:rsid w:val="00814B7E"/>
    <w:rsid w:val="0083727B"/>
    <w:rsid w:val="00837A71"/>
    <w:rsid w:val="00853BDC"/>
    <w:rsid w:val="00855648"/>
    <w:rsid w:val="00861EE8"/>
    <w:rsid w:val="008741D3"/>
    <w:rsid w:val="00880D03"/>
    <w:rsid w:val="008A72D8"/>
    <w:rsid w:val="008A74F7"/>
    <w:rsid w:val="008B5B88"/>
    <w:rsid w:val="008C7F5F"/>
    <w:rsid w:val="008D1F25"/>
    <w:rsid w:val="008E33FC"/>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35BBE"/>
    <w:rsid w:val="00A4268C"/>
    <w:rsid w:val="00A61FC8"/>
    <w:rsid w:val="00A66F99"/>
    <w:rsid w:val="00A70D63"/>
    <w:rsid w:val="00A71E07"/>
    <w:rsid w:val="00A730E3"/>
    <w:rsid w:val="00A846B7"/>
    <w:rsid w:val="00A921E2"/>
    <w:rsid w:val="00A92471"/>
    <w:rsid w:val="00A95514"/>
    <w:rsid w:val="00AA1805"/>
    <w:rsid w:val="00AB1E91"/>
    <w:rsid w:val="00AC095F"/>
    <w:rsid w:val="00AD11A2"/>
    <w:rsid w:val="00AD52FF"/>
    <w:rsid w:val="00AD55FF"/>
    <w:rsid w:val="00AE3083"/>
    <w:rsid w:val="00B0156E"/>
    <w:rsid w:val="00B07F98"/>
    <w:rsid w:val="00B127F4"/>
    <w:rsid w:val="00B17F4E"/>
    <w:rsid w:val="00B21E66"/>
    <w:rsid w:val="00B60F30"/>
    <w:rsid w:val="00B71A47"/>
    <w:rsid w:val="00B76621"/>
    <w:rsid w:val="00B82E3B"/>
    <w:rsid w:val="00B85FFD"/>
    <w:rsid w:val="00BA6D24"/>
    <w:rsid w:val="00BC087A"/>
    <w:rsid w:val="00BC37A0"/>
    <w:rsid w:val="00BD0DF3"/>
    <w:rsid w:val="00BE5B25"/>
    <w:rsid w:val="00C13545"/>
    <w:rsid w:val="00C20B7A"/>
    <w:rsid w:val="00C35F1D"/>
    <w:rsid w:val="00C378A3"/>
    <w:rsid w:val="00C43197"/>
    <w:rsid w:val="00C556D7"/>
    <w:rsid w:val="00C56420"/>
    <w:rsid w:val="00C5653F"/>
    <w:rsid w:val="00C67CB3"/>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30DA"/>
    <w:rsid w:val="00DD6B36"/>
    <w:rsid w:val="00DD7C7C"/>
    <w:rsid w:val="00DF201E"/>
    <w:rsid w:val="00DF317B"/>
    <w:rsid w:val="00DF6FFA"/>
    <w:rsid w:val="00E0061F"/>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01E5B"/>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ableParagraph">
    <w:name w:val="Table Paragraph"/>
    <w:basedOn w:val="Normal"/>
    <w:uiPriority w:val="1"/>
    <w:qFormat/>
    <w:rsid w:val="00A92471"/>
    <w:pPr>
      <w:widowControl w:val="0"/>
      <w:autoSpaceDE w:val="0"/>
      <w:autoSpaceDN w:val="0"/>
      <w:spacing w:after="0" w:line="186" w:lineRule="exact"/>
      <w:ind w:left="100"/>
    </w:pPr>
    <w:rPr>
      <w:rFonts w:ascii="Times New Roman" w:eastAsia="Times New Roman" w:hAnsi="Times New Roman" w:cs="Times New Roman"/>
    </w:rPr>
  </w:style>
  <w:style w:type="paragraph" w:customStyle="1" w:styleId="EndNoteBibliography">
    <w:name w:val="EndNote Bibliography"/>
    <w:basedOn w:val="Normal"/>
    <w:link w:val="EndNoteBibliographyChar"/>
    <w:rsid w:val="00A35BBE"/>
    <w:pPr>
      <w:spacing w:line="240" w:lineRule="auto"/>
    </w:pPr>
    <w:rPr>
      <w:rFonts w:ascii="Calibri" w:hAnsi="Calibri" w:cs="Calibri"/>
      <w:noProof/>
    </w:rPr>
  </w:style>
  <w:style w:type="character" w:customStyle="1" w:styleId="EndNoteBibliographyChar">
    <w:name w:val="EndNote Bibliography Char"/>
    <w:basedOn w:val="DefaultParagraphFont"/>
    <w:link w:val="EndNoteBibliography"/>
    <w:rsid w:val="00A35BBE"/>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edgebuildings.com/project-studies/damosa-diamond-tower/"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3532</Words>
  <Characters>20139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Brayll Torrefiel</cp:lastModifiedBy>
  <cp:revision>6</cp:revision>
  <cp:lastPrinted>2021-02-22T14:39:00Z</cp:lastPrinted>
  <dcterms:created xsi:type="dcterms:W3CDTF">2023-05-20T16:09:00Z</dcterms:created>
  <dcterms:modified xsi:type="dcterms:W3CDTF">2023-05-21T01:47:00Z</dcterms:modified>
</cp:coreProperties>
</file>