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EDB3" w14:textId="77777777" w:rsidR="001757EB" w:rsidRPr="00E95310" w:rsidRDefault="001757EB" w:rsidP="00E00577">
      <w:pPr>
        <w:pStyle w:val="IEEEAuthorName"/>
        <w:ind w:right="-811"/>
        <w:rPr>
          <w:rFonts w:eastAsia="Calibri"/>
          <w:b/>
          <w:bCs/>
          <w:color w:val="000000"/>
          <w:sz w:val="28"/>
          <w:szCs w:val="28"/>
          <w:shd w:val="clear" w:color="auto" w:fill="FFFFFF"/>
          <w:lang w:val="en-PH" w:eastAsia="en-US"/>
        </w:rPr>
      </w:pPr>
      <w:r w:rsidRPr="00E95310">
        <w:rPr>
          <w:rFonts w:eastAsia="Calibri"/>
          <w:b/>
          <w:bCs/>
          <w:color w:val="000000"/>
          <w:sz w:val="28"/>
          <w:szCs w:val="28"/>
          <w:shd w:val="clear" w:color="auto" w:fill="FFFFFF"/>
          <w:lang w:val="en-PH" w:eastAsia="en-US"/>
        </w:rPr>
        <w:t>Providing Sustainable Water Supply in the Municipality of New Bataan, Davao D</w:t>
      </w:r>
      <w:r>
        <w:rPr>
          <w:rFonts w:eastAsia="Calibri"/>
          <w:b/>
          <w:bCs/>
          <w:color w:val="000000"/>
          <w:sz w:val="28"/>
          <w:szCs w:val="28"/>
          <w:shd w:val="clear" w:color="auto" w:fill="FFFFFF"/>
          <w:lang w:val="en-PH" w:eastAsia="en-US"/>
        </w:rPr>
        <w:t xml:space="preserve">e </w:t>
      </w:r>
      <w:r w:rsidRPr="00E95310">
        <w:rPr>
          <w:rFonts w:eastAsia="Calibri"/>
          <w:b/>
          <w:bCs/>
          <w:color w:val="000000"/>
          <w:sz w:val="28"/>
          <w:szCs w:val="28"/>
          <w:shd w:val="clear" w:color="auto" w:fill="FFFFFF"/>
          <w:lang w:val="en-PH" w:eastAsia="en-US"/>
        </w:rPr>
        <w:t>Oro: The Challenges of Water Governance in a Local Government Unit</w:t>
      </w:r>
    </w:p>
    <w:p w14:paraId="03A4F59A" w14:textId="5B037CA5" w:rsidR="001757EB" w:rsidRPr="00E95310" w:rsidRDefault="001757EB" w:rsidP="00E00577">
      <w:pPr>
        <w:pStyle w:val="IEEEAuthorName"/>
        <w:ind w:right="-811"/>
        <w:rPr>
          <w:b/>
          <w:bCs/>
          <w:sz w:val="24"/>
          <w:vertAlign w:val="superscript"/>
        </w:rPr>
      </w:pPr>
      <w:r w:rsidRPr="00E95310">
        <w:rPr>
          <w:b/>
          <w:bCs/>
          <w:sz w:val="24"/>
        </w:rPr>
        <w:t xml:space="preserve">Engr. Nikko Andre D. Aligway, </w:t>
      </w:r>
      <w:r w:rsidR="00E00577">
        <w:rPr>
          <w:b/>
          <w:bCs/>
          <w:sz w:val="24"/>
        </w:rPr>
        <w:t>R</w:t>
      </w:r>
      <w:r w:rsidRPr="00E95310">
        <w:rPr>
          <w:b/>
          <w:bCs/>
          <w:sz w:val="24"/>
        </w:rPr>
        <w:t>CE</w:t>
      </w:r>
      <w:r w:rsidRPr="00E95310">
        <w:rPr>
          <w:b/>
          <w:bCs/>
          <w:i/>
          <w:iCs/>
          <w:sz w:val="24"/>
          <w:vertAlign w:val="superscript"/>
        </w:rPr>
        <w:t>1</w:t>
      </w:r>
    </w:p>
    <w:p w14:paraId="6A6EB4F0" w14:textId="77777777" w:rsidR="001757EB" w:rsidRPr="00E95310" w:rsidRDefault="001757EB" w:rsidP="001757EB">
      <w:pPr>
        <w:spacing w:after="0" w:line="240" w:lineRule="auto"/>
        <w:jc w:val="center"/>
        <w:rPr>
          <w:rFonts w:ascii="Times New Roman" w:eastAsia="Times New Roman" w:hAnsi="Times New Roman" w:cs="Times New Roman"/>
          <w:sz w:val="20"/>
          <w:szCs w:val="20"/>
          <w:lang w:val="en-GB" w:eastAsia="en-GB"/>
        </w:rPr>
      </w:pPr>
      <w:r w:rsidRPr="00E95310">
        <w:rPr>
          <w:rFonts w:ascii="Times New Roman" w:eastAsia="Times New Roman" w:hAnsi="Times New Roman" w:cs="Times New Roman"/>
          <w:sz w:val="20"/>
          <w:szCs w:val="20"/>
          <w:vertAlign w:val="superscript"/>
          <w:lang w:val="en-GB" w:eastAsia="en-GB"/>
        </w:rPr>
        <w:t>1</w:t>
      </w:r>
      <w:r w:rsidRPr="00E95310">
        <w:rPr>
          <w:rFonts w:ascii="Times New Roman" w:eastAsia="Times New Roman" w:hAnsi="Times New Roman" w:cs="Times New Roman"/>
          <w:sz w:val="20"/>
          <w:szCs w:val="20"/>
          <w:lang w:val="en-GB" w:eastAsia="en-GB"/>
        </w:rPr>
        <w:t>Student, Master of Science in Development Administration</w:t>
      </w:r>
    </w:p>
    <w:p w14:paraId="34204A88" w14:textId="77777777" w:rsidR="001757EB" w:rsidRPr="00E95310" w:rsidRDefault="001757EB" w:rsidP="001757EB">
      <w:pPr>
        <w:spacing w:after="0" w:line="240" w:lineRule="auto"/>
        <w:jc w:val="center"/>
        <w:rPr>
          <w:rFonts w:ascii="Times New Roman" w:eastAsia="Times New Roman" w:hAnsi="Times New Roman" w:cs="Times New Roman"/>
          <w:sz w:val="20"/>
          <w:szCs w:val="20"/>
          <w:lang w:val="en-GB" w:eastAsia="en-GB"/>
        </w:rPr>
      </w:pPr>
      <w:r w:rsidRPr="00E95310">
        <w:rPr>
          <w:rFonts w:ascii="Times New Roman" w:eastAsia="Times New Roman" w:hAnsi="Times New Roman" w:cs="Times New Roman"/>
          <w:sz w:val="20"/>
          <w:szCs w:val="20"/>
          <w:lang w:val="en-GB" w:eastAsia="en-GB"/>
        </w:rPr>
        <w:t>Major in Urban &amp; Environmental Planning</w:t>
      </w:r>
    </w:p>
    <w:p w14:paraId="55D81A19" w14:textId="77777777" w:rsidR="001757EB" w:rsidRPr="00E95310" w:rsidRDefault="001757EB" w:rsidP="001757EB">
      <w:pPr>
        <w:spacing w:after="0" w:line="240" w:lineRule="auto"/>
        <w:jc w:val="center"/>
        <w:rPr>
          <w:rFonts w:ascii="Times New Roman" w:eastAsia="Times New Roman" w:hAnsi="Times New Roman" w:cs="Times New Roman"/>
          <w:sz w:val="20"/>
          <w:szCs w:val="20"/>
          <w:lang w:val="en-GB" w:eastAsia="en-GB"/>
        </w:rPr>
      </w:pPr>
      <w:r w:rsidRPr="00E95310">
        <w:rPr>
          <w:rFonts w:ascii="Times New Roman" w:eastAsia="Times New Roman" w:hAnsi="Times New Roman" w:cs="Times New Roman"/>
          <w:sz w:val="20"/>
          <w:szCs w:val="20"/>
          <w:lang w:val="en-GB" w:eastAsia="en-GB"/>
        </w:rPr>
        <w:t>College of Development Management</w:t>
      </w:r>
    </w:p>
    <w:p w14:paraId="5E6E10FD" w14:textId="77777777" w:rsidR="001757EB" w:rsidRPr="00E95310" w:rsidRDefault="001757EB" w:rsidP="001757EB">
      <w:pPr>
        <w:spacing w:after="0" w:line="240" w:lineRule="auto"/>
        <w:jc w:val="center"/>
        <w:rPr>
          <w:rFonts w:ascii="Times New Roman" w:eastAsia="Times New Roman" w:hAnsi="Times New Roman" w:cs="Times New Roman"/>
          <w:sz w:val="20"/>
          <w:szCs w:val="20"/>
          <w:lang w:val="en-GB" w:eastAsia="en-GB"/>
        </w:rPr>
      </w:pPr>
      <w:r w:rsidRPr="00E95310">
        <w:rPr>
          <w:rFonts w:ascii="Times New Roman" w:eastAsia="Times New Roman" w:hAnsi="Times New Roman" w:cs="Times New Roman"/>
          <w:sz w:val="20"/>
          <w:szCs w:val="20"/>
          <w:lang w:val="en-GB" w:eastAsia="en-GB"/>
        </w:rPr>
        <w:t xml:space="preserve">University of </w:t>
      </w:r>
      <w:proofErr w:type="spellStart"/>
      <w:r w:rsidRPr="00E95310">
        <w:rPr>
          <w:rFonts w:ascii="Times New Roman" w:eastAsia="Times New Roman" w:hAnsi="Times New Roman" w:cs="Times New Roman"/>
          <w:sz w:val="20"/>
          <w:szCs w:val="20"/>
          <w:lang w:val="en-GB" w:eastAsia="en-GB"/>
        </w:rPr>
        <w:t>Southeastern</w:t>
      </w:r>
      <w:proofErr w:type="spellEnd"/>
      <w:r w:rsidRPr="00E95310">
        <w:rPr>
          <w:rFonts w:ascii="Times New Roman" w:eastAsia="Times New Roman" w:hAnsi="Times New Roman" w:cs="Times New Roman"/>
          <w:sz w:val="20"/>
          <w:szCs w:val="20"/>
          <w:lang w:val="en-GB" w:eastAsia="en-GB"/>
        </w:rPr>
        <w:t xml:space="preserve"> Philippines, </w:t>
      </w:r>
      <w:proofErr w:type="spellStart"/>
      <w:r w:rsidRPr="00E95310">
        <w:rPr>
          <w:rFonts w:ascii="Times New Roman" w:eastAsia="Times New Roman" w:hAnsi="Times New Roman" w:cs="Times New Roman"/>
          <w:sz w:val="20"/>
          <w:szCs w:val="20"/>
          <w:lang w:val="en-GB" w:eastAsia="en-GB"/>
        </w:rPr>
        <w:t>Mintal</w:t>
      </w:r>
      <w:proofErr w:type="spellEnd"/>
      <w:r w:rsidRPr="00E95310">
        <w:rPr>
          <w:rFonts w:ascii="Times New Roman" w:eastAsia="Times New Roman" w:hAnsi="Times New Roman" w:cs="Times New Roman"/>
          <w:sz w:val="20"/>
          <w:szCs w:val="20"/>
          <w:lang w:val="en-GB" w:eastAsia="en-GB"/>
        </w:rPr>
        <w:t xml:space="preserve">, Davao City, </w:t>
      </w:r>
      <w:proofErr w:type="spellStart"/>
      <w:r w:rsidRPr="00E95310">
        <w:rPr>
          <w:rFonts w:ascii="Times New Roman" w:eastAsia="Times New Roman" w:hAnsi="Times New Roman" w:cs="Times New Roman"/>
          <w:sz w:val="20"/>
          <w:szCs w:val="20"/>
          <w:lang w:val="en-GB" w:eastAsia="en-GB"/>
        </w:rPr>
        <w:t>Philppines</w:t>
      </w:r>
      <w:proofErr w:type="spellEnd"/>
    </w:p>
    <w:p w14:paraId="7C6E1520" w14:textId="7779308B" w:rsidR="00DA52F4" w:rsidRPr="001E51F3" w:rsidRDefault="00DA52F4" w:rsidP="001757EB">
      <w:pPr>
        <w:pBdr>
          <w:bottom w:val="single" w:sz="4" w:space="1" w:color="auto"/>
        </w:pBdr>
        <w:spacing w:before="54" w:after="0" w:line="276" w:lineRule="auto"/>
        <w:rPr>
          <w:rFonts w:ascii="Times New Roman" w:hAnsi="Times New Roman" w:cs="Times New Roman"/>
          <w:color w:val="000000" w:themeColor="text1"/>
        </w:rPr>
      </w:pPr>
    </w:p>
    <w:p w14:paraId="262D7931" w14:textId="2AE78C56" w:rsidR="00DA52F4" w:rsidRPr="001E51F3" w:rsidRDefault="00DA52F4" w:rsidP="001757EB">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A7E395D" w:rsidR="00DA52F4" w:rsidRDefault="001757EB" w:rsidP="00E00577">
      <w:pPr>
        <w:spacing w:before="54" w:after="0" w:line="276" w:lineRule="auto"/>
        <w:ind w:firstLine="720"/>
        <w:jc w:val="both"/>
        <w:rPr>
          <w:rFonts w:ascii="Times New Roman" w:hAnsi="Times New Roman" w:cs="Times New Roman"/>
          <w:sz w:val="20"/>
          <w:szCs w:val="20"/>
        </w:rPr>
      </w:pPr>
      <w:r w:rsidRPr="00242CD9">
        <w:rPr>
          <w:rFonts w:ascii="Times New Roman" w:hAnsi="Times New Roman" w:cs="Times New Roman"/>
          <w:sz w:val="20"/>
          <w:szCs w:val="20"/>
        </w:rPr>
        <w:t xml:space="preserve">This paper </w:t>
      </w:r>
      <w:r>
        <w:rPr>
          <w:rFonts w:ascii="Times New Roman" w:hAnsi="Times New Roman" w:cs="Times New Roman"/>
          <w:sz w:val="20"/>
          <w:szCs w:val="20"/>
        </w:rPr>
        <w:t xml:space="preserve">examines the challenges of water governance in the Municipality of New Bataan Davao De Oro in providing sustainable water supply in the community. With its bountiful and rich water source coming from the watersheds of Mt. </w:t>
      </w:r>
      <w:proofErr w:type="spellStart"/>
      <w:r>
        <w:rPr>
          <w:rFonts w:ascii="Times New Roman" w:hAnsi="Times New Roman" w:cs="Times New Roman"/>
          <w:sz w:val="20"/>
          <w:szCs w:val="20"/>
        </w:rPr>
        <w:t>Tagubud</w:t>
      </w:r>
      <w:proofErr w:type="spellEnd"/>
      <w:r>
        <w:rPr>
          <w:rFonts w:ascii="Times New Roman" w:hAnsi="Times New Roman" w:cs="Times New Roman"/>
          <w:sz w:val="20"/>
          <w:szCs w:val="20"/>
        </w:rPr>
        <w:t xml:space="preserve">, there is still water supply scarcity being experienced by the residents. It has showed that fragmented policies and decisions from the national and local level limits the local government unit to make innovations on water delivery services and has become a water governance issue. It also exhibits the conflicts of water use and that overlooks the need to the proper utilization and appropriation of waters. It also showed that investment of water related projects in the municipality is least of their top priority as they are focused mainly on economic growth. Thus, artificial scarcity is a result of improper water governance at many levels. With this, the LGU itself must come up with innovative ideas on how to utilize its natural water resources in accordance with the water laws, the Water Code of the </w:t>
      </w:r>
      <w:proofErr w:type="gramStart"/>
      <w:r>
        <w:rPr>
          <w:rFonts w:ascii="Times New Roman" w:hAnsi="Times New Roman" w:cs="Times New Roman"/>
          <w:sz w:val="20"/>
          <w:szCs w:val="20"/>
        </w:rPr>
        <w:t>Philippines</w:t>
      </w:r>
      <w:proofErr w:type="gramEnd"/>
      <w:r>
        <w:rPr>
          <w:rFonts w:ascii="Times New Roman" w:hAnsi="Times New Roman" w:cs="Times New Roman"/>
          <w:sz w:val="20"/>
          <w:szCs w:val="20"/>
        </w:rPr>
        <w:t xml:space="preserve"> and the other laws of land.</w:t>
      </w:r>
    </w:p>
    <w:p w14:paraId="5B8114DB" w14:textId="77777777" w:rsidR="001757EB" w:rsidRPr="001E51F3" w:rsidRDefault="001757EB" w:rsidP="009F6540">
      <w:pPr>
        <w:spacing w:before="54" w:after="0" w:line="276" w:lineRule="auto"/>
        <w:jc w:val="both"/>
        <w:rPr>
          <w:rFonts w:ascii="Times New Roman" w:hAnsi="Times New Roman" w:cs="Times New Roman"/>
          <w:color w:val="000000" w:themeColor="text1"/>
          <w:sz w:val="20"/>
          <w:szCs w:val="20"/>
        </w:rPr>
      </w:pPr>
    </w:p>
    <w:p w14:paraId="3C5E43A9" w14:textId="6554F12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757EB">
        <w:rPr>
          <w:rFonts w:ascii="Times New Roman" w:hAnsi="Times New Roman" w:cs="Times New Roman"/>
          <w:sz w:val="20"/>
          <w:szCs w:val="20"/>
        </w:rPr>
        <w:t>Sustainable Water Supply, Water Governance, Fragmented decisions, Local Government Unit, Water Code of the Philippines</w:t>
      </w:r>
    </w:p>
    <w:p w14:paraId="075684D6" w14:textId="11F7B727" w:rsidR="00DA52F4" w:rsidRPr="001E51F3" w:rsidRDefault="00DA52F4" w:rsidP="00EB4411">
      <w:pPr>
        <w:pStyle w:val="ListParagraph"/>
        <w:numPr>
          <w:ilvl w:val="0"/>
          <w:numId w:val="21"/>
        </w:numPr>
        <w:spacing w:before="100" w:beforeAutospacing="1" w:after="100" w:afterAutospacing="1" w:line="240"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BE15036" w14:textId="77777777" w:rsidR="001757EB" w:rsidRDefault="001757EB" w:rsidP="00EB4411">
      <w:pPr>
        <w:pStyle w:val="ListParagraph"/>
        <w:spacing w:before="100" w:beforeAutospacing="1" w:after="100" w:afterAutospacing="1" w:line="240" w:lineRule="auto"/>
        <w:ind w:left="360"/>
        <w:jc w:val="both"/>
        <w:rPr>
          <w:rFonts w:ascii="Times New Roman" w:hAnsi="Times New Roman" w:cs="Times New Roman"/>
          <w:sz w:val="20"/>
          <w:szCs w:val="20"/>
        </w:rPr>
      </w:pPr>
    </w:p>
    <w:p w14:paraId="1CC5E914" w14:textId="3B4AB3D2" w:rsidR="001757EB" w:rsidRDefault="001757EB" w:rsidP="00EB4411">
      <w:pPr>
        <w:pStyle w:val="ListParagraph"/>
        <w:spacing w:before="100" w:beforeAutospacing="1" w:after="100" w:afterAutospacing="1" w:line="240" w:lineRule="auto"/>
        <w:ind w:left="360" w:firstLine="360"/>
        <w:jc w:val="both"/>
        <w:rPr>
          <w:rFonts w:ascii="Times New Roman" w:hAnsi="Times New Roman" w:cs="Times New Roman"/>
          <w:sz w:val="20"/>
          <w:szCs w:val="20"/>
        </w:rPr>
      </w:pPr>
      <w:r w:rsidRPr="001757EB">
        <w:rPr>
          <w:rFonts w:ascii="Times New Roman" w:hAnsi="Times New Roman" w:cs="Times New Roman"/>
          <w:sz w:val="20"/>
          <w:szCs w:val="20"/>
        </w:rPr>
        <w:t xml:space="preserve">One of the strongest typhoons that hit the Southern Part of Mindanao last December 2012 was Super Typhoon “Pablo” (international name </w:t>
      </w:r>
      <w:proofErr w:type="spellStart"/>
      <w:r w:rsidRPr="001757EB">
        <w:rPr>
          <w:rFonts w:ascii="Times New Roman" w:hAnsi="Times New Roman" w:cs="Times New Roman"/>
          <w:sz w:val="20"/>
          <w:szCs w:val="20"/>
        </w:rPr>
        <w:t>Bopha</w:t>
      </w:r>
      <w:proofErr w:type="spellEnd"/>
      <w:r w:rsidRPr="001757EB">
        <w:rPr>
          <w:rFonts w:ascii="Times New Roman" w:hAnsi="Times New Roman" w:cs="Times New Roman"/>
          <w:sz w:val="20"/>
          <w:szCs w:val="20"/>
        </w:rPr>
        <w:t xml:space="preserve">). </w:t>
      </w:r>
      <w:r w:rsidRPr="001757EB">
        <w:rPr>
          <w:rFonts w:ascii="Times New Roman" w:eastAsia="Times New Roman" w:hAnsi="Times New Roman" w:cs="Times New Roman"/>
          <w:color w:val="000000" w:themeColor="text1"/>
          <w:sz w:val="20"/>
          <w:szCs w:val="20"/>
        </w:rPr>
        <w:t xml:space="preserve">Extreme flooding may have been caused by heavy rainfall-induced river swells, human – caused </w:t>
      </w:r>
      <w:r w:rsidRPr="001757EB">
        <w:rPr>
          <w:rFonts w:ascii="Times New Roman" w:eastAsia="Times New Roman" w:hAnsi="Times New Roman" w:cs="Times New Roman"/>
          <w:color w:val="000000" w:themeColor="text1"/>
          <w:sz w:val="20"/>
          <w:szCs w:val="20"/>
          <w:highlight w:val="white"/>
        </w:rPr>
        <w:t>landform</w:t>
      </w:r>
      <w:r w:rsidRPr="001757EB">
        <w:rPr>
          <w:rFonts w:ascii="Times New Roman" w:eastAsia="Times New Roman" w:hAnsi="Times New Roman" w:cs="Times New Roman"/>
          <w:color w:val="000000" w:themeColor="text1"/>
          <w:sz w:val="20"/>
          <w:szCs w:val="20"/>
        </w:rPr>
        <w:t xml:space="preserve"> change, unsafe mining activities, agriculture, and </w:t>
      </w:r>
      <w:r w:rsidRPr="001757EB">
        <w:rPr>
          <w:rFonts w:ascii="Times New Roman" w:eastAsia="Times New Roman" w:hAnsi="Times New Roman" w:cs="Times New Roman"/>
          <w:color w:val="000000" w:themeColor="text1"/>
          <w:sz w:val="20"/>
          <w:szCs w:val="20"/>
          <w:highlight w:val="white"/>
        </w:rPr>
        <w:t>forest</w:t>
      </w:r>
      <w:r w:rsidRPr="001757EB">
        <w:rPr>
          <w:rFonts w:ascii="Times New Roman" w:eastAsia="Times New Roman" w:hAnsi="Times New Roman" w:cs="Times New Roman"/>
          <w:color w:val="000000" w:themeColor="text1"/>
          <w:sz w:val="20"/>
          <w:szCs w:val="20"/>
        </w:rPr>
        <w:t xml:space="preserve"> </w:t>
      </w:r>
      <w:r w:rsidRPr="001757EB">
        <w:rPr>
          <w:rFonts w:ascii="Times New Roman" w:eastAsia="Times New Roman" w:hAnsi="Times New Roman" w:cs="Times New Roman"/>
          <w:color w:val="000000" w:themeColor="text1"/>
          <w:sz w:val="20"/>
          <w:szCs w:val="20"/>
          <w:highlight w:val="white"/>
        </w:rPr>
        <w:t xml:space="preserve">denudation </w:t>
      </w:r>
      <w:sdt>
        <w:sdtPr>
          <w:id w:val="-1235150645"/>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 CITATION DBM13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(Magcale-Macandog, 2013)</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 xml:space="preserve">. Typhoon “Pablo” caused damage to the water systems in all municipalities of Compostela Valley Province. </w:t>
      </w:r>
      <w:r w:rsidRPr="001757EB">
        <w:rPr>
          <w:rFonts w:ascii="Times New Roman" w:eastAsia="Times New Roman" w:hAnsi="Times New Roman" w:cs="Times New Roman"/>
          <w:color w:val="000000" w:themeColor="text1"/>
          <w:sz w:val="20"/>
          <w:szCs w:val="20"/>
          <w:highlight w:val="white"/>
        </w:rPr>
        <w:t>Water source impounding reservoirs in the established spring sources, water distribution pipeline system, reservoirs, and chlorinators are some of the damaged water facilities</w:t>
      </w:r>
      <w:sdt>
        <w:sdtPr>
          <w:id w:val="-972447902"/>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CITATION Hum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 xml:space="preserve"> (Hum. Response, 2013)</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 xml:space="preserve">. Sixteen (16) Barangays were badly devastated, costing hundreds of lives and most of their needs; the water supply was shut down. The municipality has been known for its abundant spring water source coming from the watersheds of Mount </w:t>
      </w:r>
      <w:proofErr w:type="spellStart"/>
      <w:r w:rsidRPr="001757EB">
        <w:rPr>
          <w:rFonts w:ascii="Times New Roman" w:hAnsi="Times New Roman" w:cs="Times New Roman"/>
          <w:sz w:val="20"/>
          <w:szCs w:val="20"/>
        </w:rPr>
        <w:t>Tagubud</w:t>
      </w:r>
      <w:proofErr w:type="spellEnd"/>
      <w:r w:rsidRPr="001757EB">
        <w:rPr>
          <w:rFonts w:ascii="Times New Roman" w:hAnsi="Times New Roman" w:cs="Times New Roman"/>
          <w:sz w:val="20"/>
          <w:szCs w:val="20"/>
        </w:rPr>
        <w:t xml:space="preserve">, which also connects and overflows through the </w:t>
      </w:r>
      <w:proofErr w:type="spellStart"/>
      <w:r w:rsidRPr="001757EB">
        <w:rPr>
          <w:rFonts w:ascii="Times New Roman" w:hAnsi="Times New Roman" w:cs="Times New Roman"/>
          <w:sz w:val="20"/>
          <w:szCs w:val="20"/>
        </w:rPr>
        <w:t>Agusan</w:t>
      </w:r>
      <w:proofErr w:type="spellEnd"/>
      <w:r w:rsidRPr="001757EB">
        <w:rPr>
          <w:rFonts w:ascii="Times New Roman" w:hAnsi="Times New Roman" w:cs="Times New Roman"/>
          <w:sz w:val="20"/>
          <w:szCs w:val="20"/>
        </w:rPr>
        <w:t xml:space="preserve"> River. The recovery and reconstruction process has been provided</w:t>
      </w:r>
      <w:r w:rsidRPr="001757EB">
        <w:rPr>
          <w:rFonts w:ascii="Times New Roman" w:hAnsi="Times New Roman" w:cs="Times New Roman"/>
          <w:color w:val="000000" w:themeColor="text1"/>
          <w:sz w:val="20"/>
          <w:szCs w:val="20"/>
          <w:shd w:val="clear" w:color="auto" w:fill="FFFFFF" w:themeFill="background1"/>
        </w:rPr>
        <w:t xml:space="preserve"> to increase the governments and communities’ ability to deal with Super Typhoon Pablo</w:t>
      </w:r>
      <w:r w:rsidRPr="001757EB">
        <w:rPr>
          <w:rFonts w:ascii="Times New Roman" w:hAnsi="Times New Roman" w:cs="Times New Roman"/>
          <w:sz w:val="20"/>
          <w:szCs w:val="20"/>
        </w:rPr>
        <w:t>. One of these is a Disaster Proofing and Disaster Risk Reduction-Climate Change Adaptation (DDR-CCA) Mainstreaming Action Plan (2013-2016) of New Bataan Water Services Cooperative (NEBAWASCO), a Barangay Water Program- Rural Waterworks and Sanitation Association assisted by MLG-USAIDE and was handed to Local Government Unit</w:t>
      </w:r>
      <w:sdt>
        <w:sdtPr>
          <w:id w:val="-1977285932"/>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 CITATION JBM14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 xml:space="preserve"> (Manuta, 2014)</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 xml:space="preserve">. </w:t>
      </w:r>
    </w:p>
    <w:p w14:paraId="2DCD00BD" w14:textId="77777777" w:rsidR="001757EB" w:rsidRPr="001757EB" w:rsidRDefault="001757EB" w:rsidP="00EB4411">
      <w:pPr>
        <w:pStyle w:val="ListParagraph"/>
        <w:spacing w:before="100" w:beforeAutospacing="1" w:after="100" w:afterAutospacing="1" w:line="240" w:lineRule="auto"/>
        <w:ind w:left="360"/>
        <w:jc w:val="both"/>
        <w:rPr>
          <w:rFonts w:ascii="Times New Roman" w:hAnsi="Times New Roman" w:cs="Times New Roman"/>
          <w:sz w:val="20"/>
          <w:szCs w:val="20"/>
        </w:rPr>
      </w:pPr>
    </w:p>
    <w:p w14:paraId="5429F239" w14:textId="77777777" w:rsidR="001757EB" w:rsidRPr="001757EB" w:rsidRDefault="001757EB" w:rsidP="00EB4411">
      <w:pPr>
        <w:pStyle w:val="ListParagraph"/>
        <w:spacing w:before="100" w:beforeAutospacing="1" w:after="100" w:afterAutospacing="1" w:line="240" w:lineRule="auto"/>
        <w:ind w:left="360"/>
        <w:jc w:val="both"/>
        <w:rPr>
          <w:rFonts w:ascii="Times New Roman" w:hAnsi="Times New Roman" w:cs="Times New Roman"/>
          <w:sz w:val="20"/>
          <w:szCs w:val="20"/>
        </w:rPr>
      </w:pPr>
      <w:r w:rsidRPr="001757EB">
        <w:rPr>
          <w:rFonts w:ascii="Times New Roman" w:hAnsi="Times New Roman" w:cs="Times New Roman"/>
          <w:sz w:val="20"/>
          <w:szCs w:val="20"/>
        </w:rPr>
        <w:tab/>
        <w:t>NEBAWASCO today faces many challenges in its mandate to supply water to its nearby barangays. The cooperative’s stated mission, “To become a self-sustaining water service provider with a well-defined system of operations and advocating environment-friendly development approaches for the improvement of people’s quality of life’, appears to have strayed from the reality of time. Moreover, the delayed implementation of “</w:t>
      </w:r>
      <w:proofErr w:type="spellStart"/>
      <w:r w:rsidRPr="001757EB">
        <w:rPr>
          <w:rFonts w:ascii="Times New Roman" w:hAnsi="Times New Roman" w:cs="Times New Roman"/>
          <w:sz w:val="20"/>
          <w:szCs w:val="20"/>
        </w:rPr>
        <w:t>Sagana</w:t>
      </w:r>
      <w:proofErr w:type="spellEnd"/>
      <w:r w:rsidRPr="001757EB">
        <w:rPr>
          <w:rFonts w:ascii="Times New Roman" w:hAnsi="Times New Roman" w:cs="Times New Roman"/>
          <w:sz w:val="20"/>
          <w:szCs w:val="20"/>
        </w:rPr>
        <w:t xml:space="preserve"> at </w:t>
      </w:r>
      <w:proofErr w:type="spellStart"/>
      <w:r w:rsidRPr="001757EB">
        <w:rPr>
          <w:rFonts w:ascii="Times New Roman" w:hAnsi="Times New Roman" w:cs="Times New Roman"/>
          <w:sz w:val="20"/>
          <w:szCs w:val="20"/>
        </w:rPr>
        <w:t>Ligtas</w:t>
      </w:r>
      <w:proofErr w:type="spellEnd"/>
      <w:r w:rsidRPr="001757EB">
        <w:rPr>
          <w:rFonts w:ascii="Times New Roman" w:hAnsi="Times New Roman" w:cs="Times New Roman"/>
          <w:sz w:val="20"/>
          <w:szCs w:val="20"/>
        </w:rPr>
        <w:t xml:space="preserve"> </w:t>
      </w:r>
      <w:proofErr w:type="spellStart"/>
      <w:r w:rsidRPr="001757EB">
        <w:rPr>
          <w:rFonts w:ascii="Times New Roman" w:hAnsi="Times New Roman" w:cs="Times New Roman"/>
          <w:sz w:val="20"/>
          <w:szCs w:val="20"/>
        </w:rPr>
        <w:t>na</w:t>
      </w:r>
      <w:proofErr w:type="spellEnd"/>
      <w:r w:rsidRPr="001757EB">
        <w:rPr>
          <w:rFonts w:ascii="Times New Roman" w:hAnsi="Times New Roman" w:cs="Times New Roman"/>
          <w:sz w:val="20"/>
          <w:szCs w:val="20"/>
        </w:rPr>
        <w:t xml:space="preserve"> </w:t>
      </w:r>
      <w:proofErr w:type="spellStart"/>
      <w:r w:rsidRPr="001757EB">
        <w:rPr>
          <w:rFonts w:ascii="Times New Roman" w:hAnsi="Times New Roman" w:cs="Times New Roman"/>
          <w:sz w:val="20"/>
          <w:szCs w:val="20"/>
        </w:rPr>
        <w:t>Tubig</w:t>
      </w:r>
      <w:proofErr w:type="spellEnd"/>
      <w:r w:rsidRPr="001757EB">
        <w:rPr>
          <w:rFonts w:ascii="Times New Roman" w:hAnsi="Times New Roman" w:cs="Times New Roman"/>
          <w:sz w:val="20"/>
          <w:szCs w:val="20"/>
        </w:rPr>
        <w:t xml:space="preserve"> sa Lahat” (DILG-SALINTUBIG) signifies a very low efficiency of implementation and deprives the constituents of the benefits that could have been derived therefrom</w:t>
      </w:r>
      <w:sdt>
        <w:sdtPr>
          <w:id w:val="-1609957328"/>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CITATION COA17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 xml:space="preserve"> (COA Report, 2017)</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 xml:space="preserve">. Numerous clients frequently voiced complaints about poor water pressure and supply during peak hours of the day, and the water supply system is serving fewer due to the increasing demand. Although the municipality has received attention for its plentiful spring source while several inland resorts that use river water are rising, there is a shortage of safe water supply. </w:t>
      </w:r>
      <w:r w:rsidRPr="001757EB">
        <w:rPr>
          <w:rFonts w:ascii="Times New Roman" w:eastAsia="Times New Roman" w:hAnsi="Times New Roman" w:cs="Times New Roman"/>
          <w:color w:val="000000" w:themeColor="text1"/>
          <w:sz w:val="20"/>
          <w:szCs w:val="20"/>
        </w:rPr>
        <w:t xml:space="preserve">The United Nations </w:t>
      </w:r>
      <w:r w:rsidRPr="001757EB">
        <w:rPr>
          <w:rFonts w:ascii="Times New Roman" w:eastAsia="Times New Roman" w:hAnsi="Times New Roman" w:cs="Times New Roman"/>
          <w:sz w:val="20"/>
          <w:szCs w:val="20"/>
          <w:highlight w:val="white"/>
        </w:rPr>
        <w:t>acknowledged that access to clean water and sanitary facilities is necessary for the fulfillment of all other human rights</w:t>
      </w:r>
      <w:r w:rsidRPr="001757EB">
        <w:rPr>
          <w:rFonts w:ascii="Times New Roman" w:eastAsia="Times New Roman" w:hAnsi="Times New Roman" w:cs="Times New Roman"/>
          <w:color w:val="000000" w:themeColor="text1"/>
          <w:sz w:val="20"/>
          <w:szCs w:val="20"/>
        </w:rPr>
        <w:t xml:space="preserve"> </w:t>
      </w:r>
      <w:sdt>
        <w:sdtPr>
          <w:id w:val="-1853952394"/>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 CITATION UN10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(U.N., 2010)</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 xml:space="preserve">. </w:t>
      </w:r>
      <w:r w:rsidRPr="001757EB">
        <w:rPr>
          <w:rFonts w:ascii="Times New Roman" w:eastAsia="Times New Roman" w:hAnsi="Times New Roman" w:cs="Times New Roman"/>
          <w:color w:val="000000" w:themeColor="text1"/>
          <w:sz w:val="20"/>
          <w:szCs w:val="20"/>
        </w:rPr>
        <w:t xml:space="preserve">Local government units (LGUs) of the decentralized Philippine government are generally in charge of providing water services, such as though artesian wells and water </w:t>
      </w:r>
      <w:sdt>
        <w:sdtPr>
          <w:tag w:val="tii-similarity-SU5URVJORVRfd3d3LmVjb25zdG9yLmV1"/>
          <w:id w:val="1434870528"/>
          <w:placeholder>
            <w:docPart w:val="248AE2706F1B4F46A64A51F0D736D861"/>
          </w:placeholder>
          <w15:appearance w15:val="hidden"/>
        </w:sdtPr>
        <w:sdtContent>
          <w:r w:rsidRPr="001757EB">
            <w:rPr>
              <w:rFonts w:ascii="Times New Roman" w:hAnsi="Times New Roman" w:cs="Times New Roman"/>
              <w:sz w:val="20"/>
              <w:szCs w:val="20"/>
            </w:rPr>
            <w:t>supply systems</w:t>
          </w:r>
        </w:sdtContent>
      </w:sdt>
      <w:r w:rsidRPr="001757EB">
        <w:rPr>
          <w:rFonts w:ascii="Times New Roman" w:hAnsi="Times New Roman" w:cs="Times New Roman"/>
          <w:sz w:val="20"/>
          <w:szCs w:val="20"/>
        </w:rPr>
        <w:t xml:space="preserve"> </w:t>
      </w:r>
      <w:sdt>
        <w:sdtPr>
          <w:id w:val="-335455191"/>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CITATION RA791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(Philippines, 1991)</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w:t>
      </w:r>
    </w:p>
    <w:p w14:paraId="6893D640" w14:textId="77777777" w:rsidR="001757EB" w:rsidRPr="001757EB" w:rsidRDefault="001757EB" w:rsidP="00EB4411">
      <w:pPr>
        <w:pStyle w:val="ListParagraph"/>
        <w:spacing w:before="100" w:beforeAutospacing="1" w:after="100" w:afterAutospacing="1" w:line="240" w:lineRule="auto"/>
        <w:ind w:left="360"/>
        <w:jc w:val="both"/>
        <w:rPr>
          <w:rFonts w:ascii="Times New Roman" w:hAnsi="Times New Roman" w:cs="Times New Roman"/>
          <w:sz w:val="20"/>
          <w:szCs w:val="20"/>
        </w:rPr>
      </w:pPr>
    </w:p>
    <w:p w14:paraId="3AB11303" w14:textId="77777777" w:rsidR="001757EB" w:rsidRPr="001757EB" w:rsidRDefault="001757EB" w:rsidP="00EB4411">
      <w:pPr>
        <w:pStyle w:val="ListParagraph"/>
        <w:spacing w:before="100" w:beforeAutospacing="1" w:after="100" w:afterAutospacing="1" w:line="240" w:lineRule="auto"/>
        <w:ind w:left="360"/>
        <w:jc w:val="both"/>
        <w:rPr>
          <w:rFonts w:ascii="Times New Roman" w:hAnsi="Times New Roman" w:cs="Times New Roman"/>
          <w:sz w:val="20"/>
          <w:szCs w:val="20"/>
        </w:rPr>
      </w:pPr>
      <w:r w:rsidRPr="001757EB">
        <w:rPr>
          <w:rFonts w:ascii="Times New Roman" w:hAnsi="Times New Roman" w:cs="Times New Roman"/>
          <w:sz w:val="20"/>
          <w:szCs w:val="20"/>
        </w:rPr>
        <w:tab/>
      </w:r>
      <w:r w:rsidRPr="001757EB">
        <w:rPr>
          <w:rStyle w:val="normaltextrun"/>
          <w:rFonts w:ascii="Times New Roman" w:hAnsi="Times New Roman" w:cs="Times New Roman"/>
          <w:color w:val="000000"/>
          <w:sz w:val="20"/>
          <w:szCs w:val="20"/>
        </w:rPr>
        <w:t xml:space="preserve">   </w:t>
      </w:r>
      <w:r w:rsidRPr="001757EB">
        <w:rPr>
          <w:rStyle w:val="normaltextrun"/>
          <w:rFonts w:ascii="Times New Roman" w:hAnsi="Times New Roman" w:cs="Times New Roman"/>
          <w:color w:val="000000"/>
          <w:sz w:val="20"/>
          <w:szCs w:val="20"/>
          <w:shd w:val="clear" w:color="auto" w:fill="FFFFFF"/>
        </w:rPr>
        <w:t>National government</w:t>
      </w:r>
      <w:r w:rsidRPr="001757EB">
        <w:rPr>
          <w:rStyle w:val="normaltextrun"/>
          <w:rFonts w:ascii="Times New Roman" w:hAnsi="Times New Roman" w:cs="Times New Roman"/>
          <w:color w:val="000000"/>
          <w:sz w:val="20"/>
          <w:szCs w:val="20"/>
        </w:rPr>
        <w:t xml:space="preserve"> has provided support </w:t>
      </w:r>
      <w:r w:rsidRPr="001757EB">
        <w:rPr>
          <w:rStyle w:val="normaltextrun"/>
          <w:rFonts w:ascii="Times New Roman" w:hAnsi="Times New Roman" w:cs="Times New Roman"/>
          <w:sz w:val="20"/>
          <w:szCs w:val="20"/>
          <w:shd w:val="clear" w:color="auto" w:fill="FFFFFF"/>
        </w:rPr>
        <w:t>to address the lack of infrastructure for water services</w:t>
      </w:r>
      <w:r w:rsidRPr="001757EB">
        <w:rPr>
          <w:rStyle w:val="normaltextrun"/>
          <w:rFonts w:ascii="Times New Roman" w:hAnsi="Times New Roman" w:cs="Times New Roman"/>
          <w:color w:val="000000"/>
          <w:sz w:val="20"/>
          <w:szCs w:val="20"/>
        </w:rPr>
        <w:t>, even though it is aware of the difficulties LGUs are facing in delivering water services and is demonstrated by the existence of families without and/or limited access to water</w:t>
      </w:r>
      <w:r w:rsidRPr="001757EB">
        <w:rPr>
          <w:rFonts w:ascii="Times New Roman" w:hAnsi="Times New Roman" w:cs="Times New Roman"/>
          <w:sz w:val="20"/>
          <w:szCs w:val="20"/>
        </w:rPr>
        <w:t xml:space="preserve">. </w:t>
      </w:r>
      <w:r w:rsidRPr="001757EB">
        <w:rPr>
          <w:rStyle w:val="normaltextrun"/>
          <w:rFonts w:ascii="Times New Roman" w:hAnsi="Times New Roman" w:cs="Times New Roman"/>
          <w:color w:val="000000"/>
          <w:sz w:val="20"/>
          <w:szCs w:val="20"/>
        </w:rPr>
        <w:t>These initiatives are distinct from the National Wealth Shares and Internal Revenue Allotment (IRA) that are necessary</w:t>
      </w:r>
      <w:r w:rsidRPr="001757EB">
        <w:rPr>
          <w:rFonts w:ascii="Times New Roman" w:hAnsi="Times New Roman" w:cs="Times New Roman"/>
          <w:sz w:val="20"/>
          <w:szCs w:val="20"/>
        </w:rPr>
        <w:t xml:space="preserve">. </w:t>
      </w:r>
      <w:r w:rsidRPr="001757EB">
        <w:rPr>
          <w:rStyle w:val="normaltextrun"/>
          <w:rFonts w:ascii="Times New Roman" w:hAnsi="Times New Roman" w:cs="Times New Roman"/>
          <w:color w:val="000000"/>
          <w:sz w:val="20"/>
          <w:szCs w:val="20"/>
        </w:rPr>
        <w:t xml:space="preserve">The </w:t>
      </w:r>
      <w:r w:rsidRPr="001757EB">
        <w:rPr>
          <w:rStyle w:val="contentcontrolboundarysink"/>
          <w:rFonts w:ascii="Times New Roman" w:hAnsi="Times New Roman" w:cs="Times New Roman"/>
        </w:rPr>
        <w:t>​</w:t>
      </w:r>
      <w:r w:rsidRPr="001757EB">
        <w:rPr>
          <w:rStyle w:val="normaltextrun"/>
          <w:rFonts w:ascii="Times New Roman" w:hAnsi="Times New Roman" w:cs="Times New Roman"/>
          <w:color w:val="000000"/>
          <w:sz w:val="20"/>
          <w:szCs w:val="20"/>
        </w:rPr>
        <w:t>department of</w:t>
      </w:r>
      <w:r w:rsidRPr="001757EB">
        <w:rPr>
          <w:rStyle w:val="contentcontrolboundarysink"/>
          <w:rFonts w:ascii="Times New Roman" w:hAnsi="Times New Roman" w:cs="Times New Roman"/>
        </w:rPr>
        <w:t>​</w:t>
      </w:r>
      <w:r w:rsidRPr="001757EB">
        <w:rPr>
          <w:rStyle w:val="normaltextrun"/>
          <w:rFonts w:ascii="Times New Roman" w:hAnsi="Times New Roman" w:cs="Times New Roman"/>
          <w:color w:val="000000"/>
          <w:sz w:val="20"/>
          <w:szCs w:val="20"/>
        </w:rPr>
        <w:t xml:space="preserve"> Interior and Local Government’s (DILG)” </w:t>
      </w:r>
      <w:proofErr w:type="spellStart"/>
      <w:r w:rsidRPr="001757EB">
        <w:rPr>
          <w:rStyle w:val="normaltextrun"/>
          <w:rFonts w:ascii="Times New Roman" w:hAnsi="Times New Roman" w:cs="Times New Roman"/>
          <w:color w:val="000000"/>
          <w:sz w:val="20"/>
          <w:szCs w:val="20"/>
        </w:rPr>
        <w:t>Sagana</w:t>
      </w:r>
      <w:proofErr w:type="spellEnd"/>
      <w:r w:rsidRPr="001757EB">
        <w:rPr>
          <w:rStyle w:val="normaltextrun"/>
          <w:rFonts w:ascii="Times New Roman" w:hAnsi="Times New Roman" w:cs="Times New Roman"/>
          <w:color w:val="000000"/>
          <w:sz w:val="20"/>
          <w:szCs w:val="20"/>
        </w:rPr>
        <w:t xml:space="preserve"> at </w:t>
      </w:r>
      <w:proofErr w:type="spellStart"/>
      <w:r w:rsidRPr="001757EB">
        <w:rPr>
          <w:rStyle w:val="normaltextrun"/>
          <w:rFonts w:ascii="Times New Roman" w:hAnsi="Times New Roman" w:cs="Times New Roman"/>
          <w:color w:val="000000"/>
          <w:sz w:val="20"/>
          <w:szCs w:val="20"/>
        </w:rPr>
        <w:t>Ligtas</w:t>
      </w:r>
      <w:proofErr w:type="spellEnd"/>
      <w:r w:rsidRPr="001757EB">
        <w:rPr>
          <w:rStyle w:val="normaltextrun"/>
          <w:rFonts w:ascii="Times New Roman" w:hAnsi="Times New Roman" w:cs="Times New Roman"/>
          <w:color w:val="000000"/>
          <w:sz w:val="20"/>
          <w:szCs w:val="20"/>
        </w:rPr>
        <w:t xml:space="preserve"> </w:t>
      </w:r>
      <w:proofErr w:type="spellStart"/>
      <w:r w:rsidRPr="001757EB">
        <w:rPr>
          <w:rStyle w:val="normaltextrun"/>
          <w:rFonts w:ascii="Times New Roman" w:hAnsi="Times New Roman" w:cs="Times New Roman"/>
          <w:color w:val="000000"/>
          <w:sz w:val="20"/>
          <w:szCs w:val="20"/>
        </w:rPr>
        <w:t>na</w:t>
      </w:r>
      <w:proofErr w:type="spellEnd"/>
      <w:r w:rsidRPr="001757EB">
        <w:rPr>
          <w:rStyle w:val="normaltextrun"/>
          <w:rFonts w:ascii="Times New Roman" w:hAnsi="Times New Roman" w:cs="Times New Roman"/>
          <w:color w:val="000000"/>
          <w:sz w:val="20"/>
          <w:szCs w:val="20"/>
        </w:rPr>
        <w:t xml:space="preserve"> </w:t>
      </w:r>
      <w:proofErr w:type="spellStart"/>
      <w:r w:rsidRPr="001757EB">
        <w:rPr>
          <w:rStyle w:val="normaltextrun"/>
          <w:rFonts w:ascii="Times New Roman" w:hAnsi="Times New Roman" w:cs="Times New Roman"/>
          <w:color w:val="000000"/>
          <w:sz w:val="20"/>
          <w:szCs w:val="20"/>
        </w:rPr>
        <w:lastRenderedPageBreak/>
        <w:t>Tubig</w:t>
      </w:r>
      <w:proofErr w:type="spellEnd"/>
      <w:r w:rsidRPr="001757EB">
        <w:rPr>
          <w:rStyle w:val="normaltextrun"/>
          <w:rFonts w:ascii="Times New Roman" w:hAnsi="Times New Roman" w:cs="Times New Roman"/>
          <w:color w:val="000000"/>
          <w:sz w:val="20"/>
          <w:szCs w:val="20"/>
        </w:rPr>
        <w:t xml:space="preserve"> Para sa Lahat” (</w:t>
      </w:r>
      <w:proofErr w:type="spellStart"/>
      <w:r w:rsidRPr="001757EB">
        <w:rPr>
          <w:rStyle w:val="normaltextrun"/>
          <w:rFonts w:ascii="Times New Roman" w:hAnsi="Times New Roman" w:cs="Times New Roman"/>
          <w:color w:val="000000"/>
          <w:sz w:val="20"/>
          <w:szCs w:val="20"/>
        </w:rPr>
        <w:t>Salintubig</w:t>
      </w:r>
      <w:proofErr w:type="spellEnd"/>
      <w:r w:rsidRPr="001757EB">
        <w:rPr>
          <w:rStyle w:val="normaltextrun"/>
          <w:rFonts w:ascii="Times New Roman" w:hAnsi="Times New Roman" w:cs="Times New Roman"/>
          <w:color w:val="000000"/>
          <w:sz w:val="20"/>
          <w:szCs w:val="20"/>
        </w:rPr>
        <w:t xml:space="preserve">) Program and other </w:t>
      </w:r>
      <w:r w:rsidRPr="001757EB">
        <w:rPr>
          <w:rStyle w:val="contentcontrolboundarysink"/>
          <w:rFonts w:ascii="Times New Roman" w:hAnsi="Times New Roman" w:cs="Times New Roman"/>
        </w:rPr>
        <w:t>​</w:t>
      </w:r>
      <w:r w:rsidRPr="001757EB">
        <w:rPr>
          <w:rStyle w:val="normaltextrun"/>
          <w:rFonts w:ascii="Times New Roman" w:hAnsi="Times New Roman" w:cs="Times New Roman"/>
          <w:color w:val="000000"/>
          <w:sz w:val="20"/>
          <w:szCs w:val="20"/>
        </w:rPr>
        <w:t>performance-based</w:t>
      </w:r>
      <w:r w:rsidRPr="001757EB">
        <w:rPr>
          <w:rStyle w:val="contentcontrolboundarysink"/>
          <w:rFonts w:ascii="Times New Roman" w:hAnsi="Times New Roman" w:cs="Times New Roman"/>
        </w:rPr>
        <w:t>​</w:t>
      </w:r>
      <w:r w:rsidRPr="001757EB">
        <w:rPr>
          <w:rStyle w:val="normaltextrun"/>
          <w:rFonts w:ascii="Times New Roman" w:hAnsi="Times New Roman" w:cs="Times New Roman"/>
          <w:color w:val="000000"/>
          <w:sz w:val="20"/>
          <w:szCs w:val="20"/>
        </w:rPr>
        <w:t xml:space="preserve"> and performance-and-equity based initiatives, such as </w:t>
      </w:r>
      <w:r w:rsidRPr="001757EB">
        <w:rPr>
          <w:rStyle w:val="contentcontrolboundarysink"/>
          <w:rFonts w:ascii="Times New Roman" w:hAnsi="Times New Roman" w:cs="Times New Roman"/>
        </w:rPr>
        <w:t>​</w:t>
      </w:r>
      <w:r w:rsidRPr="001757EB">
        <w:rPr>
          <w:rStyle w:val="normaltextrun"/>
          <w:rFonts w:ascii="Times New Roman" w:hAnsi="Times New Roman" w:cs="Times New Roman"/>
          <w:color w:val="000000"/>
          <w:sz w:val="20"/>
          <w:szCs w:val="20"/>
        </w:rPr>
        <w:t>Bottom-up Budgeting</w:t>
      </w:r>
      <w:r w:rsidRPr="001757EB">
        <w:rPr>
          <w:rStyle w:val="contentcontrolboundarysink"/>
          <w:rFonts w:ascii="Times New Roman" w:hAnsi="Times New Roman" w:cs="Times New Roman"/>
        </w:rPr>
        <w:t>​</w:t>
      </w:r>
      <w:r w:rsidRPr="001757EB">
        <w:rPr>
          <w:rStyle w:val="normaltextrun"/>
          <w:rFonts w:ascii="Times New Roman" w:hAnsi="Times New Roman" w:cs="Times New Roman"/>
          <w:color w:val="000000"/>
          <w:sz w:val="20"/>
          <w:szCs w:val="20"/>
        </w:rPr>
        <w:t>, provide help to municipalities</w:t>
      </w:r>
      <w:sdt>
        <w:sdtPr>
          <w:id w:val="1090206116"/>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 CITATION LGV20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 xml:space="preserve"> (L.G. Velasco, et.al., 2020)</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w:t>
      </w:r>
      <w:r w:rsidRPr="001757EB">
        <w:rPr>
          <w:sz w:val="20"/>
          <w:szCs w:val="20"/>
          <w:shd w:val="clear" w:color="auto" w:fill="FFFFFF"/>
        </w:rPr>
        <w:t xml:space="preserve"> </w:t>
      </w:r>
      <w:r w:rsidRPr="001757EB">
        <w:rPr>
          <w:rFonts w:ascii="Times New Roman" w:hAnsi="Times New Roman" w:cs="Times New Roman"/>
          <w:sz w:val="20"/>
          <w:szCs w:val="20"/>
          <w:shd w:val="clear" w:color="auto" w:fill="FFFFFF"/>
        </w:rPr>
        <w:t>Even though fewer communities went without water between 2010 and 2015</w:t>
      </w:r>
      <w:r w:rsidRPr="001757EB">
        <w:rPr>
          <w:rFonts w:ascii="Times New Roman" w:hAnsi="Times New Roman" w:cs="Times New Roman"/>
          <w:sz w:val="20"/>
          <w:szCs w:val="20"/>
        </w:rPr>
        <w:t xml:space="preserve">, </w:t>
      </w:r>
      <w:r w:rsidRPr="001757EB">
        <w:rPr>
          <w:rStyle w:val="normaltextrun"/>
          <w:rFonts w:ascii="Times New Roman" w:hAnsi="Times New Roman" w:cs="Times New Roman"/>
          <w:color w:val="000000"/>
          <w:sz w:val="20"/>
          <w:szCs w:val="20"/>
        </w:rPr>
        <w:t>uncoordinated planning and</w:t>
      </w:r>
      <w:r w:rsidRPr="001757EB">
        <w:rPr>
          <w:rStyle w:val="contentcontrolboundarysink"/>
          <w:rFonts w:ascii="Times New Roman" w:hAnsi="Times New Roman" w:cs="Times New Roman"/>
          <w:sz w:val="20"/>
          <w:szCs w:val="20"/>
        </w:rPr>
        <w:t>​</w:t>
      </w:r>
      <w:r w:rsidRPr="001757EB">
        <w:rPr>
          <w:rStyle w:val="normaltextrun"/>
          <w:rFonts w:ascii="Times New Roman" w:hAnsi="Times New Roman" w:cs="Times New Roman"/>
          <w:color w:val="000000"/>
          <w:sz w:val="20"/>
          <w:szCs w:val="20"/>
        </w:rPr>
        <w:t xml:space="preserve"> </w:t>
      </w:r>
      <w:r w:rsidRPr="001757EB">
        <w:rPr>
          <w:rStyle w:val="normaltextrun"/>
          <w:rFonts w:ascii="Times New Roman" w:hAnsi="Times New Roman" w:cs="Times New Roman"/>
          <w:color w:val="000000"/>
          <w:sz w:val="20"/>
          <w:szCs w:val="20"/>
          <w:shd w:val="clear" w:color="auto" w:fill="FFFFFF"/>
        </w:rPr>
        <w:t>implementation of programs and projects in the water sector continue to be a significant concern due to fragmented institutional structure</w:t>
      </w:r>
      <w:r w:rsidRPr="001757EB">
        <w:rPr>
          <w:rStyle w:val="normaltextrun"/>
          <w:rFonts w:ascii="Times New Roman" w:hAnsi="Times New Roman" w:cs="Times New Roman"/>
          <w:color w:val="000000"/>
          <w:sz w:val="20"/>
          <w:szCs w:val="20"/>
        </w:rPr>
        <w:t xml:space="preserve"> (</w:t>
      </w:r>
      <w:sdt>
        <w:sdtPr>
          <w:rPr>
            <w:rStyle w:val="normaltextrun"/>
            <w:rFonts w:ascii="Times New Roman" w:hAnsi="Times New Roman" w:cs="Times New Roman"/>
            <w:color w:val="000000"/>
            <w:sz w:val="20"/>
            <w:szCs w:val="20"/>
          </w:rPr>
          <w:id w:val="363334139"/>
          <w:citation/>
        </w:sdtPr>
        <w:sdtContent>
          <w:r w:rsidRPr="001757EB">
            <w:rPr>
              <w:rStyle w:val="normaltextrun"/>
              <w:rFonts w:ascii="Times New Roman" w:hAnsi="Times New Roman" w:cs="Times New Roman"/>
              <w:color w:val="000000"/>
              <w:sz w:val="20"/>
              <w:szCs w:val="20"/>
            </w:rPr>
            <w:fldChar w:fldCharType="begin"/>
          </w:r>
          <w:r w:rsidRPr="001757EB">
            <w:rPr>
              <w:rStyle w:val="normaltextrun"/>
              <w:rFonts w:ascii="Times New Roman" w:hAnsi="Times New Roman" w:cs="Times New Roman"/>
              <w:color w:val="000000"/>
              <w:sz w:val="20"/>
              <w:szCs w:val="20"/>
            </w:rPr>
            <w:instrText xml:space="preserve"> CITATION DIL16 \l 1033 </w:instrText>
          </w:r>
          <w:r w:rsidRPr="001757EB">
            <w:rPr>
              <w:rStyle w:val="normaltextrun"/>
              <w:rFonts w:ascii="Times New Roman" w:hAnsi="Times New Roman" w:cs="Times New Roman"/>
              <w:color w:val="000000"/>
              <w:sz w:val="20"/>
              <w:szCs w:val="20"/>
            </w:rPr>
            <w:fldChar w:fldCharType="separate"/>
          </w:r>
          <w:r w:rsidRPr="001757EB">
            <w:rPr>
              <w:rStyle w:val="normaltextrun"/>
              <w:rFonts w:ascii="Times New Roman" w:hAnsi="Times New Roman" w:cs="Times New Roman"/>
              <w:noProof/>
              <w:color w:val="000000"/>
              <w:sz w:val="20"/>
              <w:szCs w:val="20"/>
            </w:rPr>
            <w:t xml:space="preserve"> </w:t>
          </w:r>
          <w:r w:rsidRPr="001757EB">
            <w:rPr>
              <w:rFonts w:ascii="Times New Roman" w:hAnsi="Times New Roman" w:cs="Times New Roman"/>
              <w:noProof/>
              <w:color w:val="000000"/>
              <w:sz w:val="20"/>
              <w:szCs w:val="20"/>
            </w:rPr>
            <w:t>(DILG WSSPMO, 2016)</w:t>
          </w:r>
          <w:r w:rsidRPr="001757EB">
            <w:rPr>
              <w:rStyle w:val="normaltextrun"/>
              <w:rFonts w:ascii="Times New Roman" w:hAnsi="Times New Roman" w:cs="Times New Roman"/>
              <w:color w:val="000000"/>
              <w:sz w:val="20"/>
              <w:szCs w:val="20"/>
            </w:rPr>
            <w:fldChar w:fldCharType="end"/>
          </w:r>
        </w:sdtContent>
      </w:sdt>
      <w:r w:rsidRPr="001757EB">
        <w:rPr>
          <w:rStyle w:val="normaltextrun"/>
          <w:rFonts w:ascii="Times New Roman" w:hAnsi="Times New Roman" w:cs="Times New Roman"/>
          <w:color w:val="000000"/>
          <w:sz w:val="20"/>
          <w:szCs w:val="20"/>
        </w:rPr>
        <w:t xml:space="preserve"> &amp;</w:t>
      </w:r>
      <w:sdt>
        <w:sdtPr>
          <w:rPr>
            <w:rStyle w:val="normaltextrun"/>
            <w:rFonts w:ascii="Times New Roman" w:hAnsi="Times New Roman" w:cs="Times New Roman"/>
            <w:color w:val="000000"/>
            <w:sz w:val="20"/>
            <w:szCs w:val="20"/>
          </w:rPr>
          <w:id w:val="-986621683"/>
          <w:citation/>
        </w:sdtPr>
        <w:sdtContent>
          <w:r w:rsidRPr="001757EB">
            <w:rPr>
              <w:rStyle w:val="normaltextrun"/>
              <w:rFonts w:ascii="Times New Roman" w:hAnsi="Times New Roman" w:cs="Times New Roman"/>
              <w:color w:val="000000"/>
              <w:sz w:val="20"/>
              <w:szCs w:val="20"/>
            </w:rPr>
            <w:fldChar w:fldCharType="begin"/>
          </w:r>
          <w:r w:rsidRPr="001757EB">
            <w:rPr>
              <w:rStyle w:val="normaltextrun"/>
              <w:rFonts w:ascii="Times New Roman" w:hAnsi="Times New Roman" w:cs="Times New Roman"/>
              <w:color w:val="000000"/>
              <w:sz w:val="20"/>
              <w:szCs w:val="20"/>
            </w:rPr>
            <w:instrText xml:space="preserve"> CITATION NED171 \l 1033 </w:instrText>
          </w:r>
          <w:r w:rsidRPr="001757EB">
            <w:rPr>
              <w:rStyle w:val="normaltextrun"/>
              <w:rFonts w:ascii="Times New Roman" w:hAnsi="Times New Roman" w:cs="Times New Roman"/>
              <w:color w:val="000000"/>
              <w:sz w:val="20"/>
              <w:szCs w:val="20"/>
            </w:rPr>
            <w:fldChar w:fldCharType="separate"/>
          </w:r>
          <w:r w:rsidRPr="001757EB">
            <w:rPr>
              <w:rStyle w:val="normaltextrun"/>
              <w:rFonts w:ascii="Times New Roman" w:hAnsi="Times New Roman" w:cs="Times New Roman"/>
              <w:noProof/>
              <w:color w:val="000000"/>
              <w:sz w:val="20"/>
              <w:szCs w:val="20"/>
            </w:rPr>
            <w:t xml:space="preserve"> </w:t>
          </w:r>
          <w:r w:rsidRPr="001757EB">
            <w:rPr>
              <w:rFonts w:ascii="Times New Roman" w:hAnsi="Times New Roman" w:cs="Times New Roman"/>
              <w:noProof/>
              <w:color w:val="000000"/>
              <w:sz w:val="20"/>
              <w:szCs w:val="20"/>
            </w:rPr>
            <w:t>(NEDA, 2017)</w:t>
          </w:r>
          <w:r w:rsidRPr="001757EB">
            <w:rPr>
              <w:rStyle w:val="normaltextrun"/>
              <w:rFonts w:ascii="Times New Roman" w:hAnsi="Times New Roman" w:cs="Times New Roman"/>
              <w:color w:val="000000"/>
              <w:sz w:val="20"/>
              <w:szCs w:val="20"/>
            </w:rPr>
            <w:fldChar w:fldCharType="end"/>
          </w:r>
        </w:sdtContent>
      </w:sdt>
      <w:r w:rsidRPr="001757EB">
        <w:rPr>
          <w:rStyle w:val="normaltextrun"/>
          <w:rFonts w:ascii="Times New Roman" w:hAnsi="Times New Roman" w:cs="Times New Roman"/>
          <w:color w:val="000000"/>
          <w:sz w:val="20"/>
          <w:szCs w:val="20"/>
        </w:rPr>
        <w:t>)</w:t>
      </w:r>
      <w:r w:rsidRPr="001757EB">
        <w:rPr>
          <w:rFonts w:ascii="Times New Roman" w:hAnsi="Times New Roman" w:cs="Times New Roman"/>
          <w:sz w:val="20"/>
          <w:szCs w:val="20"/>
        </w:rPr>
        <w:t>. Fragmentation of structures, policies, and programs on safe water, sanitation, and hygiene at the national and local levels only exacerbates these problems, resulting in uncoordinated and ambiguous policies for the sector</w:t>
      </w:r>
      <w:sdt>
        <w:sdtPr>
          <w:id w:val="185875782"/>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 CITATION UND21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 xml:space="preserve"> (UNDP, 2021)</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 Moreover, the “Philippine Water Supply and Sanitation Masterplan, 2019-2030” (PWSSMP) identified eight reform areas, that is: [1.] Establishing effective WSS sector institutions; [2.] Strengthening regulatory environment; [3.] Creating and Ensuring effective WSS Services; [4.] Balancing Water Supply and Demand; [5.] Building climate resiliency; [6.] Enabling access to funding and financing; [7.] Managing data and information: and [8.] Driving research and development</w:t>
      </w:r>
      <w:sdt>
        <w:sdtPr>
          <w:id w:val="-134410099"/>
          <w:citation/>
        </w:sdtPr>
        <w:sdtContent>
          <w:r w:rsidRPr="001757EB">
            <w:rPr>
              <w:rFonts w:ascii="Times New Roman" w:hAnsi="Times New Roman" w:cs="Times New Roman"/>
              <w:sz w:val="20"/>
              <w:szCs w:val="20"/>
            </w:rPr>
            <w:fldChar w:fldCharType="begin"/>
          </w:r>
          <w:r w:rsidRPr="001757EB">
            <w:rPr>
              <w:rFonts w:ascii="Times New Roman" w:hAnsi="Times New Roman" w:cs="Times New Roman"/>
              <w:sz w:val="20"/>
              <w:szCs w:val="20"/>
            </w:rPr>
            <w:instrText xml:space="preserve"> CITATION PWS \l 1033 </w:instrText>
          </w:r>
          <w:r w:rsidRPr="001757EB">
            <w:rPr>
              <w:rFonts w:ascii="Times New Roman" w:hAnsi="Times New Roman" w:cs="Times New Roman"/>
              <w:sz w:val="20"/>
              <w:szCs w:val="20"/>
            </w:rPr>
            <w:fldChar w:fldCharType="separate"/>
          </w:r>
          <w:r w:rsidRPr="001757EB">
            <w:rPr>
              <w:rFonts w:ascii="Times New Roman" w:hAnsi="Times New Roman" w:cs="Times New Roman"/>
              <w:noProof/>
              <w:sz w:val="20"/>
              <w:szCs w:val="20"/>
            </w:rPr>
            <w:t xml:space="preserve"> (PWSSMP 2019-2030)</w:t>
          </w:r>
          <w:r w:rsidRPr="001757EB">
            <w:rPr>
              <w:rFonts w:ascii="Times New Roman" w:hAnsi="Times New Roman" w:cs="Times New Roman"/>
              <w:sz w:val="20"/>
              <w:szCs w:val="20"/>
            </w:rPr>
            <w:fldChar w:fldCharType="end"/>
          </w:r>
        </w:sdtContent>
      </w:sdt>
      <w:r w:rsidRPr="001757EB">
        <w:rPr>
          <w:rFonts w:ascii="Times New Roman" w:hAnsi="Times New Roman" w:cs="Times New Roman"/>
          <w:sz w:val="20"/>
          <w:szCs w:val="20"/>
        </w:rPr>
        <w:t>.</w:t>
      </w:r>
    </w:p>
    <w:p w14:paraId="363337AD" w14:textId="77777777" w:rsidR="001757EB" w:rsidRPr="001757EB" w:rsidRDefault="001757EB" w:rsidP="00EB4411">
      <w:pPr>
        <w:pStyle w:val="ListParagraph"/>
        <w:spacing w:before="100" w:beforeAutospacing="1" w:after="100" w:afterAutospacing="1" w:line="240" w:lineRule="auto"/>
        <w:ind w:left="360"/>
        <w:jc w:val="both"/>
        <w:rPr>
          <w:rFonts w:ascii="Times New Roman" w:hAnsi="Times New Roman" w:cs="Times New Roman"/>
          <w:sz w:val="20"/>
          <w:szCs w:val="20"/>
        </w:rPr>
      </w:pPr>
    </w:p>
    <w:p w14:paraId="65EBBCAA" w14:textId="77777777" w:rsidR="001757EB" w:rsidRDefault="001757EB" w:rsidP="00EB4411">
      <w:pPr>
        <w:pStyle w:val="ListParagraph"/>
        <w:spacing w:before="100" w:beforeAutospacing="1" w:after="100" w:afterAutospacing="1" w:line="240" w:lineRule="auto"/>
        <w:ind w:left="360" w:firstLine="360"/>
        <w:jc w:val="both"/>
        <w:rPr>
          <w:rFonts w:ascii="Times New Roman" w:hAnsi="Times New Roman" w:cs="Times New Roman"/>
          <w:sz w:val="20"/>
          <w:szCs w:val="20"/>
        </w:rPr>
      </w:pPr>
      <w:r w:rsidRPr="001757EB">
        <w:rPr>
          <w:rFonts w:ascii="Times New Roman" w:hAnsi="Times New Roman" w:cs="Times New Roman"/>
          <w:sz w:val="20"/>
          <w:szCs w:val="20"/>
        </w:rPr>
        <w:t>This examines how a Philippine local government unit delivers water as a basic service in the decentralized framework. The study also responds to the following queries: (1.) What are local governments used for, and what role do they play in local water supply? (2.) How do LGUs ensure that there is an adequate and effective water supply for both the present and future populations? (3.) Do local and national government organization’s roles mandates overlap in any ways? (4.) What are the implications of these for providing water services, and how they influence providing water services?</w:t>
      </w:r>
    </w:p>
    <w:p w14:paraId="0758B212" w14:textId="77777777" w:rsidR="00E00577" w:rsidRPr="001757EB" w:rsidRDefault="00E00577" w:rsidP="00EB4411">
      <w:pPr>
        <w:pStyle w:val="ListParagraph"/>
        <w:spacing w:before="100" w:beforeAutospacing="1" w:after="100" w:afterAutospacing="1" w:line="240" w:lineRule="auto"/>
        <w:ind w:left="360" w:firstLine="360"/>
        <w:jc w:val="both"/>
        <w:rPr>
          <w:rFonts w:ascii="Times New Roman" w:hAnsi="Times New Roman" w:cs="Times New Roman"/>
          <w:sz w:val="20"/>
          <w:szCs w:val="20"/>
        </w:rPr>
      </w:pPr>
    </w:p>
    <w:p w14:paraId="7A033264" w14:textId="77777777" w:rsidR="00DA52F4" w:rsidRDefault="00DA52F4" w:rsidP="00EB4411">
      <w:pPr>
        <w:pStyle w:val="ListParagraph"/>
        <w:numPr>
          <w:ilvl w:val="0"/>
          <w:numId w:val="21"/>
        </w:numPr>
        <w:spacing w:before="100" w:beforeAutospacing="1" w:after="100" w:afterAutospacing="1"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88DCF86" w14:textId="77777777" w:rsidR="00E00577" w:rsidRDefault="00E00577" w:rsidP="00EB4411">
      <w:pPr>
        <w:pStyle w:val="ListParagraph"/>
        <w:spacing w:before="100" w:beforeAutospacing="1" w:after="100" w:afterAutospacing="1" w:line="240" w:lineRule="auto"/>
        <w:ind w:left="360"/>
        <w:rPr>
          <w:rFonts w:ascii="Times New Roman" w:hAnsi="Times New Roman" w:cs="Times New Roman"/>
          <w:b/>
          <w:bCs/>
          <w:color w:val="000000" w:themeColor="text1"/>
          <w:sz w:val="24"/>
          <w:szCs w:val="24"/>
        </w:rPr>
      </w:pPr>
    </w:p>
    <w:p w14:paraId="5CFA8DDA" w14:textId="77777777" w:rsidR="00E00577" w:rsidRPr="00E00577" w:rsidRDefault="00E00577" w:rsidP="00EB4411">
      <w:pPr>
        <w:pStyle w:val="ListParagraph"/>
        <w:spacing w:before="100" w:beforeAutospacing="1" w:after="100" w:afterAutospacing="1" w:line="240" w:lineRule="auto"/>
        <w:ind w:left="360" w:firstLine="360"/>
        <w:jc w:val="both"/>
        <w:rPr>
          <w:rFonts w:ascii="Times New Roman" w:hAnsi="Times New Roman" w:cs="Times New Roman"/>
          <w:sz w:val="20"/>
          <w:szCs w:val="20"/>
        </w:rPr>
      </w:pPr>
      <w:r w:rsidRPr="00E00577">
        <w:rPr>
          <w:rFonts w:ascii="Times New Roman" w:hAnsi="Times New Roman" w:cs="Times New Roman"/>
          <w:sz w:val="20"/>
          <w:szCs w:val="20"/>
        </w:rPr>
        <w:t>This study was carried out utilizing an approach by online data collection as adaptation in conducting quantitative and qualitative research during the covid-19 pandemic</w:t>
      </w:r>
      <w:sdt>
        <w:sdtPr>
          <w:id w:val="-1438523266"/>
          <w:citation/>
        </w:sdtPr>
        <w:sdtContent>
          <w:r w:rsidRPr="00E00577">
            <w:rPr>
              <w:rFonts w:ascii="Times New Roman" w:hAnsi="Times New Roman" w:cs="Times New Roman"/>
              <w:sz w:val="20"/>
              <w:szCs w:val="20"/>
            </w:rPr>
            <w:fldChar w:fldCharType="begin"/>
          </w:r>
          <w:r w:rsidRPr="00E00577">
            <w:rPr>
              <w:rFonts w:ascii="Times New Roman" w:hAnsi="Times New Roman" w:cs="Times New Roman"/>
              <w:sz w:val="20"/>
              <w:szCs w:val="20"/>
            </w:rPr>
            <w:instrText xml:space="preserve">CITATION Moi20 \l 1033 </w:instrText>
          </w:r>
          <w:r w:rsidRPr="00E00577">
            <w:rPr>
              <w:rFonts w:ascii="Times New Roman" w:hAnsi="Times New Roman" w:cs="Times New Roman"/>
              <w:sz w:val="20"/>
              <w:szCs w:val="20"/>
            </w:rPr>
            <w:fldChar w:fldCharType="separate"/>
          </w:r>
          <w:r w:rsidRPr="00E00577">
            <w:rPr>
              <w:rFonts w:ascii="Times New Roman" w:hAnsi="Times New Roman" w:cs="Times New Roman"/>
              <w:noProof/>
              <w:sz w:val="20"/>
              <w:szCs w:val="20"/>
            </w:rPr>
            <w:t xml:space="preserve"> (Torrentira, M., 2020)</w:t>
          </w:r>
          <w:r w:rsidRPr="00E00577">
            <w:rPr>
              <w:rFonts w:ascii="Times New Roman" w:hAnsi="Times New Roman" w:cs="Times New Roman"/>
              <w:sz w:val="20"/>
              <w:szCs w:val="20"/>
            </w:rPr>
            <w:fldChar w:fldCharType="end"/>
          </w:r>
        </w:sdtContent>
      </w:sdt>
      <w:r w:rsidRPr="00E00577">
        <w:rPr>
          <w:rFonts w:ascii="Times New Roman" w:hAnsi="Times New Roman" w:cs="Times New Roman"/>
          <w:sz w:val="20"/>
          <w:szCs w:val="20"/>
        </w:rPr>
        <w:t xml:space="preserve">. Key informant interviews have been conducted via online audio and/or video discussion from a IP/resident in the municipality, a regular employee of the local government unit of New Bataan, Davao de Oro, a member of Board of Directors of (New Bataan Water Services Cooperative) NEBAWASCO, and some of the co-engineers of the researcher at Davao City Water District to gather the necessary background information on the issues from the water governance sectors. Understanding the governing legal structure for water districts and how local water districts operate was done as part of the qualitative review. </w:t>
      </w:r>
    </w:p>
    <w:p w14:paraId="39D585D4" w14:textId="77777777" w:rsidR="00E00577" w:rsidRPr="001E51F3" w:rsidRDefault="00E00577" w:rsidP="00EB4411">
      <w:pPr>
        <w:pStyle w:val="ListParagraph"/>
        <w:spacing w:before="100" w:beforeAutospacing="1" w:after="100" w:afterAutospacing="1" w:line="240" w:lineRule="auto"/>
        <w:ind w:left="360"/>
        <w:rPr>
          <w:rFonts w:ascii="Times New Roman" w:hAnsi="Times New Roman" w:cs="Times New Roman"/>
          <w:b/>
          <w:bCs/>
          <w:color w:val="000000" w:themeColor="text1"/>
          <w:sz w:val="24"/>
          <w:szCs w:val="24"/>
        </w:rPr>
      </w:pPr>
    </w:p>
    <w:p w14:paraId="28BEF44C" w14:textId="3757AA9F" w:rsidR="00E00577" w:rsidRPr="00EB4411" w:rsidRDefault="00E00577" w:rsidP="00EB4411">
      <w:pPr>
        <w:pStyle w:val="ListParagraph"/>
        <w:numPr>
          <w:ilvl w:val="0"/>
          <w:numId w:val="21"/>
        </w:numPr>
        <w:spacing w:before="100" w:beforeAutospacing="1" w:after="100" w:afterAutospacing="1"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 AND DISCUSSION</w:t>
      </w:r>
    </w:p>
    <w:p w14:paraId="69592722" w14:textId="71F2523C" w:rsidR="00E00577" w:rsidRPr="00E00577" w:rsidRDefault="00E00577" w:rsidP="00EB4411">
      <w:pPr>
        <w:spacing w:before="100" w:beforeAutospacing="1" w:after="100" w:afterAutospacing="1" w:line="240" w:lineRule="auto"/>
        <w:jc w:val="both"/>
        <w:rPr>
          <w:rFonts w:ascii="Times New Roman" w:hAnsi="Times New Roman" w:cs="Times New Roman"/>
          <w:sz w:val="20"/>
          <w:szCs w:val="20"/>
          <w:u w:val="single"/>
        </w:rPr>
      </w:pPr>
      <w:r w:rsidRPr="00E00577">
        <w:rPr>
          <w:rFonts w:ascii="Times New Roman" w:hAnsi="Times New Roman" w:cs="Times New Roman"/>
          <w:sz w:val="20"/>
          <w:szCs w:val="20"/>
          <w:u w:val="single"/>
        </w:rPr>
        <w:t xml:space="preserve">Local Water Governance </w:t>
      </w:r>
    </w:p>
    <w:p w14:paraId="425D0CC4" w14:textId="34A66359" w:rsidR="00E00577" w:rsidRDefault="00E00577" w:rsidP="00EB4411">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The Philippines has at least seven (7) legal frameworks governing the water sector</w:t>
      </w:r>
      <w:sdt>
        <w:sdtPr>
          <w:rPr>
            <w:rFonts w:ascii="Times New Roman" w:hAnsi="Times New Roman" w:cs="Times New Roman"/>
            <w:sz w:val="20"/>
            <w:szCs w:val="20"/>
          </w:rPr>
          <w:id w:val="11114594"/>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Agn15 \l 1033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094315">
            <w:rPr>
              <w:rFonts w:ascii="Times New Roman" w:hAnsi="Times New Roman" w:cs="Times New Roman"/>
              <w:noProof/>
              <w:sz w:val="20"/>
              <w:szCs w:val="20"/>
            </w:rPr>
            <w:t>(Rola, et al., 2015)</w:t>
          </w:r>
          <w:r>
            <w:rPr>
              <w:rFonts w:ascii="Times New Roman" w:hAnsi="Times New Roman" w:cs="Times New Roman"/>
              <w:sz w:val="20"/>
              <w:szCs w:val="20"/>
            </w:rPr>
            <w:fldChar w:fldCharType="end"/>
          </w:r>
        </w:sdtContent>
      </w:sdt>
      <w:r>
        <w:rPr>
          <w:rFonts w:ascii="Times New Roman" w:hAnsi="Times New Roman" w:cs="Times New Roman"/>
          <w:sz w:val="20"/>
          <w:szCs w:val="20"/>
        </w:rPr>
        <w:t>. These are: P.D. 1067 Water Code of 1976; P.D. 198 Provincial Water Utilities Act of 1973; P.D. 522 of 1974; Republic Act 7586 or the National Integrated Protected Area System Act of 1992; Republic Act 8041 or the National Water Crisis Act of 1995; Republic Act 8371 or the Indigenous Peoples Rights Act of 1997; and Republic Act 9275 or the Philippine Clean Water Act of 2004.  The Water Code of the Philippines, which covers the entire water sector, is the fundamental law governing the ownership, appropriation, utilization, exploitation, development, conservation, and protection of water resources</w:t>
      </w:r>
      <w:sdt>
        <w:sdtPr>
          <w:rPr>
            <w:rFonts w:ascii="Times New Roman" w:hAnsi="Times New Roman" w:cs="Times New Roman"/>
            <w:sz w:val="20"/>
            <w:szCs w:val="20"/>
          </w:rPr>
          <w:id w:val="-773322884"/>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NWR76 \l 1033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094315">
            <w:rPr>
              <w:rFonts w:ascii="Times New Roman" w:hAnsi="Times New Roman" w:cs="Times New Roman"/>
              <w:noProof/>
              <w:sz w:val="20"/>
              <w:szCs w:val="20"/>
            </w:rPr>
            <w:t>(NWRB, 1976)</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w:t>
      </w:r>
      <w:r w:rsidRPr="008F2605">
        <w:rPr>
          <w:rFonts w:ascii="Times New Roman" w:hAnsi="Times New Roman" w:cs="Times New Roman"/>
          <w:sz w:val="20"/>
          <w:szCs w:val="20"/>
        </w:rPr>
        <w:t>The seven laws address how water resources are treated legally, property rights, legalized inter-sectoral prioritization and the basis for prioritization, legal linkages between land and surface water and between land and forest and/or environment, inter-governmental responsibility for the water law, which means many agencies promote the law, combining the water law with other laws on land, forest, and environment, and for water planning and development</w:t>
      </w:r>
      <w:sdt>
        <w:sdtPr>
          <w:rPr>
            <w:rFonts w:ascii="Times New Roman" w:hAnsi="Times New Roman" w:cs="Times New Roman"/>
            <w:sz w:val="20"/>
            <w:szCs w:val="20"/>
          </w:rPr>
          <w:id w:val="1284777441"/>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Hal141 \l 1033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094315">
            <w:rPr>
              <w:rFonts w:ascii="Times New Roman" w:hAnsi="Times New Roman" w:cs="Times New Roman"/>
              <w:noProof/>
              <w:sz w:val="20"/>
              <w:szCs w:val="20"/>
            </w:rPr>
            <w:t>(Hall, 2014)</w:t>
          </w:r>
          <w:r>
            <w:rPr>
              <w:rFonts w:ascii="Times New Roman" w:hAnsi="Times New Roman" w:cs="Times New Roman"/>
              <w:sz w:val="20"/>
              <w:szCs w:val="20"/>
            </w:rPr>
            <w:fldChar w:fldCharType="end"/>
          </w:r>
        </w:sdtContent>
      </w:sdt>
      <w:r>
        <w:rPr>
          <w:rFonts w:ascii="Times New Roman" w:hAnsi="Times New Roman" w:cs="Times New Roman"/>
          <w:sz w:val="20"/>
          <w:szCs w:val="20"/>
        </w:rPr>
        <w:t>. At least a dozen national water-related bodies are responsible for carrying out all these regulations, which results in a fragmented decisions to water planning, implementation, and compliance. For local water governance, the decisions, and actions of LGUs are still bound by mandates at the national level and have been a source of conflict between the two bodies</w:t>
      </w:r>
      <w:sdt>
        <w:sdtPr>
          <w:rPr>
            <w:rFonts w:ascii="Times New Roman" w:hAnsi="Times New Roman" w:cs="Times New Roman"/>
            <w:sz w:val="20"/>
            <w:szCs w:val="20"/>
          </w:rPr>
          <w:id w:val="218332923"/>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Agn15 \l 1033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094315">
            <w:rPr>
              <w:rFonts w:ascii="Times New Roman" w:hAnsi="Times New Roman" w:cs="Times New Roman"/>
              <w:noProof/>
              <w:sz w:val="20"/>
              <w:szCs w:val="20"/>
            </w:rPr>
            <w:t>(Rola, et al., 2015)</w:t>
          </w:r>
          <w:r>
            <w:rPr>
              <w:rFonts w:ascii="Times New Roman" w:hAnsi="Times New Roman" w:cs="Times New Roman"/>
              <w:sz w:val="20"/>
              <w:szCs w:val="20"/>
            </w:rPr>
            <w:fldChar w:fldCharType="end"/>
          </w:r>
        </w:sdtContent>
      </w:sdt>
      <w:r>
        <w:rPr>
          <w:rFonts w:ascii="Times New Roman" w:hAnsi="Times New Roman" w:cs="Times New Roman"/>
          <w:sz w:val="20"/>
          <w:szCs w:val="20"/>
        </w:rPr>
        <w:t xml:space="preserve">. </w:t>
      </w:r>
    </w:p>
    <w:p w14:paraId="5FDF4E97" w14:textId="27216A12" w:rsidR="00E00577" w:rsidRDefault="00E00577" w:rsidP="00EB4411">
      <w:pPr>
        <w:spacing w:before="100" w:beforeAutospacing="1" w:after="100" w:afterAutospacing="1"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There may be situations when the laws mentioned above contradict. For instance, while the Indigenous People’s Rights Act safeguards the rights of indigenous people about resources found in their ancestral domain, the Water Code mandates that the state owns all the Nation’s water. In New Bataan, where majority of the tribes are Mandaya, they favor the traditional method of using natural, </w:t>
      </w:r>
      <w:proofErr w:type="gramStart"/>
      <w:r>
        <w:rPr>
          <w:rFonts w:ascii="Times New Roman" w:hAnsi="Times New Roman" w:cs="Times New Roman"/>
          <w:sz w:val="20"/>
          <w:szCs w:val="20"/>
        </w:rPr>
        <w:t>untreated</w:t>
      </w:r>
      <w:proofErr w:type="gramEnd"/>
      <w:r>
        <w:rPr>
          <w:rFonts w:ascii="Times New Roman" w:hAnsi="Times New Roman" w:cs="Times New Roman"/>
          <w:sz w:val="20"/>
          <w:szCs w:val="20"/>
        </w:rPr>
        <w:t xml:space="preserve"> and unsafe water from Mount </w:t>
      </w:r>
      <w:proofErr w:type="spellStart"/>
      <w:r>
        <w:rPr>
          <w:rFonts w:ascii="Times New Roman" w:hAnsi="Times New Roman" w:cs="Times New Roman"/>
          <w:sz w:val="20"/>
          <w:szCs w:val="20"/>
        </w:rPr>
        <w:t>Tagubud’s</w:t>
      </w:r>
      <w:proofErr w:type="spellEnd"/>
      <w:r>
        <w:rPr>
          <w:rFonts w:ascii="Times New Roman" w:hAnsi="Times New Roman" w:cs="Times New Roman"/>
          <w:sz w:val="20"/>
          <w:szCs w:val="20"/>
        </w:rPr>
        <w:t xml:space="preserve"> watersheds because they feel a sense of ownership to the natural resources they have experienced.  As a result, there are limitations on how the LGU can improve, particularly in terms of building an innovative water distribution network and watershed protection. This is confirmed that conflicts over water rights between indigenous cultural communities and local government units acting on behalf of the state are a tangible example of the tension in water governance in the Philippines</w:t>
      </w:r>
      <w:sdt>
        <w:sdtPr>
          <w:rPr>
            <w:rFonts w:ascii="Times New Roman" w:hAnsi="Times New Roman" w:cs="Times New Roman"/>
            <w:sz w:val="20"/>
            <w:szCs w:val="20"/>
          </w:rPr>
          <w:id w:val="1907022783"/>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 CITATION Agn11 \l 1033 </w:instrText>
          </w:r>
          <w:r>
            <w:rPr>
              <w:rFonts w:ascii="Times New Roman" w:hAnsi="Times New Roman" w:cs="Times New Roman"/>
              <w:sz w:val="20"/>
              <w:szCs w:val="20"/>
            </w:rPr>
            <w:fldChar w:fldCharType="separate"/>
          </w:r>
          <w:r>
            <w:rPr>
              <w:rFonts w:ascii="Times New Roman" w:hAnsi="Times New Roman" w:cs="Times New Roman"/>
              <w:noProof/>
              <w:sz w:val="20"/>
              <w:szCs w:val="20"/>
            </w:rPr>
            <w:t xml:space="preserve"> </w:t>
          </w:r>
          <w:r w:rsidRPr="00094315">
            <w:rPr>
              <w:rFonts w:ascii="Times New Roman" w:hAnsi="Times New Roman" w:cs="Times New Roman"/>
              <w:noProof/>
              <w:sz w:val="20"/>
              <w:szCs w:val="20"/>
            </w:rPr>
            <w:t>(Rola, 2011)</w:t>
          </w:r>
          <w:r>
            <w:rPr>
              <w:rFonts w:ascii="Times New Roman" w:hAnsi="Times New Roman" w:cs="Times New Roman"/>
              <w:sz w:val="20"/>
              <w:szCs w:val="20"/>
            </w:rPr>
            <w:fldChar w:fldCharType="end"/>
          </w:r>
        </w:sdtContent>
      </w:sdt>
      <w:r>
        <w:rPr>
          <w:rFonts w:ascii="Times New Roman" w:hAnsi="Times New Roman" w:cs="Times New Roman"/>
          <w:sz w:val="20"/>
          <w:szCs w:val="20"/>
        </w:rPr>
        <w:t>.</w:t>
      </w:r>
    </w:p>
    <w:p w14:paraId="10E00507" w14:textId="47EEF128" w:rsidR="00E00577" w:rsidRPr="00E00577" w:rsidRDefault="00E00577" w:rsidP="00EB4411">
      <w:pPr>
        <w:spacing w:before="100" w:beforeAutospacing="1" w:after="100" w:afterAutospacing="1" w:line="240" w:lineRule="auto"/>
        <w:jc w:val="both"/>
        <w:rPr>
          <w:rFonts w:ascii="Times New Roman" w:hAnsi="Times New Roman" w:cs="Times New Roman"/>
          <w:sz w:val="20"/>
          <w:szCs w:val="20"/>
          <w:u w:val="single"/>
        </w:rPr>
      </w:pPr>
      <w:r w:rsidRPr="00E00577">
        <w:rPr>
          <w:rFonts w:ascii="Times New Roman" w:hAnsi="Times New Roman" w:cs="Times New Roman"/>
          <w:sz w:val="20"/>
          <w:szCs w:val="20"/>
          <w:u w:val="single"/>
        </w:rPr>
        <w:t>Conflicts on Water Use</w:t>
      </w:r>
    </w:p>
    <w:p w14:paraId="5996EDAD" w14:textId="612371F7" w:rsidR="00E00577" w:rsidRDefault="00E00577" w:rsidP="00EB4411">
      <w:pPr>
        <w:spacing w:before="100" w:beforeAutospacing="1" w:after="100" w:afterAutospacing="1"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abundance and richness of the surface water source coming from the sheds of Mt. </w:t>
      </w:r>
      <w:proofErr w:type="spellStart"/>
      <w:r>
        <w:rPr>
          <w:rFonts w:ascii="Times New Roman" w:hAnsi="Times New Roman" w:cs="Times New Roman"/>
          <w:sz w:val="20"/>
          <w:szCs w:val="20"/>
        </w:rPr>
        <w:t>Tagubud</w:t>
      </w:r>
      <w:proofErr w:type="spellEnd"/>
      <w:r>
        <w:rPr>
          <w:rFonts w:ascii="Times New Roman" w:hAnsi="Times New Roman" w:cs="Times New Roman"/>
          <w:sz w:val="20"/>
          <w:szCs w:val="20"/>
        </w:rPr>
        <w:t xml:space="preserve"> had attested by the researcher. Additionally, local government officials are concentrating more on how they will build inland spring resorts to exhibit the beauty of their municipality. One of the first resorts being built close to Mt. </w:t>
      </w:r>
      <w:proofErr w:type="spellStart"/>
      <w:r>
        <w:rPr>
          <w:rFonts w:ascii="Times New Roman" w:hAnsi="Times New Roman" w:cs="Times New Roman"/>
          <w:sz w:val="20"/>
          <w:szCs w:val="20"/>
        </w:rPr>
        <w:t>Tagubud’s</w:t>
      </w:r>
      <w:proofErr w:type="spellEnd"/>
      <w:r>
        <w:rPr>
          <w:rFonts w:ascii="Times New Roman" w:hAnsi="Times New Roman" w:cs="Times New Roman"/>
          <w:sz w:val="20"/>
          <w:szCs w:val="20"/>
        </w:rPr>
        <w:t xml:space="preserve"> abutments is the Bamboo </w:t>
      </w:r>
      <w:r>
        <w:rPr>
          <w:rFonts w:ascii="Times New Roman" w:hAnsi="Times New Roman" w:cs="Times New Roman"/>
          <w:sz w:val="20"/>
          <w:szCs w:val="20"/>
        </w:rPr>
        <w:lastRenderedPageBreak/>
        <w:t xml:space="preserve">Inland Spring Resort. It contains three spring resorts in total, all of which were severely damaged by typhoon Pablo in 2012, partially repaired in 2014, and fully operates until present. </w:t>
      </w:r>
    </w:p>
    <w:p w14:paraId="513CB30F" w14:textId="27D808D8" w:rsidR="00E00577" w:rsidRDefault="00E00577" w:rsidP="00EB4411">
      <w:pPr>
        <w:spacing w:before="100" w:beforeAutospacing="1" w:after="100" w:afterAutospacing="1"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issue with this water use is that over the course of their operations, they never once obtained a water permit that would have served as a water rights mechanism for allocating water resources. The free water source of Mt. </w:t>
      </w:r>
      <w:proofErr w:type="spellStart"/>
      <w:r>
        <w:rPr>
          <w:rFonts w:ascii="Times New Roman" w:hAnsi="Times New Roman" w:cs="Times New Roman"/>
          <w:sz w:val="20"/>
          <w:szCs w:val="20"/>
        </w:rPr>
        <w:t>Tagubud</w:t>
      </w:r>
      <w:proofErr w:type="spellEnd"/>
      <w:r>
        <w:rPr>
          <w:rFonts w:ascii="Times New Roman" w:hAnsi="Times New Roman" w:cs="Times New Roman"/>
          <w:sz w:val="20"/>
          <w:szCs w:val="20"/>
        </w:rPr>
        <w:t xml:space="preserve"> is currently being used by a lot of private inland resorts and natural parks, which also goes up against the interests of some of the Mandaya tribe. The LGU was also aware that these inland spring resorts would bring income and promote the tourism industry, but the necessity to address inhabitants’ access to safe clean water has been overlooked.  </w:t>
      </w:r>
    </w:p>
    <w:p w14:paraId="515EDC78" w14:textId="25D80077" w:rsidR="00E00577" w:rsidRPr="00E00577" w:rsidRDefault="00E00577" w:rsidP="00EB4411">
      <w:pPr>
        <w:spacing w:before="100" w:beforeAutospacing="1" w:after="100" w:afterAutospacing="1" w:line="240" w:lineRule="auto"/>
        <w:jc w:val="both"/>
        <w:rPr>
          <w:rFonts w:ascii="Times New Roman" w:hAnsi="Times New Roman" w:cs="Times New Roman"/>
          <w:sz w:val="20"/>
          <w:szCs w:val="20"/>
          <w:u w:val="single"/>
        </w:rPr>
      </w:pPr>
      <w:r w:rsidRPr="00E00577">
        <w:rPr>
          <w:rFonts w:ascii="Times New Roman" w:hAnsi="Times New Roman" w:cs="Times New Roman"/>
          <w:sz w:val="20"/>
          <w:szCs w:val="20"/>
          <w:u w:val="single"/>
        </w:rPr>
        <w:t>Infrastructure Prioritization</w:t>
      </w:r>
    </w:p>
    <w:p w14:paraId="2ABE02C9" w14:textId="465FE917" w:rsidR="00EB4411" w:rsidRPr="00E00577" w:rsidRDefault="00E00577" w:rsidP="00EB4411">
      <w:pPr>
        <w:spacing w:before="100" w:beforeAutospacing="1" w:after="100" w:afterAutospacing="1" w:line="240" w:lineRule="auto"/>
        <w:ind w:firstLine="360"/>
        <w:jc w:val="both"/>
        <w:rPr>
          <w:rFonts w:ascii="Times New Roman" w:hAnsi="Times New Roman" w:cs="Times New Roman"/>
          <w:sz w:val="20"/>
          <w:szCs w:val="20"/>
        </w:rPr>
      </w:pPr>
      <w:r>
        <w:rPr>
          <w:rFonts w:ascii="Times New Roman" w:hAnsi="Times New Roman" w:cs="Times New Roman"/>
          <w:sz w:val="20"/>
          <w:szCs w:val="20"/>
        </w:rPr>
        <w:t>The vision of the Municipality is to be an economically improved and empowered community with healthy ecosystem managed in partnership by motivated public servants, climate change adaptive and disaster resilient community, supported by adequate infrastructure within the context of sustainable development.</w:t>
      </w:r>
      <w:r w:rsidRPr="00511915">
        <w:rPr>
          <w:rFonts w:ascii="Times New Roman" w:hAnsi="Times New Roman" w:cs="Times New Roman"/>
          <w:sz w:val="20"/>
          <w:szCs w:val="20"/>
        </w:rPr>
        <w:t xml:space="preserve"> </w:t>
      </w:r>
      <w:r>
        <w:rPr>
          <w:rFonts w:ascii="Times New Roman" w:hAnsi="Times New Roman" w:cs="Times New Roman"/>
          <w:sz w:val="20"/>
          <w:szCs w:val="20"/>
        </w:rPr>
        <w:t xml:space="preserve">It was revealed that most of the huge amount of budget that has been granted from national and counterparts with other stakeholders is allocated mainly to road networks, flood control systems, building/school buildings, slaughterhouses, and other public structures.   </w:t>
      </w:r>
      <w:sdt>
        <w:sdtPr>
          <w:rPr>
            <w:rFonts w:ascii="Times New Roman" w:hAnsi="Times New Roman" w:cs="Times New Roman"/>
            <w:sz w:val="20"/>
            <w:szCs w:val="20"/>
          </w:rPr>
          <w:id w:val="1391542500"/>
          <w:citation/>
        </w:sdtPr>
        <w:sdtContent>
          <w:r>
            <w:rPr>
              <w:rFonts w:ascii="Times New Roman" w:hAnsi="Times New Roman" w:cs="Times New Roman"/>
              <w:sz w:val="20"/>
              <w:szCs w:val="20"/>
            </w:rPr>
            <w:fldChar w:fldCharType="begin"/>
          </w:r>
          <w:r>
            <w:rPr>
              <w:rFonts w:ascii="Times New Roman" w:hAnsi="Times New Roman" w:cs="Times New Roman"/>
              <w:sz w:val="20"/>
              <w:szCs w:val="20"/>
            </w:rPr>
            <w:instrText xml:space="preserve">CITATION REP21 \l 1033 </w:instrText>
          </w:r>
          <w:r>
            <w:rPr>
              <w:rFonts w:ascii="Times New Roman" w:hAnsi="Times New Roman" w:cs="Times New Roman"/>
              <w:sz w:val="20"/>
              <w:szCs w:val="20"/>
            </w:rPr>
            <w:fldChar w:fldCharType="separate"/>
          </w:r>
          <w:r w:rsidRPr="00094315">
            <w:rPr>
              <w:rFonts w:ascii="Times New Roman" w:hAnsi="Times New Roman" w:cs="Times New Roman"/>
              <w:noProof/>
              <w:sz w:val="20"/>
              <w:szCs w:val="20"/>
            </w:rPr>
            <w:t>(COA, 2021)</w:t>
          </w:r>
          <w:r>
            <w:rPr>
              <w:rFonts w:ascii="Times New Roman" w:hAnsi="Times New Roman" w:cs="Times New Roman"/>
              <w:sz w:val="20"/>
              <w:szCs w:val="20"/>
            </w:rPr>
            <w:fldChar w:fldCharType="end"/>
          </w:r>
        </w:sdtContent>
      </w:sdt>
      <w:r>
        <w:rPr>
          <w:rFonts w:ascii="Times New Roman" w:hAnsi="Times New Roman" w:cs="Times New Roman"/>
          <w:sz w:val="20"/>
          <w:szCs w:val="20"/>
        </w:rPr>
        <w:t>.</w:t>
      </w:r>
    </w:p>
    <w:p w14:paraId="09CE6E42" w14:textId="65329A4B" w:rsidR="00E00577" w:rsidRPr="00EB4411" w:rsidRDefault="00DA52F4" w:rsidP="00EB4411">
      <w:pPr>
        <w:pStyle w:val="ListParagraph"/>
        <w:numPr>
          <w:ilvl w:val="0"/>
          <w:numId w:val="21"/>
        </w:numPr>
        <w:spacing w:before="100" w:beforeAutospacing="1" w:after="100" w:afterAutospacing="1" w:line="240" w:lineRule="auto"/>
        <w:jc w:val="both"/>
        <w:rPr>
          <w:rFonts w:ascii="Times New Roman" w:hAnsi="Times New Roman" w:cs="Times New Roman"/>
          <w:b/>
          <w:bCs/>
          <w:color w:val="000000" w:themeColor="text1"/>
          <w:sz w:val="24"/>
          <w:szCs w:val="24"/>
        </w:rPr>
      </w:pPr>
      <w:r w:rsidRPr="00E00577">
        <w:rPr>
          <w:rFonts w:ascii="Times New Roman" w:hAnsi="Times New Roman" w:cs="Times New Roman"/>
          <w:b/>
          <w:bCs/>
          <w:color w:val="000000" w:themeColor="text1"/>
          <w:sz w:val="24"/>
          <w:szCs w:val="24"/>
        </w:rPr>
        <w:t>CONCLUSIO</w:t>
      </w:r>
      <w:r w:rsidR="00EB4411">
        <w:rPr>
          <w:rFonts w:ascii="Times New Roman" w:hAnsi="Times New Roman" w:cs="Times New Roman"/>
          <w:b/>
          <w:bCs/>
          <w:color w:val="000000" w:themeColor="text1"/>
          <w:sz w:val="24"/>
          <w:szCs w:val="24"/>
        </w:rPr>
        <w:t>N</w:t>
      </w:r>
    </w:p>
    <w:p w14:paraId="13AD3263" w14:textId="4F6895EB" w:rsidR="00E00577" w:rsidRDefault="00E00577" w:rsidP="00EB4411">
      <w:pPr>
        <w:spacing w:before="100" w:beforeAutospacing="1" w:after="100" w:afterAutospacing="1"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 fundamental human right is access to water. Even though annual accessible resources significantly outnumber total withdrawals, many people, especially the poor, only have limited access to it. Artificial scarcity is a result of improper water governance at many levels. </w:t>
      </w:r>
      <w:r w:rsidRPr="000B54EB">
        <w:rPr>
          <w:rFonts w:ascii="Times New Roman" w:hAnsi="Times New Roman" w:cs="Times New Roman"/>
          <w:sz w:val="20"/>
          <w:szCs w:val="20"/>
        </w:rPr>
        <w:t>The contradictions between government policies that obstruct local government units' decision-making and activities have been identified to be the main obstacles to providing</w:t>
      </w:r>
      <w:r>
        <w:rPr>
          <w:rFonts w:ascii="Times New Roman" w:hAnsi="Times New Roman" w:cs="Times New Roman"/>
          <w:sz w:val="20"/>
          <w:szCs w:val="20"/>
        </w:rPr>
        <w:t xml:space="preserve"> </w:t>
      </w:r>
      <w:r w:rsidRPr="000B54EB">
        <w:rPr>
          <w:rFonts w:ascii="Times New Roman" w:hAnsi="Times New Roman" w:cs="Times New Roman"/>
          <w:sz w:val="20"/>
          <w:szCs w:val="20"/>
        </w:rPr>
        <w:t>water supply at the local level.</w:t>
      </w:r>
      <w:r>
        <w:rPr>
          <w:rFonts w:ascii="Times New Roman" w:hAnsi="Times New Roman" w:cs="Times New Roman"/>
          <w:sz w:val="20"/>
          <w:szCs w:val="20"/>
        </w:rPr>
        <w:t xml:space="preserve"> In the context of providing sustainable water supply in the Municipality of New Bataan, the LGU itself must come up with innovative ideas on how to utilize its natural water resources in accordance with the water laws, the Water Code of the </w:t>
      </w:r>
      <w:proofErr w:type="gramStart"/>
      <w:r>
        <w:rPr>
          <w:rFonts w:ascii="Times New Roman" w:hAnsi="Times New Roman" w:cs="Times New Roman"/>
          <w:sz w:val="20"/>
          <w:szCs w:val="20"/>
        </w:rPr>
        <w:t>Philippines</w:t>
      </w:r>
      <w:proofErr w:type="gramEnd"/>
      <w:r>
        <w:rPr>
          <w:rFonts w:ascii="Times New Roman" w:hAnsi="Times New Roman" w:cs="Times New Roman"/>
          <w:sz w:val="20"/>
          <w:szCs w:val="20"/>
        </w:rPr>
        <w:t xml:space="preserve"> and the other laws of land. With its bountiful water source, the LGU must appropriate, utilize, </w:t>
      </w:r>
      <w:proofErr w:type="gramStart"/>
      <w:r>
        <w:rPr>
          <w:rFonts w:ascii="Times New Roman" w:hAnsi="Times New Roman" w:cs="Times New Roman"/>
          <w:sz w:val="20"/>
          <w:szCs w:val="20"/>
        </w:rPr>
        <w:t>conserve</w:t>
      </w:r>
      <w:proofErr w:type="gramEnd"/>
      <w:r>
        <w:rPr>
          <w:rFonts w:ascii="Times New Roman" w:hAnsi="Times New Roman" w:cs="Times New Roman"/>
          <w:sz w:val="20"/>
          <w:szCs w:val="20"/>
        </w:rPr>
        <w:t xml:space="preserve"> and protect its natural waters to have a good water supply. Water councils and watershed authorities can be locally created by the LGU without the need for legislation.</w:t>
      </w:r>
    </w:p>
    <w:p w14:paraId="4CB66FCC" w14:textId="61561BF7" w:rsidR="00EB4411" w:rsidRPr="00E00577" w:rsidRDefault="00E00577" w:rsidP="00EB4411">
      <w:pPr>
        <w:spacing w:before="100" w:beforeAutospacing="1" w:after="100" w:afterAutospacing="1"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As they play a significant part in ensuring a sustainable water supply in their community, the local government must also investigate participatory water governance models. Additionally, they must have the authority to oversee these natural resources within their circles of influence and be </w:t>
      </w:r>
      <w:proofErr w:type="gramStart"/>
      <w:r>
        <w:rPr>
          <w:rFonts w:ascii="Times New Roman" w:hAnsi="Times New Roman" w:cs="Times New Roman"/>
          <w:sz w:val="20"/>
          <w:szCs w:val="20"/>
        </w:rPr>
        <w:t>in a position</w:t>
      </w:r>
      <w:proofErr w:type="gramEnd"/>
      <w:r>
        <w:rPr>
          <w:rFonts w:ascii="Times New Roman" w:hAnsi="Times New Roman" w:cs="Times New Roman"/>
          <w:sz w:val="20"/>
          <w:szCs w:val="20"/>
        </w:rPr>
        <w:t xml:space="preserve"> to compel locals to follow best practices for water resource management.</w:t>
      </w:r>
    </w:p>
    <w:p w14:paraId="27ECA472" w14:textId="3F7BC213" w:rsidR="00EB4411" w:rsidRDefault="00DA52F4" w:rsidP="00EB4411">
      <w:pPr>
        <w:spacing w:before="100" w:beforeAutospacing="1" w:after="100" w:afterAutospacing="1"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3C49B1E2" w14:textId="7AAABCF3" w:rsidR="00EB4411" w:rsidRPr="00EB4411" w:rsidRDefault="00E00577" w:rsidP="00EB4411">
      <w:pPr>
        <w:spacing w:before="100" w:beforeAutospacing="1" w:after="100" w:afterAutospacing="1" w:line="240" w:lineRule="auto"/>
        <w:ind w:firstLine="360"/>
        <w:jc w:val="both"/>
        <w:rPr>
          <w:rFonts w:ascii="Times New Roman" w:hAnsi="Times New Roman" w:cs="Times New Roman"/>
          <w:sz w:val="20"/>
          <w:szCs w:val="20"/>
        </w:rPr>
      </w:pPr>
      <w:r w:rsidRPr="00EB4411">
        <w:rPr>
          <w:rFonts w:ascii="Times New Roman" w:hAnsi="Times New Roman" w:cs="Times New Roman"/>
          <w:sz w:val="20"/>
          <w:szCs w:val="20"/>
        </w:rPr>
        <w:t xml:space="preserve">I would like to express my deepest gratitude to all those who have contributed to the completion of this research. First and foremost, I would like to that my respondents most especially </w:t>
      </w:r>
      <w:r w:rsidR="00EB4411" w:rsidRPr="00EB4411">
        <w:rPr>
          <w:rFonts w:ascii="Times New Roman" w:hAnsi="Times New Roman" w:cs="Times New Roman"/>
          <w:sz w:val="20"/>
          <w:szCs w:val="20"/>
        </w:rPr>
        <w:t>whom I conducted interviews from a resident in the Municipality of New B</w:t>
      </w:r>
      <w:r w:rsidR="00EB4411">
        <w:rPr>
          <w:rFonts w:ascii="Times New Roman" w:hAnsi="Times New Roman" w:cs="Times New Roman"/>
          <w:sz w:val="20"/>
          <w:szCs w:val="20"/>
        </w:rPr>
        <w:t xml:space="preserve">ataan, Davao de Oro, an employee of the same local government unit, a member of the New Bataan Water Services Cooperative (NEBAWASCO) and to my co-engineers at the Davao City Water District for giving me the opportunity to share their thoughts, time and insights, and made this research possible and to their contribution that has been greatly appreciated and has provided valuable data for the study. I would also like to thank my instructor, </w:t>
      </w:r>
      <w:proofErr w:type="spellStart"/>
      <w:r w:rsidR="00EB4411">
        <w:rPr>
          <w:rFonts w:ascii="Times New Roman" w:hAnsi="Times New Roman" w:cs="Times New Roman"/>
          <w:sz w:val="20"/>
          <w:szCs w:val="20"/>
        </w:rPr>
        <w:t>EnP</w:t>
      </w:r>
      <w:proofErr w:type="spellEnd"/>
      <w:r w:rsidR="00EB4411">
        <w:rPr>
          <w:rFonts w:ascii="Times New Roman" w:hAnsi="Times New Roman" w:cs="Times New Roman"/>
          <w:sz w:val="20"/>
          <w:szCs w:val="20"/>
        </w:rPr>
        <w:t xml:space="preserve">. Moises C. </w:t>
      </w:r>
      <w:proofErr w:type="spellStart"/>
      <w:r w:rsidR="00EB4411">
        <w:rPr>
          <w:rFonts w:ascii="Times New Roman" w:hAnsi="Times New Roman" w:cs="Times New Roman"/>
          <w:sz w:val="20"/>
          <w:szCs w:val="20"/>
        </w:rPr>
        <w:t>Torrentira</w:t>
      </w:r>
      <w:proofErr w:type="spellEnd"/>
      <w:r w:rsidR="00EB4411">
        <w:rPr>
          <w:rFonts w:ascii="Times New Roman" w:hAnsi="Times New Roman" w:cs="Times New Roman"/>
          <w:sz w:val="20"/>
          <w:szCs w:val="20"/>
        </w:rPr>
        <w:t xml:space="preserve"> for his guidance and support throughout the research process.</w:t>
      </w:r>
    </w:p>
    <w:p w14:paraId="04BA791C" w14:textId="31D9AA51" w:rsidR="00EB4411" w:rsidRPr="000F4030" w:rsidRDefault="00DA52F4" w:rsidP="000F4030">
      <w:pPr>
        <w:pStyle w:val="ListParagraph"/>
        <w:numPr>
          <w:ilvl w:val="0"/>
          <w:numId w:val="21"/>
        </w:numPr>
        <w:spacing w:before="100" w:beforeAutospacing="1" w:after="100" w:afterAutospacing="1"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w:t>
      </w:r>
      <w:r w:rsidR="000F4030">
        <w:rPr>
          <w:rFonts w:ascii="Times New Roman" w:hAnsi="Times New Roman" w:cs="Times New Roman"/>
          <w:b/>
          <w:bCs/>
          <w:color w:val="000000" w:themeColor="text1"/>
          <w:sz w:val="24"/>
          <w:szCs w:val="24"/>
        </w:rPr>
        <w:t>S</w:t>
      </w:r>
    </w:p>
    <w:p w14:paraId="188EE2CC" w14:textId="7F64835F" w:rsidR="00EB4411" w:rsidRDefault="00EB4411" w:rsidP="00EB4411">
      <w:pPr>
        <w:pStyle w:val="Bibliography"/>
        <w:numPr>
          <w:ilvl w:val="0"/>
          <w:numId w:val="22"/>
        </w:numPr>
        <w:jc w:val="both"/>
        <w:rPr>
          <w:rFonts w:ascii="Times New Roman" w:hAnsi="Times New Roman" w:cs="Times New Roman"/>
          <w:noProof/>
          <w:sz w:val="20"/>
          <w:szCs w:val="20"/>
        </w:rPr>
      </w:pPr>
      <w:r w:rsidRPr="00992AEC">
        <w:rPr>
          <w:rFonts w:ascii="Times New Roman" w:hAnsi="Times New Roman" w:cs="Times New Roman"/>
          <w:noProof/>
          <w:sz w:val="20"/>
          <w:szCs w:val="20"/>
        </w:rPr>
        <w:t xml:space="preserve">COA Report. (2017). </w:t>
      </w:r>
      <w:r w:rsidRPr="00992AEC">
        <w:rPr>
          <w:rFonts w:ascii="Times New Roman" w:hAnsi="Times New Roman" w:cs="Times New Roman"/>
          <w:i/>
          <w:iCs/>
          <w:noProof/>
          <w:sz w:val="20"/>
          <w:szCs w:val="20"/>
        </w:rPr>
        <w:t>New Bataan Annual Audit Report 2017.</w:t>
      </w:r>
      <w:r w:rsidRPr="00992AEC">
        <w:rPr>
          <w:rFonts w:ascii="Times New Roman" w:hAnsi="Times New Roman" w:cs="Times New Roman"/>
          <w:noProof/>
          <w:sz w:val="20"/>
          <w:szCs w:val="20"/>
        </w:rPr>
        <w:t xml:space="preserve"> Retrieved from Commission on Audit: </w:t>
      </w:r>
      <w:hyperlink r:id="rId10" w:history="1">
        <w:r w:rsidRPr="009E4A44">
          <w:rPr>
            <w:rStyle w:val="Hyperlink"/>
            <w:rFonts w:ascii="Times New Roman" w:hAnsi="Times New Roman"/>
            <w:noProof/>
            <w:sz w:val="20"/>
            <w:szCs w:val="20"/>
          </w:rPr>
          <w:t>https://www.coa.gov.ph/wpfd_file/new-bataan-annual-audit-report-2017/</w:t>
        </w:r>
      </w:hyperlink>
    </w:p>
    <w:p w14:paraId="1B737CEC" w14:textId="795545A5" w:rsidR="00EB4411" w:rsidRDefault="00EB4411" w:rsidP="00EB4411">
      <w:pPr>
        <w:pStyle w:val="Bibliography"/>
        <w:numPr>
          <w:ilvl w:val="0"/>
          <w:numId w:val="22"/>
        </w:numPr>
        <w:jc w:val="both"/>
        <w:rPr>
          <w:rFonts w:ascii="Times New Roman" w:hAnsi="Times New Roman" w:cs="Times New Roman"/>
          <w:noProof/>
          <w:sz w:val="20"/>
          <w:szCs w:val="20"/>
        </w:rPr>
      </w:pPr>
      <w:r w:rsidRPr="00EB4411">
        <w:rPr>
          <w:rFonts w:ascii="Times New Roman" w:hAnsi="Times New Roman" w:cs="Times New Roman"/>
          <w:noProof/>
          <w:sz w:val="20"/>
          <w:szCs w:val="20"/>
        </w:rPr>
        <w:t xml:space="preserve">COA. (2021). </w:t>
      </w:r>
      <w:r w:rsidRPr="00EB4411">
        <w:rPr>
          <w:rFonts w:ascii="Times New Roman" w:hAnsi="Times New Roman" w:cs="Times New Roman"/>
          <w:i/>
          <w:iCs/>
          <w:noProof/>
          <w:sz w:val="20"/>
          <w:szCs w:val="20"/>
        </w:rPr>
        <w:t>Commission on Audit.</w:t>
      </w:r>
      <w:r w:rsidRPr="00EB4411">
        <w:rPr>
          <w:rFonts w:ascii="Times New Roman" w:hAnsi="Times New Roman" w:cs="Times New Roman"/>
          <w:noProof/>
          <w:sz w:val="20"/>
          <w:szCs w:val="20"/>
        </w:rPr>
        <w:t xml:space="preserve"> Retrieved from www.coa.gov.ph: </w:t>
      </w:r>
      <w:hyperlink r:id="rId11" w:history="1">
        <w:r w:rsidRPr="009E4A44">
          <w:rPr>
            <w:rStyle w:val="Hyperlink"/>
            <w:rFonts w:ascii="Times New Roman" w:hAnsi="Times New Roman"/>
            <w:noProof/>
            <w:sz w:val="20"/>
            <w:szCs w:val="20"/>
          </w:rPr>
          <w:t>https://www.coa.gov.ph/wpfd_file/new-bataan-annual-audit-report-2021/</w:t>
        </w:r>
      </w:hyperlink>
    </w:p>
    <w:p w14:paraId="79FA507D" w14:textId="1B809897" w:rsidR="00EB4411" w:rsidRDefault="00EB4411" w:rsidP="00EB4411">
      <w:pPr>
        <w:pStyle w:val="Bibliography"/>
        <w:numPr>
          <w:ilvl w:val="0"/>
          <w:numId w:val="22"/>
        </w:numPr>
        <w:jc w:val="both"/>
        <w:rPr>
          <w:rFonts w:ascii="Times New Roman" w:hAnsi="Times New Roman" w:cs="Times New Roman"/>
          <w:noProof/>
          <w:sz w:val="20"/>
          <w:szCs w:val="20"/>
        </w:rPr>
      </w:pPr>
      <w:r w:rsidRPr="00EB4411">
        <w:rPr>
          <w:rFonts w:ascii="Times New Roman" w:hAnsi="Times New Roman" w:cs="Times New Roman"/>
          <w:noProof/>
          <w:sz w:val="20"/>
          <w:szCs w:val="20"/>
        </w:rPr>
        <w:t xml:space="preserve">DILG WSSPMO. (2016). Retrieved from www.ilg.gov.ph: </w:t>
      </w:r>
      <w:hyperlink r:id="rId12" w:history="1">
        <w:r w:rsidRPr="009E4A44">
          <w:rPr>
            <w:rStyle w:val="Hyperlink"/>
            <w:rFonts w:ascii="Times New Roman" w:hAnsi="Times New Roman"/>
            <w:noProof/>
            <w:sz w:val="20"/>
            <w:szCs w:val="20"/>
          </w:rPr>
          <w:t>https://dilg.gov.ph/PDF_File/reportorial/dilg-reportorial-2018314_e49dcb8f73.pdf</w:t>
        </w:r>
      </w:hyperlink>
    </w:p>
    <w:p w14:paraId="423CB295"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B4411">
        <w:rPr>
          <w:rFonts w:ascii="Times New Roman" w:hAnsi="Times New Roman" w:cs="Times New Roman"/>
          <w:noProof/>
          <w:sz w:val="20"/>
          <w:szCs w:val="20"/>
        </w:rPr>
        <w:t xml:space="preserve">Hall, e. a. (2014). To the Last Drop: The political economy of Philippine water policy. </w:t>
      </w:r>
      <w:r w:rsidRPr="00EB4411">
        <w:rPr>
          <w:rFonts w:ascii="Times New Roman" w:hAnsi="Times New Roman" w:cs="Times New Roman"/>
          <w:i/>
          <w:iCs/>
          <w:noProof/>
          <w:sz w:val="20"/>
          <w:szCs w:val="20"/>
        </w:rPr>
        <w:t>Philippines Studies Conference.</w:t>
      </w:r>
    </w:p>
    <w:p w14:paraId="18AD4CAC"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Hum. Response. (2013). </w:t>
      </w:r>
      <w:r w:rsidRPr="00E42C4E">
        <w:rPr>
          <w:rFonts w:ascii="Times New Roman" w:hAnsi="Times New Roman" w:cs="Times New Roman"/>
          <w:i/>
          <w:iCs/>
          <w:noProof/>
          <w:sz w:val="20"/>
          <w:szCs w:val="20"/>
        </w:rPr>
        <w:t>Compostela Valley Province Post Disaster Needs Assessment for Typhoon "Pablo".</w:t>
      </w:r>
      <w:r w:rsidRPr="00E42C4E">
        <w:rPr>
          <w:rFonts w:ascii="Times New Roman" w:hAnsi="Times New Roman" w:cs="Times New Roman"/>
          <w:noProof/>
          <w:sz w:val="20"/>
          <w:szCs w:val="20"/>
        </w:rPr>
        <w:t xml:space="preserve"> Retrieved fromwww.humanitarianresponse.info:https://www.humanitarianresponse.info/sites/www.humanitarianresponse.info/files/assessments/PDNA%20ComVal%20as%20of%205%20April%202013.pdf</w:t>
      </w:r>
    </w:p>
    <w:p w14:paraId="267CC0F2" w14:textId="13B238F1"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lastRenderedPageBreak/>
        <w:t xml:space="preserve">L.G. Velasco, et.al. (2020, December). </w:t>
      </w:r>
      <w:r w:rsidRPr="00E42C4E">
        <w:rPr>
          <w:rFonts w:ascii="Times New Roman" w:hAnsi="Times New Roman" w:cs="Times New Roman"/>
          <w:i/>
          <w:iCs/>
          <w:noProof/>
          <w:sz w:val="20"/>
          <w:szCs w:val="20"/>
        </w:rPr>
        <w:t>The Philippine Local Government Water Sector.</w:t>
      </w:r>
      <w:r w:rsidRPr="00E42C4E">
        <w:rPr>
          <w:rFonts w:ascii="Times New Roman" w:hAnsi="Times New Roman" w:cs="Times New Roman"/>
          <w:noProof/>
          <w:sz w:val="20"/>
          <w:szCs w:val="20"/>
        </w:rPr>
        <w:t xml:space="preserve"> Retrieved from www.pidswebs.pids.gov.ph: </w:t>
      </w:r>
      <w:hyperlink r:id="rId13" w:history="1">
        <w:r w:rsidR="00E42C4E" w:rsidRPr="009E4A44">
          <w:rPr>
            <w:rStyle w:val="Hyperlink"/>
            <w:rFonts w:ascii="Times New Roman" w:hAnsi="Times New Roman"/>
            <w:noProof/>
            <w:sz w:val="20"/>
            <w:szCs w:val="20"/>
          </w:rPr>
          <w:t>https://pidswebs.pids.gov.ph/CDN/PUBLICATIONS/pidsdps2033.pdf</w:t>
        </w:r>
      </w:hyperlink>
    </w:p>
    <w:p w14:paraId="5B8CA4C0"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Magcale-Macandog, D. (2013). </w:t>
      </w:r>
      <w:r w:rsidRPr="00E42C4E">
        <w:rPr>
          <w:rFonts w:ascii="Times New Roman" w:hAnsi="Times New Roman" w:cs="Times New Roman"/>
          <w:i/>
          <w:iCs/>
          <w:noProof/>
          <w:sz w:val="20"/>
          <w:szCs w:val="20"/>
        </w:rPr>
        <w:t>ASSESSMENT OF THE IMPACTS OF FLASHFLOODS AND LANDSLIDES IN BRGY. ANDAP, NEW BATAAN, COMPOSTELA VALLEY, PHILIPPINES: A LOCAL COMMUNITY PERSPECTIVE.</w:t>
      </w:r>
      <w:r w:rsidRPr="00E42C4E">
        <w:rPr>
          <w:rFonts w:ascii="Times New Roman" w:hAnsi="Times New Roman" w:cs="Times New Roman"/>
          <w:noProof/>
          <w:sz w:val="20"/>
          <w:szCs w:val="20"/>
        </w:rPr>
        <w:t xml:space="preserve"> Journal of Nature Studies 19(2): 62-83.</w:t>
      </w:r>
    </w:p>
    <w:p w14:paraId="137FAC43"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Manuta, J. (2014). Towards a Culture of Resilience and Adaptation: Building Back Better (3Bs) Post Pablo Communities, Ecosystems and Economy in Eastern Mindanao .</w:t>
      </w:r>
    </w:p>
    <w:p w14:paraId="2266DEDD" w14:textId="49A3C67D"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NEDA. (2017). </w:t>
      </w:r>
      <w:r w:rsidRPr="00E42C4E">
        <w:rPr>
          <w:rFonts w:ascii="Times New Roman" w:hAnsi="Times New Roman" w:cs="Times New Roman"/>
          <w:i/>
          <w:iCs/>
          <w:noProof/>
          <w:sz w:val="20"/>
          <w:szCs w:val="20"/>
        </w:rPr>
        <w:t>Philippine Development Plan 2017-2022.</w:t>
      </w:r>
      <w:r w:rsidRPr="00E42C4E">
        <w:rPr>
          <w:rFonts w:ascii="Times New Roman" w:hAnsi="Times New Roman" w:cs="Times New Roman"/>
          <w:noProof/>
          <w:sz w:val="20"/>
          <w:szCs w:val="20"/>
        </w:rPr>
        <w:t xml:space="preserve"> Retrieved from www.neda.gov.ph: </w:t>
      </w:r>
      <w:hyperlink r:id="rId14" w:history="1">
        <w:r w:rsidR="00E42C4E" w:rsidRPr="009E4A44">
          <w:rPr>
            <w:rStyle w:val="Hyperlink"/>
            <w:rFonts w:ascii="Times New Roman" w:hAnsi="Times New Roman"/>
            <w:noProof/>
            <w:sz w:val="20"/>
            <w:szCs w:val="20"/>
          </w:rPr>
          <w:t>https://pdp.neda.gov.ph/wp-content/uploads/2017/01/PDP-2017-2022-07-20-2017.pdf</w:t>
        </w:r>
      </w:hyperlink>
    </w:p>
    <w:p w14:paraId="75677746" w14:textId="3913AD7E"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NEDA. (2019). </w:t>
      </w:r>
      <w:r w:rsidRPr="00E42C4E">
        <w:rPr>
          <w:rFonts w:ascii="Times New Roman" w:hAnsi="Times New Roman" w:cs="Times New Roman"/>
          <w:i/>
          <w:iCs/>
          <w:noProof/>
          <w:sz w:val="20"/>
          <w:szCs w:val="20"/>
        </w:rPr>
        <w:t>Connecting Minds, Charting NEDA's Directions.</w:t>
      </w:r>
      <w:r w:rsidRPr="00E42C4E">
        <w:rPr>
          <w:rFonts w:ascii="Times New Roman" w:hAnsi="Times New Roman" w:cs="Times New Roman"/>
          <w:noProof/>
          <w:sz w:val="20"/>
          <w:szCs w:val="20"/>
        </w:rPr>
        <w:t xml:space="preserve"> Retrieved from www.neda.gov.ph: </w:t>
      </w:r>
      <w:hyperlink r:id="rId15" w:history="1">
        <w:r w:rsidR="00E42C4E" w:rsidRPr="009E4A44">
          <w:rPr>
            <w:rStyle w:val="Hyperlink"/>
            <w:rFonts w:ascii="Times New Roman" w:hAnsi="Times New Roman"/>
            <w:noProof/>
            <w:sz w:val="20"/>
            <w:szCs w:val="20"/>
          </w:rPr>
          <w:t>https://neda.gov.ph/wp-content/uploads/2020/07/NEDA_Annual_Report_2019.pdf</w:t>
        </w:r>
      </w:hyperlink>
    </w:p>
    <w:p w14:paraId="48895A8C" w14:textId="1CEC6115"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NWRB. (1976). </w:t>
      </w:r>
      <w:r w:rsidRPr="00E42C4E">
        <w:rPr>
          <w:rFonts w:ascii="Times New Roman" w:hAnsi="Times New Roman" w:cs="Times New Roman"/>
          <w:i/>
          <w:iCs/>
          <w:noProof/>
          <w:sz w:val="20"/>
          <w:szCs w:val="20"/>
        </w:rPr>
        <w:t>Water Code of the Philippines</w:t>
      </w:r>
      <w:r w:rsidRPr="00E42C4E">
        <w:rPr>
          <w:rFonts w:ascii="Times New Roman" w:hAnsi="Times New Roman" w:cs="Times New Roman"/>
          <w:noProof/>
          <w:sz w:val="20"/>
          <w:szCs w:val="20"/>
        </w:rPr>
        <w:t xml:space="preserve">. Retrieved from nwrb.gov.ph: </w:t>
      </w:r>
      <w:hyperlink r:id="rId16" w:history="1">
        <w:r w:rsidR="00E42C4E" w:rsidRPr="009E4A44">
          <w:rPr>
            <w:rStyle w:val="Hyperlink"/>
            <w:rFonts w:ascii="Times New Roman" w:hAnsi="Times New Roman"/>
            <w:noProof/>
            <w:sz w:val="20"/>
            <w:szCs w:val="20"/>
          </w:rPr>
          <w:t>https://nwrb.gov.ph/wp-content/uploads/2023/03/Law_PD1067_WaterCode_Amended.pdf</w:t>
        </w:r>
      </w:hyperlink>
    </w:p>
    <w:p w14:paraId="47AE4215"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Philippines. (1991). THE LOCAL GOVERNMENT CODE OF THE PHILIPPINES.</w:t>
      </w:r>
    </w:p>
    <w:p w14:paraId="40F0DBC0" w14:textId="5CF0F07E"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PWSSMP 2019-2030. (n.d.). </w:t>
      </w:r>
      <w:r w:rsidRPr="00E42C4E">
        <w:rPr>
          <w:rFonts w:ascii="Times New Roman" w:hAnsi="Times New Roman" w:cs="Times New Roman"/>
          <w:i/>
          <w:iCs/>
          <w:noProof/>
          <w:sz w:val="20"/>
          <w:szCs w:val="20"/>
        </w:rPr>
        <w:t>Philippine Water Supply and Sanitation Master Plan 2019-2030.</w:t>
      </w:r>
      <w:r w:rsidRPr="00E42C4E">
        <w:rPr>
          <w:rFonts w:ascii="Times New Roman" w:hAnsi="Times New Roman" w:cs="Times New Roman"/>
          <w:noProof/>
          <w:sz w:val="20"/>
          <w:szCs w:val="20"/>
        </w:rPr>
        <w:t xml:space="preserve"> Retrieved from www.neda.gov.ph: </w:t>
      </w:r>
      <w:hyperlink r:id="rId17" w:history="1">
        <w:r w:rsidR="00E42C4E" w:rsidRPr="009E4A44">
          <w:rPr>
            <w:rStyle w:val="Hyperlink"/>
            <w:rFonts w:ascii="Times New Roman" w:hAnsi="Times New Roman"/>
            <w:noProof/>
            <w:sz w:val="20"/>
            <w:szCs w:val="20"/>
          </w:rPr>
          <w:t>https://neda.gov.ph/wp-content/uploads/2021/09/120921_PWSSMP_Main-Report.pdf</w:t>
        </w:r>
      </w:hyperlink>
    </w:p>
    <w:p w14:paraId="556F332E"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Rogers, P., &amp; Hall, A.W. . (2003). </w:t>
      </w:r>
      <w:r w:rsidRPr="00E42C4E">
        <w:rPr>
          <w:rFonts w:ascii="Times New Roman" w:hAnsi="Times New Roman" w:cs="Times New Roman"/>
          <w:i/>
          <w:iCs/>
          <w:noProof/>
          <w:sz w:val="20"/>
          <w:szCs w:val="20"/>
        </w:rPr>
        <w:t>Effective water governance (Vol. 7). Stockholm: Global water partnership.</w:t>
      </w:r>
      <w:r w:rsidRPr="00E42C4E">
        <w:rPr>
          <w:rFonts w:ascii="Times New Roman" w:hAnsi="Times New Roman" w:cs="Times New Roman"/>
          <w:noProof/>
          <w:sz w:val="20"/>
          <w:szCs w:val="20"/>
        </w:rPr>
        <w:t xml:space="preserve"> </w:t>
      </w:r>
    </w:p>
    <w:p w14:paraId="41D5E9F1"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Rola, A. C. (2011). </w:t>
      </w:r>
      <w:r w:rsidRPr="00E42C4E">
        <w:rPr>
          <w:rFonts w:ascii="Times New Roman" w:hAnsi="Times New Roman" w:cs="Times New Roman"/>
          <w:i/>
          <w:iCs/>
          <w:noProof/>
          <w:sz w:val="20"/>
          <w:szCs w:val="20"/>
        </w:rPr>
        <w:t>An upland community in transition: Institutional innovations for sustainable development in rural Philippines (Vol. 442).</w:t>
      </w:r>
      <w:r w:rsidRPr="00E42C4E">
        <w:rPr>
          <w:rFonts w:ascii="Times New Roman" w:hAnsi="Times New Roman" w:cs="Times New Roman"/>
          <w:noProof/>
          <w:sz w:val="20"/>
          <w:szCs w:val="20"/>
        </w:rPr>
        <w:t xml:space="preserve"> Institute of Southeast Asian Studies.</w:t>
      </w:r>
    </w:p>
    <w:p w14:paraId="56EB4B99"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Rola, et al. (2015). Drivers of water governance reforms in the Philippines. </w:t>
      </w:r>
      <w:r w:rsidRPr="00E42C4E">
        <w:rPr>
          <w:rFonts w:ascii="Times New Roman" w:hAnsi="Times New Roman" w:cs="Times New Roman"/>
          <w:i/>
          <w:iCs/>
          <w:noProof/>
          <w:sz w:val="20"/>
          <w:szCs w:val="20"/>
        </w:rPr>
        <w:t>International Journal of Water Resources Development</w:t>
      </w:r>
      <w:r w:rsidRPr="00E42C4E">
        <w:rPr>
          <w:rFonts w:ascii="Times New Roman" w:hAnsi="Times New Roman" w:cs="Times New Roman"/>
          <w:noProof/>
          <w:sz w:val="20"/>
          <w:szCs w:val="20"/>
        </w:rPr>
        <w:t>.</w:t>
      </w:r>
    </w:p>
    <w:p w14:paraId="08EB20F7" w14:textId="77777777"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Torrentira, M. (2020). Online data collection as adaptation in conducting quantitative and qualitative research during the COVID-19 pandemic. </w:t>
      </w:r>
      <w:r w:rsidRPr="00E42C4E">
        <w:rPr>
          <w:rFonts w:ascii="Times New Roman" w:hAnsi="Times New Roman" w:cs="Times New Roman"/>
          <w:i/>
          <w:iCs/>
          <w:noProof/>
          <w:sz w:val="20"/>
          <w:szCs w:val="20"/>
        </w:rPr>
        <w:t>European Journal of Education Studies, 7(11).</w:t>
      </w:r>
      <w:r w:rsidRPr="00E42C4E">
        <w:rPr>
          <w:rFonts w:ascii="Times New Roman" w:hAnsi="Times New Roman" w:cs="Times New Roman"/>
          <w:noProof/>
          <w:sz w:val="20"/>
          <w:szCs w:val="20"/>
        </w:rPr>
        <w:t xml:space="preserve"> </w:t>
      </w:r>
    </w:p>
    <w:p w14:paraId="5BD28736" w14:textId="37109105" w:rsidR="00E42C4E" w:rsidRDefault="00EB4411" w:rsidP="00E42C4E">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 xml:space="preserve">U.N. (2010). </w:t>
      </w:r>
      <w:r w:rsidRPr="00E42C4E">
        <w:rPr>
          <w:rFonts w:ascii="Times New Roman" w:hAnsi="Times New Roman" w:cs="Times New Roman"/>
          <w:i/>
          <w:iCs/>
          <w:noProof/>
          <w:sz w:val="20"/>
          <w:szCs w:val="20"/>
        </w:rPr>
        <w:t>United Nations: Huma Rights: Office of the High Commisioner</w:t>
      </w:r>
      <w:r w:rsidRPr="00E42C4E">
        <w:rPr>
          <w:rFonts w:ascii="Times New Roman" w:hAnsi="Times New Roman" w:cs="Times New Roman"/>
          <w:noProof/>
          <w:sz w:val="20"/>
          <w:szCs w:val="20"/>
        </w:rPr>
        <w:t xml:space="preserve">. Retrieved from www.ohchr.org: </w:t>
      </w:r>
      <w:hyperlink r:id="rId18" w:history="1">
        <w:r w:rsidR="00E42C4E" w:rsidRPr="009E4A44">
          <w:rPr>
            <w:rStyle w:val="Hyperlink"/>
            <w:rFonts w:ascii="Times New Roman" w:hAnsi="Times New Roman"/>
            <w:noProof/>
            <w:sz w:val="20"/>
            <w:szCs w:val="20"/>
          </w:rPr>
          <w:t>https://www.ohchr.org/en/water-and-sanitation/about-water-and-sanitation</w:t>
        </w:r>
      </w:hyperlink>
    </w:p>
    <w:p w14:paraId="6CA7E5F0" w14:textId="00906D19" w:rsidR="006C11CA" w:rsidRPr="00B05180" w:rsidRDefault="00EB4411" w:rsidP="00B05180">
      <w:pPr>
        <w:pStyle w:val="Bibliography"/>
        <w:numPr>
          <w:ilvl w:val="0"/>
          <w:numId w:val="22"/>
        </w:numPr>
        <w:jc w:val="both"/>
        <w:rPr>
          <w:rFonts w:ascii="Times New Roman" w:hAnsi="Times New Roman" w:cs="Times New Roman"/>
          <w:noProof/>
          <w:sz w:val="20"/>
          <w:szCs w:val="20"/>
        </w:rPr>
      </w:pPr>
      <w:r w:rsidRPr="00E42C4E">
        <w:rPr>
          <w:rFonts w:ascii="Times New Roman" w:hAnsi="Times New Roman" w:cs="Times New Roman"/>
          <w:noProof/>
          <w:sz w:val="20"/>
          <w:szCs w:val="20"/>
        </w:rPr>
        <w:t>UNDP. (2021). A decade of Support for Water Governance Reform. Final Report of the GoAL WaSH Programme.</w:t>
      </w:r>
    </w:p>
    <w:sectPr w:rsidR="006C11CA" w:rsidRPr="00B05180"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6C5D" w14:textId="77777777" w:rsidR="00B728F7" w:rsidRDefault="00B728F7" w:rsidP="00C556D7">
      <w:pPr>
        <w:spacing w:after="0" w:line="240" w:lineRule="auto"/>
      </w:pPr>
      <w:r>
        <w:separator/>
      </w:r>
    </w:p>
  </w:endnote>
  <w:endnote w:type="continuationSeparator" w:id="0">
    <w:p w14:paraId="1BBF5750" w14:textId="77777777" w:rsidR="00B728F7" w:rsidRDefault="00B728F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21499" w14:textId="77777777" w:rsidR="00B728F7" w:rsidRDefault="00B728F7" w:rsidP="00C556D7">
      <w:pPr>
        <w:spacing w:after="0" w:line="240" w:lineRule="auto"/>
      </w:pPr>
      <w:r>
        <w:separator/>
      </w:r>
    </w:p>
  </w:footnote>
  <w:footnote w:type="continuationSeparator" w:id="0">
    <w:p w14:paraId="74165B1E" w14:textId="77777777" w:rsidR="00B728F7" w:rsidRDefault="00B728F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4A2DDBC"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E00577">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BC341C"/>
    <w:multiLevelType w:val="hybridMultilevel"/>
    <w:tmpl w:val="2E4C9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20"/>
  </w:num>
  <w:num w:numId="20" w16cid:durableId="1169980686">
    <w:abstractNumId w:val="6"/>
  </w:num>
  <w:num w:numId="21" w16cid:durableId="1693140183">
    <w:abstractNumId w:val="16"/>
  </w:num>
  <w:num w:numId="22" w16cid:durableId="3462570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4030"/>
    <w:rsid w:val="0010160E"/>
    <w:rsid w:val="00115146"/>
    <w:rsid w:val="00125B8F"/>
    <w:rsid w:val="00127B8C"/>
    <w:rsid w:val="00130820"/>
    <w:rsid w:val="0013642C"/>
    <w:rsid w:val="00140E84"/>
    <w:rsid w:val="0014571A"/>
    <w:rsid w:val="00157BEC"/>
    <w:rsid w:val="001669B3"/>
    <w:rsid w:val="00167C79"/>
    <w:rsid w:val="0017211F"/>
    <w:rsid w:val="001757EB"/>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5180"/>
    <w:rsid w:val="00B07F98"/>
    <w:rsid w:val="00B127F4"/>
    <w:rsid w:val="00B17F4E"/>
    <w:rsid w:val="00B21E66"/>
    <w:rsid w:val="00B60F30"/>
    <w:rsid w:val="00B71A47"/>
    <w:rsid w:val="00B728F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0577"/>
    <w:rsid w:val="00E03AB8"/>
    <w:rsid w:val="00E058D9"/>
    <w:rsid w:val="00E26448"/>
    <w:rsid w:val="00E26687"/>
    <w:rsid w:val="00E34078"/>
    <w:rsid w:val="00E35FB6"/>
    <w:rsid w:val="00E42C4E"/>
    <w:rsid w:val="00E73492"/>
    <w:rsid w:val="00E81599"/>
    <w:rsid w:val="00E82016"/>
    <w:rsid w:val="00EA6189"/>
    <w:rsid w:val="00EB0728"/>
    <w:rsid w:val="00EB432A"/>
    <w:rsid w:val="00EB4411"/>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Name">
    <w:name w:val="IEEE Author Name"/>
    <w:basedOn w:val="Normal"/>
    <w:next w:val="Normal"/>
    <w:rsid w:val="001757EB"/>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character" w:customStyle="1" w:styleId="normaltextrun">
    <w:name w:val="normaltextrun"/>
    <w:basedOn w:val="DefaultParagraphFont"/>
    <w:rsid w:val="001757EB"/>
  </w:style>
  <w:style w:type="character" w:customStyle="1" w:styleId="contentcontrolboundarysink">
    <w:name w:val="contentcontrolboundarysink"/>
    <w:basedOn w:val="DefaultParagraphFont"/>
    <w:rsid w:val="001757EB"/>
  </w:style>
  <w:style w:type="character" w:styleId="UnresolvedMention">
    <w:name w:val="Unresolved Mention"/>
    <w:basedOn w:val="DefaultParagraphFont"/>
    <w:uiPriority w:val="99"/>
    <w:semiHidden/>
    <w:unhideWhenUsed/>
    <w:rsid w:val="00EB4411"/>
    <w:rPr>
      <w:color w:val="605E5C"/>
      <w:shd w:val="clear" w:color="auto" w:fill="E1DFDD"/>
    </w:rPr>
  </w:style>
  <w:style w:type="character" w:styleId="FollowedHyperlink">
    <w:name w:val="FollowedHyperlink"/>
    <w:basedOn w:val="DefaultParagraphFont"/>
    <w:uiPriority w:val="99"/>
    <w:semiHidden/>
    <w:unhideWhenUsed/>
    <w:rsid w:val="00B051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pidswebs.pids.gov.ph/CDN/PUBLICATIONS/pidsdps2033.pdf" TargetMode="External"/><Relationship Id="rId18" Type="http://schemas.openxmlformats.org/officeDocument/2006/relationships/hyperlink" Target="https://www.ohchr.org/en/water-and-sanitation/about-water-and-sanita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ilg.gov.ph/PDF_File/reportorial/dilg-reportorial-2018314_e49dcb8f73.pdf" TargetMode="External"/><Relationship Id="rId17" Type="http://schemas.openxmlformats.org/officeDocument/2006/relationships/hyperlink" Target="https://neda.gov.ph/wp-content/uploads/2021/09/120921_PWSSMP_Main-Report.pdf" TargetMode="External"/><Relationship Id="rId2" Type="http://schemas.openxmlformats.org/officeDocument/2006/relationships/numbering" Target="numbering.xml"/><Relationship Id="rId16" Type="http://schemas.openxmlformats.org/officeDocument/2006/relationships/hyperlink" Target="https://nwrb.gov.ph/wp-content/uploads/2023/03/Law_PD1067_WaterCode_Amended.pdf"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gov.ph/wpfd_file/new-bataan-annual-audit-report-2021/" TargetMode="External"/><Relationship Id="rId5" Type="http://schemas.openxmlformats.org/officeDocument/2006/relationships/webSettings" Target="webSettings.xml"/><Relationship Id="rId15" Type="http://schemas.openxmlformats.org/officeDocument/2006/relationships/hyperlink" Target="https://neda.gov.ph/wp-content/uploads/2020/07/NEDA_Annual_Report_2019.pdf" TargetMode="External"/><Relationship Id="rId10" Type="http://schemas.openxmlformats.org/officeDocument/2006/relationships/hyperlink" Target="https://www.coa.gov.ph/wpfd_file/new-bataan-annual-audit-report-201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dp.neda.gov.ph/wp-content/uploads/2017/01/PDP-2017-2022-07-20-20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48AE2706F1B4F46A64A51F0D736D861"/>
        <w:category>
          <w:name w:val="General"/>
          <w:gallery w:val="placeholder"/>
        </w:category>
        <w:types>
          <w:type w:val="bbPlcHdr"/>
        </w:types>
        <w:behaviors>
          <w:behavior w:val="content"/>
        </w:behaviors>
        <w:guid w:val="{75D913A6-76B9-6E41-8FD6-BF684A0EBFAF}"/>
      </w:docPartPr>
      <w:docPartBody>
        <w:p w:rsidR="00000000" w:rsidRDefault="007F5D3D" w:rsidP="007F5D3D">
          <w:pPr>
            <w:pStyle w:val="248AE2706F1B4F46A64A51F0D736D861"/>
          </w:pPr>
          <w: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D3D"/>
    <w:rsid w:val="007F5D3D"/>
    <w:rsid w:val="008512B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P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48AE2706F1B4F46A64A51F0D736D861">
    <w:name w:val="248AE2706F1B4F46A64A51F0D736D861"/>
    <w:rsid w:val="007F5D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DBM13</b:Tag>
    <b:SourceType>Book</b:SourceType>
    <b:Guid>{1D405E9C-90CE-EB41-A482-6B95470FA1E9}</b:Guid>
    <b:Author>
      <b:Author>
        <b:NameList>
          <b:Person>
            <b:Last>Magcale-Macandog</b:Last>
            <b:First>D.B.</b:First>
          </b:Person>
        </b:NameList>
      </b:Author>
    </b:Author>
    <b:Title>ASSESSMENT OF THE IMPACTS OF FLASHFLOODS AND LANDSLIDES IN BRGY. ANDAP, NEW BATAAN, COMPOSTELA VALLEY, PHILIPPINES: A LOCAL COMMUNITY PERSPECTIVE</b:Title>
    <b:Publisher>Journal of Nature Studies 19(2): 62-83</b:Publisher>
    <b:Year>2013</b:Year>
    <b:RefOrder>1</b:RefOrder>
  </b:Source>
  <b:Source>
    <b:Tag>Hum</b:Tag>
    <b:SourceType>DocumentFromInternetSite</b:SourceType>
    <b:Guid>{44332784-981E-F64E-BB3D-3D3862BAE6AE}</b:Guid>
    <b:Title>Compostela Valley Province Post Disaster Needs Assessment for Typhoon "Pablo"</b:Title>
    <b:InternetSiteTitle>www.humanitarianresponse.info</b:InternetSiteTitle>
    <b:URL>https://www.humanitarianresponse.info/sites/www.humanitarianresponse.info/files/assessments/PDNA%20ComVal%20as%20of%205%20April%202013.pdf</b:URL>
    <b:Author>
      <b:Author>
        <b:Corporate>Hum. Response</b:Corporate>
      </b:Author>
    </b:Author>
    <b:Year>2013</b:Year>
    <b:RefOrder>2</b:RefOrder>
  </b:Source>
  <b:Source>
    <b:Tag>JBM14</b:Tag>
    <b:SourceType>ElectronicSource</b:SourceType>
    <b:Guid>{388044E7-E4DA-7049-85AE-93FA5642E648}</b:Guid>
    <b:Author>
      <b:Author>
        <b:NameList>
          <b:Person>
            <b:Last>Manuta</b:Last>
            <b:First>J.B.</b:First>
          </b:Person>
        </b:NameList>
      </b:Author>
    </b:Author>
    <b:Title>Towards a Culture of Resilience and Adaptation: Building Back Better (3Bs) Post Pablo Communities, Ecosystems and Economy in Eastern Mindanao </b:Title>
    <b:Year>2014</b:Year>
    <b:RefOrder>3</b:RefOrder>
  </b:Source>
  <b:Source>
    <b:Tag>COA17</b:Tag>
    <b:SourceType>DocumentFromInternetSite</b:SourceType>
    <b:Guid>{ACD35500-185E-6346-B00C-D4B6ED04A394}</b:Guid>
    <b:Author>
      <b:Author>
        <b:Corporate>COA Report</b:Corporate>
      </b:Author>
    </b:Author>
    <b:Title>New Bataan Annual Audit Report 2017</b:Title>
    <b:InternetSiteTitle>Commission on Audit</b:InternetSiteTitle>
    <b:URL>https://www.coa.gov.ph/wpfd_file/new-bataan-annual-audit-report-2017/</b:URL>
    <b:Year>2017</b:Year>
    <b:RefOrder>4</b:RefOrder>
  </b:Source>
  <b:Source>
    <b:Tag>UN10</b:Tag>
    <b:SourceType>InternetSite</b:SourceType>
    <b:Guid>{898A1B62-A288-194C-923D-F62EFC9DC305}</b:Guid>
    <b:Title>United Nations: Huma Rights: Office of the High Commisioner</b:Title>
    <b:Year>2010</b:Year>
    <b:Author>
      <b:Author>
        <b:NameList>
          <b:Person>
            <b:Last>U.N.</b:Last>
          </b:Person>
        </b:NameList>
      </b:Author>
    </b:Author>
    <b:InternetSiteTitle>www.ohchr.org</b:InternetSiteTitle>
    <b:URL>https://www.ohchr.org/en/water-and-sanitation/about-water-and-sanitation</b:URL>
    <b:RefOrder>5</b:RefOrder>
  </b:Source>
  <b:Source>
    <b:Tag>RA791</b:Tag>
    <b:SourceType>ElectronicSource</b:SourceType>
    <b:Guid>{633A22EC-730C-434E-A4D9-6F9E32F5D815}</b:Guid>
    <b:Title>THE LOCAL GOVERNMENT CODE OF THE PHILIPPINES</b:Title>
    <b:Year>1991</b:Year>
    <b:Author>
      <b:Author>
        <b:NameList>
          <b:Person>
            <b:Last>Philippines</b:Last>
          </b:Person>
        </b:NameList>
      </b:Author>
    </b:Author>
    <b:RefOrder>6</b:RefOrder>
  </b:Source>
  <b:Source>
    <b:Tag>LGV20</b:Tag>
    <b:SourceType>DocumentFromInternetSite</b:SourceType>
    <b:Guid>{10B5D320-E241-6C4E-997B-284388FE3272}</b:Guid>
    <b:Title>The Philippine Local Government Water Sector</b:Title>
    <b:Year>2020</b:Year>
    <b:Author>
      <b:Author>
        <b:Corporate>L.G. Velasco, et.al.</b:Corporate>
      </b:Author>
    </b:Author>
    <b:InternetSiteTitle>www.pidswebs.pids.gov.ph</b:InternetSiteTitle>
    <b:URL>https://pidswebs.pids.gov.ph/CDN/PUBLICATIONS/pidsdps2033.pdf</b:URL>
    <b:Month>December</b:Month>
    <b:RefOrder>7</b:RefOrder>
  </b:Source>
  <b:Source>
    <b:Tag>DIL16</b:Tag>
    <b:SourceType>DocumentFromInternetSite</b:SourceType>
    <b:Guid>{AC9C6EDE-35F3-6D43-9027-25BC59F2B4DC}</b:Guid>
    <b:Author>
      <b:Author>
        <b:Corporate>DILG WSSPMO</b:Corporate>
      </b:Author>
    </b:Author>
    <b:InternetSiteTitle>www.ilg.gov.ph</b:InternetSiteTitle>
    <b:URL>https://dilg.gov.ph/PDF_File/reportorial/dilg-reportorial-2018314_e49dcb8f73.pdf</b:URL>
    <b:Year>2016</b:Year>
    <b:RefOrder>8</b:RefOrder>
  </b:Source>
  <b:Source>
    <b:Tag>NED171</b:Tag>
    <b:SourceType>DocumentFromInternetSite</b:SourceType>
    <b:Guid>{7516EEF1-BF09-5F4D-B986-8DBD0301C89B}</b:Guid>
    <b:Author>
      <b:Author>
        <b:NameList>
          <b:Person>
            <b:Last>NEDA</b:Last>
          </b:Person>
        </b:NameList>
      </b:Author>
    </b:Author>
    <b:Title>Philippine Development Plan 2017-2022</b:Title>
    <b:InternetSiteTitle>www.neda.gov.ph</b:InternetSiteTitle>
    <b:URL>https://pdp.neda.gov.ph/wp-content/uploads/2017/01/PDP-2017-2022-07-20-2017.pdf</b:URL>
    <b:Year>2017</b:Year>
    <b:RefOrder>9</b:RefOrder>
  </b:Source>
  <b:Source>
    <b:Tag>UND21</b:Tag>
    <b:SourceType>ElectronicSource</b:SourceType>
    <b:Guid>{E55FD499-C4BB-6843-845C-431C7539A241}</b:Guid>
    <b:Title>A decade of Support for Water Governance Reform. Final Report of the GoAL WaSH Programme</b:Title>
    <b:Year>2021</b:Year>
    <b:Author>
      <b:Author>
        <b:Corporate>UNDP</b:Corporate>
      </b:Author>
    </b:Author>
    <b:RefOrder>10</b:RefOrder>
  </b:Source>
  <b:Source>
    <b:Tag>PWS</b:Tag>
    <b:SourceType>DocumentFromInternetSite</b:SourceType>
    <b:Guid>{CF277514-F095-254B-9CBE-C1C5B9B47465}</b:Guid>
    <b:Author>
      <b:Author>
        <b:Corporate>PWSSMP 2019-2030</b:Corporate>
      </b:Author>
    </b:Author>
    <b:Title>Philippine Water Supply and Sanitation Master Plan 2019-2030</b:Title>
    <b:InternetSiteTitle>www.neda.gov.ph</b:InternetSiteTitle>
    <b:URL>https://neda.gov.ph/wp-content/uploads/2021/09/120921_PWSSMP_Main-Report.pdf</b:URL>
    <b:RefOrder>11</b:RefOrder>
  </b:Source>
  <b:Source>
    <b:Tag>Moi20</b:Tag>
    <b:SourceType>JournalArticle</b:SourceType>
    <b:Guid>{6E57D45A-F03C-5C44-91E8-EED24E8818B1}</b:Guid>
    <b:Author>
      <b:Author>
        <b:Corporate>Torrentira, M.</b:Corporate>
      </b:Author>
    </b:Author>
    <b:Title>Online data collection as adaptation in conducting quantitative and qualitative research during the COVID-19 pandemic</b:Title>
    <b:JournalName>European Journal of Education Studies, 7(11).</b:JournalName>
    <b:Year>2020</b:Year>
    <b:RefOrder>12</b:RefOrder>
  </b:Source>
  <b:Source>
    <b:Tag>Agn15</b:Tag>
    <b:SourceType>JournalArticle</b:SourceType>
    <b:Guid>{F074B363-635F-404D-B561-05902454A190}</b:Guid>
    <b:Title>Drivers of water governance reforms in the Philippines</b:Title>
    <b:Year>2015</b:Year>
    <b:Author>
      <b:Author>
        <b:Corporate>Rola, et al.</b:Corporate>
      </b:Author>
    </b:Author>
    <b:JournalName>International Journal of Water Resources Development</b:JournalName>
    <b:RefOrder>13</b:RefOrder>
  </b:Source>
  <b:Source>
    <b:Tag>NWR76</b:Tag>
    <b:SourceType>InternetSite</b:SourceType>
    <b:Guid>{53F83ECE-516F-B54C-92BE-A20FA6563343}</b:Guid>
    <b:Title>Water Code of the Philippines</b:Title>
    <b:Year>1976</b:Year>
    <b:Author>
      <b:Author>
        <b:NameList>
          <b:Person>
            <b:Last>NWRB</b:Last>
          </b:Person>
        </b:NameList>
      </b:Author>
    </b:Author>
    <b:InternetSiteTitle>nwrb.gov.ph</b:InternetSiteTitle>
    <b:URL>https://nwrb.gov.ph/wp-content/uploads/2023/03/Law_PD1067_WaterCode_Amended.pdf</b:URL>
    <b:RefOrder>14</b:RefOrder>
  </b:Source>
  <b:Source>
    <b:Tag>Hal141</b:Tag>
    <b:SourceType>ConferenceProceedings</b:SourceType>
    <b:Guid>{A3A90D46-659D-F841-AA0C-4521385A1921}</b:Guid>
    <b:Author>
      <b:Author>
        <b:NameList>
          <b:Person>
            <b:Last>Hall</b:Last>
            <b:First>et</b:First>
            <b:Middle>al.</b:Middle>
          </b:Person>
        </b:NameList>
      </b:Author>
    </b:Author>
    <b:Title>To the Last Drop: The political economy of Philippine water policy</b:Title>
    <b:ConferenceName>Philippines Studies Conference</b:ConferenceName>
    <b:Year>2014</b:Year>
    <b:RefOrder>15</b:RefOrder>
  </b:Source>
  <b:Source>
    <b:Tag>Agn11</b:Tag>
    <b:SourceType>Book</b:SourceType>
    <b:Guid>{1240674C-3DC3-174C-A716-741314926A7F}</b:Guid>
    <b:Title>An upland community in transition: Institutional innovations for sustainable development in rural Philippines (Vol. 442)</b:Title>
    <b:Publisher>Institute of Southeast Asian Studies.</b:Publisher>
    <b:Year>2011</b:Year>
    <b:Author>
      <b:Author>
        <b:NameList>
          <b:Person>
            <b:Last>Rola</b:Last>
            <b:First>Agnes</b:First>
            <b:Middle>C.</b:Middle>
          </b:Person>
        </b:NameList>
      </b:Author>
    </b:Author>
    <b:RefOrder>16</b:RefOrder>
  </b:Source>
  <b:Source>
    <b:Tag>REP21</b:Tag>
    <b:SourceType>DocumentFromInternetSite</b:SourceType>
    <b:Guid>{8AB2D362-EE19-9141-B30B-1A2F46059977}</b:Guid>
    <b:Author>
      <b:Author>
        <b:NameList>
          <b:Person>
            <b:Last>COA</b:Last>
          </b:Person>
        </b:NameList>
      </b:Author>
    </b:Author>
    <b:Title>Commission on Audit</b:Title>
    <b:Year>2021</b:Year>
    <b:InternetSiteTitle>www.coa.gov.ph</b:InternetSiteTitle>
    <b:URL>https://www.coa.gov.ph/wpfd_file/new-bataan-annual-audit-report-2021/</b:URL>
    <b:RefOrder>17</b:RefOrder>
  </b:Source>
</b:Sources>
</file>

<file path=customXml/itemProps1.xml><?xml version="1.0" encoding="utf-8"?>
<ds:datastoreItem xmlns:ds="http://schemas.openxmlformats.org/officeDocument/2006/customXml" ds:itemID="{FF45027C-999B-BE40-AE36-2337EBECC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2755</Words>
  <Characters>15710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ALIGWAY Nikko Andre Dublan</cp:lastModifiedBy>
  <cp:revision>9</cp:revision>
  <cp:lastPrinted>2023-05-20T13:03:00Z</cp:lastPrinted>
  <dcterms:created xsi:type="dcterms:W3CDTF">2022-12-17T05:38:00Z</dcterms:created>
  <dcterms:modified xsi:type="dcterms:W3CDTF">2023-05-20T13:26:00Z</dcterms:modified>
</cp:coreProperties>
</file>