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4192" w14:textId="77777777" w:rsidR="009C3AFD" w:rsidRPr="001B3791" w:rsidRDefault="00400F1A" w:rsidP="002C0C18">
      <w:pPr>
        <w:jc w:val="center"/>
        <w:rPr>
          <w:rFonts w:ascii="Times New Roman" w:hAnsi="Times New Roman" w:cs="Times New Roman"/>
          <w:b/>
          <w:sz w:val="28"/>
          <w:szCs w:val="28"/>
        </w:rPr>
      </w:pPr>
      <w:r>
        <w:rPr>
          <w:rFonts w:ascii="Arial" w:hAnsi="Arial" w:cs="Arial"/>
          <w:sz w:val="28"/>
          <w:szCs w:val="28"/>
        </w:rPr>
        <w:t xml:space="preserve">  </w:t>
      </w:r>
      <w:r w:rsidR="00CD43AE" w:rsidRPr="001B3791">
        <w:rPr>
          <w:rFonts w:ascii="Times New Roman" w:hAnsi="Times New Roman" w:cs="Times New Roman"/>
          <w:b/>
          <w:sz w:val="28"/>
          <w:szCs w:val="28"/>
        </w:rPr>
        <w:t xml:space="preserve">RECENT </w:t>
      </w:r>
      <w:r w:rsidR="00605C87" w:rsidRPr="001B3791">
        <w:rPr>
          <w:rFonts w:ascii="Times New Roman" w:hAnsi="Times New Roman" w:cs="Times New Roman"/>
          <w:b/>
          <w:sz w:val="28"/>
          <w:szCs w:val="28"/>
        </w:rPr>
        <w:t>LITERATURE</w:t>
      </w:r>
      <w:r w:rsidR="00CD43AE" w:rsidRPr="001B3791">
        <w:rPr>
          <w:rFonts w:ascii="Times New Roman" w:hAnsi="Times New Roman" w:cs="Times New Roman"/>
          <w:b/>
          <w:sz w:val="28"/>
          <w:szCs w:val="28"/>
        </w:rPr>
        <w:t xml:space="preserve"> IN HYDROXYAPATITE SYNTHESIS</w:t>
      </w:r>
    </w:p>
    <w:p w14:paraId="6A092B72" w14:textId="77777777" w:rsidR="008E755D" w:rsidRDefault="008E755D" w:rsidP="002C0C18">
      <w:pPr>
        <w:jc w:val="center"/>
        <w:rPr>
          <w:rFonts w:ascii="Arial" w:hAnsi="Arial" w:cs="Arial"/>
          <w:sz w:val="28"/>
          <w:szCs w:val="28"/>
        </w:rPr>
      </w:pPr>
    </w:p>
    <w:p w14:paraId="7CD49119" w14:textId="77777777" w:rsidR="008E755D" w:rsidRPr="001B3791" w:rsidRDefault="008E755D" w:rsidP="008E755D">
      <w:pPr>
        <w:rPr>
          <w:rFonts w:ascii="Times New Roman" w:hAnsi="Times New Roman" w:cs="Times New Roman"/>
          <w:b/>
          <w:sz w:val="28"/>
          <w:szCs w:val="28"/>
        </w:rPr>
      </w:pPr>
      <w:r w:rsidRPr="001B3791">
        <w:rPr>
          <w:rFonts w:ascii="Times New Roman" w:hAnsi="Times New Roman" w:cs="Times New Roman"/>
          <w:b/>
          <w:sz w:val="28"/>
          <w:szCs w:val="28"/>
        </w:rPr>
        <w:t xml:space="preserve">ABSTRACT: </w:t>
      </w:r>
    </w:p>
    <w:p w14:paraId="01CF6060" w14:textId="1E1771F8" w:rsidR="008E755D" w:rsidRPr="001B3791" w:rsidRDefault="008E755D" w:rsidP="008E755D">
      <w:pPr>
        <w:rPr>
          <w:rFonts w:ascii="Times New Roman" w:hAnsi="Times New Roman" w:cs="Times New Roman"/>
          <w:sz w:val="28"/>
          <w:szCs w:val="28"/>
        </w:rPr>
      </w:pPr>
      <w:r w:rsidRPr="001B3791">
        <w:rPr>
          <w:rFonts w:ascii="Times New Roman" w:hAnsi="Times New Roman" w:cs="Times New Roman"/>
          <w:sz w:val="28"/>
          <w:szCs w:val="28"/>
        </w:rPr>
        <w:t xml:space="preserve">          Keywords</w:t>
      </w:r>
      <w:r w:rsidRPr="003006B9">
        <w:rPr>
          <w:rFonts w:ascii="Times New Roman" w:hAnsi="Times New Roman" w:cs="Times New Roman"/>
          <w:i/>
          <w:iCs/>
          <w:sz w:val="28"/>
          <w:szCs w:val="28"/>
        </w:rPr>
        <w:t xml:space="preserve">: </w:t>
      </w:r>
      <w:proofErr w:type="spellStart"/>
      <w:proofErr w:type="gramStart"/>
      <w:r w:rsidR="003006B9" w:rsidRPr="003006B9">
        <w:rPr>
          <w:rFonts w:ascii="Times New Roman" w:hAnsi="Times New Roman" w:cs="Times New Roman"/>
          <w:i/>
          <w:iCs/>
          <w:sz w:val="28"/>
          <w:szCs w:val="28"/>
        </w:rPr>
        <w:t>Hydroxyapatite,biomedical</w:t>
      </w:r>
      <w:proofErr w:type="gramEnd"/>
      <w:r w:rsidR="003006B9" w:rsidRPr="003006B9">
        <w:rPr>
          <w:rFonts w:ascii="Times New Roman" w:hAnsi="Times New Roman" w:cs="Times New Roman"/>
          <w:i/>
          <w:iCs/>
          <w:sz w:val="28"/>
          <w:szCs w:val="28"/>
        </w:rPr>
        <w:t>,calcium,bones,nano</w:t>
      </w:r>
      <w:proofErr w:type="spellEnd"/>
      <w:r w:rsidR="003006B9" w:rsidRPr="003006B9">
        <w:rPr>
          <w:rFonts w:ascii="Times New Roman" w:hAnsi="Times New Roman" w:cs="Times New Roman"/>
          <w:i/>
          <w:iCs/>
          <w:sz w:val="28"/>
          <w:szCs w:val="28"/>
        </w:rPr>
        <w:t xml:space="preserve"> size</w:t>
      </w:r>
    </w:p>
    <w:p w14:paraId="0BB0F2C2" w14:textId="726214BE" w:rsidR="00CD43AE" w:rsidRPr="00D220BE" w:rsidRDefault="00D220BE" w:rsidP="00D220BE">
      <w:pPr>
        <w:jc w:val="both"/>
        <w:rPr>
          <w:rFonts w:ascii="Times New Roman" w:hAnsi="Times New Roman" w:cs="Times New Roman"/>
          <w:sz w:val="24"/>
          <w:szCs w:val="24"/>
        </w:rPr>
      </w:pPr>
      <w:r w:rsidRPr="00D220BE">
        <w:rPr>
          <w:rFonts w:ascii="Times New Roman" w:hAnsi="Times New Roman" w:cs="Times New Roman"/>
          <w:sz w:val="24"/>
          <w:szCs w:val="24"/>
        </w:rPr>
        <w:t>Due to its chemical similarity to human bone and teeth and its widespread use in biomedical applications, hydroxyapatite (</w:t>
      </w:r>
      <w:proofErr w:type="spellStart"/>
      <w:r w:rsidRPr="00D220BE">
        <w:rPr>
          <w:rFonts w:ascii="Times New Roman" w:hAnsi="Times New Roman" w:cs="Times New Roman"/>
          <w:sz w:val="24"/>
          <w:szCs w:val="24"/>
        </w:rPr>
        <w:t>HAp</w:t>
      </w:r>
      <w:proofErr w:type="spellEnd"/>
      <w:r w:rsidRPr="00D220BE">
        <w:rPr>
          <w:rFonts w:ascii="Times New Roman" w:hAnsi="Times New Roman" w:cs="Times New Roman"/>
          <w:sz w:val="24"/>
          <w:szCs w:val="24"/>
        </w:rPr>
        <w:t xml:space="preserve">) is the most popular calcium phosphate ceramic. Using chemical precursors, particularly calcium and phosphorus, hydroxyapatite can be created utilising a variety of techniques, including dry, wet, thermal, or a combination of these techniques. </w:t>
      </w:r>
      <w:proofErr w:type="spellStart"/>
      <w:r w:rsidRPr="00D220BE">
        <w:rPr>
          <w:rFonts w:ascii="Times New Roman" w:hAnsi="Times New Roman" w:cs="Times New Roman"/>
          <w:sz w:val="24"/>
          <w:szCs w:val="24"/>
        </w:rPr>
        <w:t>HAp</w:t>
      </w:r>
      <w:proofErr w:type="spellEnd"/>
      <w:r w:rsidRPr="00D220BE">
        <w:rPr>
          <w:rFonts w:ascii="Times New Roman" w:hAnsi="Times New Roman" w:cs="Times New Roman"/>
          <w:sz w:val="24"/>
          <w:szCs w:val="24"/>
        </w:rPr>
        <w:t xml:space="preserve"> can also be obtained from natural sources, such as the </w:t>
      </w:r>
      <w:proofErr w:type="spellStart"/>
      <w:r w:rsidRPr="00D220BE">
        <w:rPr>
          <w:rFonts w:ascii="Times New Roman" w:hAnsi="Times New Roman" w:cs="Times New Roman"/>
          <w:sz w:val="24"/>
          <w:szCs w:val="24"/>
        </w:rPr>
        <w:t>HAp</w:t>
      </w:r>
      <w:proofErr w:type="spellEnd"/>
      <w:r w:rsidRPr="00D220BE">
        <w:rPr>
          <w:rFonts w:ascii="Times New Roman" w:hAnsi="Times New Roman" w:cs="Times New Roman"/>
          <w:sz w:val="24"/>
          <w:szCs w:val="24"/>
        </w:rPr>
        <w:t xml:space="preserve">-rich scales and bones of animals, as an alternative to chemical </w:t>
      </w:r>
      <w:proofErr w:type="spellStart"/>
      <w:proofErr w:type="gramStart"/>
      <w:r w:rsidRPr="00D220BE">
        <w:rPr>
          <w:rFonts w:ascii="Times New Roman" w:hAnsi="Times New Roman" w:cs="Times New Roman"/>
          <w:sz w:val="24"/>
          <w:szCs w:val="24"/>
        </w:rPr>
        <w:t>manufacture.Several</w:t>
      </w:r>
      <w:proofErr w:type="spellEnd"/>
      <w:proofErr w:type="gramEnd"/>
      <w:r w:rsidRPr="00D220BE">
        <w:rPr>
          <w:rFonts w:ascii="Times New Roman" w:hAnsi="Times New Roman" w:cs="Times New Roman"/>
          <w:sz w:val="24"/>
          <w:szCs w:val="24"/>
        </w:rPr>
        <w:t xml:space="preserve"> synthesising techniques produce crystals with various morphologies, sizes, and phase crystallinities. Because of the human bone, the goal of creating a nano-sized </w:t>
      </w:r>
      <w:proofErr w:type="spellStart"/>
      <w:r w:rsidRPr="00D220BE">
        <w:rPr>
          <w:rFonts w:ascii="Times New Roman" w:hAnsi="Times New Roman" w:cs="Times New Roman"/>
          <w:sz w:val="24"/>
          <w:szCs w:val="24"/>
        </w:rPr>
        <w:t>HAp</w:t>
      </w:r>
      <w:proofErr w:type="spellEnd"/>
      <w:r w:rsidRPr="00D220BE">
        <w:rPr>
          <w:rFonts w:ascii="Times New Roman" w:hAnsi="Times New Roman" w:cs="Times New Roman"/>
          <w:sz w:val="24"/>
          <w:szCs w:val="24"/>
        </w:rPr>
        <w:t xml:space="preserve"> has garnered a lot of </w:t>
      </w:r>
      <w:proofErr w:type="spellStart"/>
      <w:proofErr w:type="gramStart"/>
      <w:r w:rsidRPr="00D220BE">
        <w:rPr>
          <w:rFonts w:ascii="Times New Roman" w:hAnsi="Times New Roman" w:cs="Times New Roman"/>
          <w:sz w:val="24"/>
          <w:szCs w:val="24"/>
        </w:rPr>
        <w:t>attention.The</w:t>
      </w:r>
      <w:proofErr w:type="spellEnd"/>
      <w:proofErr w:type="gramEnd"/>
      <w:r w:rsidRPr="00D220BE">
        <w:rPr>
          <w:rFonts w:ascii="Times New Roman" w:hAnsi="Times New Roman" w:cs="Times New Roman"/>
          <w:sz w:val="24"/>
          <w:szCs w:val="24"/>
        </w:rPr>
        <w:t xml:space="preserve"> clinical performance of </w:t>
      </w:r>
      <w:proofErr w:type="spellStart"/>
      <w:r w:rsidRPr="00D220BE">
        <w:rPr>
          <w:rFonts w:ascii="Times New Roman" w:hAnsi="Times New Roman" w:cs="Times New Roman"/>
          <w:sz w:val="24"/>
          <w:szCs w:val="24"/>
        </w:rPr>
        <w:t>HAp</w:t>
      </w:r>
      <w:proofErr w:type="spellEnd"/>
      <w:r w:rsidRPr="00D220BE">
        <w:rPr>
          <w:rFonts w:ascii="Times New Roman" w:hAnsi="Times New Roman" w:cs="Times New Roman"/>
          <w:sz w:val="24"/>
          <w:szCs w:val="24"/>
        </w:rPr>
        <w:t xml:space="preserve"> in the nano size range is superior than that of </w:t>
      </w:r>
      <w:proofErr w:type="spellStart"/>
      <w:r w:rsidRPr="00D220BE">
        <w:rPr>
          <w:rFonts w:ascii="Times New Roman" w:hAnsi="Times New Roman" w:cs="Times New Roman"/>
          <w:sz w:val="24"/>
          <w:szCs w:val="24"/>
        </w:rPr>
        <w:t>HAp</w:t>
      </w:r>
      <w:proofErr w:type="spellEnd"/>
      <w:r w:rsidRPr="00D220BE">
        <w:rPr>
          <w:rFonts w:ascii="Times New Roman" w:hAnsi="Times New Roman" w:cs="Times New Roman"/>
          <w:sz w:val="24"/>
          <w:szCs w:val="24"/>
        </w:rPr>
        <w:t xml:space="preserve"> in the micron size range.</w:t>
      </w:r>
    </w:p>
    <w:p w14:paraId="1E5DB294" w14:textId="77777777" w:rsidR="00CD43AE" w:rsidRPr="001B3791" w:rsidRDefault="00CD43AE" w:rsidP="00A60EDF">
      <w:pPr>
        <w:jc w:val="both"/>
        <w:rPr>
          <w:rFonts w:ascii="Times New Roman" w:hAnsi="Times New Roman" w:cs="Times New Roman"/>
          <w:b/>
          <w:sz w:val="24"/>
          <w:szCs w:val="24"/>
        </w:rPr>
      </w:pPr>
      <w:r w:rsidRPr="001B3791">
        <w:rPr>
          <w:rFonts w:ascii="Times New Roman" w:hAnsi="Times New Roman" w:cs="Times New Roman"/>
          <w:b/>
          <w:sz w:val="24"/>
          <w:szCs w:val="24"/>
        </w:rPr>
        <w:t>INTRODUCTION:</w:t>
      </w:r>
    </w:p>
    <w:p w14:paraId="0B98A7C8" w14:textId="77777777" w:rsidR="004C5639" w:rsidRPr="001B3791" w:rsidRDefault="005F6BC7" w:rsidP="00D5420C">
      <w:pPr>
        <w:spacing w:line="360" w:lineRule="auto"/>
        <w:jc w:val="both"/>
        <w:rPr>
          <w:rFonts w:ascii="Times New Roman" w:hAnsi="Times New Roman" w:cs="Times New Roman"/>
          <w:sz w:val="24"/>
          <w:szCs w:val="24"/>
        </w:rPr>
      </w:pPr>
      <w:r w:rsidRPr="001B3791">
        <w:rPr>
          <w:rFonts w:ascii="Times New Roman" w:hAnsi="Times New Roman" w:cs="Times New Roman"/>
          <w:sz w:val="24"/>
          <w:szCs w:val="24"/>
        </w:rPr>
        <w:t xml:space="preserve">          Wound healing occurs in four distinct and highly programmed stages in the human body as a normal biological process: </w:t>
      </w:r>
      <w:proofErr w:type="spellStart"/>
      <w:r w:rsidRPr="001B3791">
        <w:rPr>
          <w:rFonts w:ascii="Times New Roman" w:hAnsi="Times New Roman" w:cs="Times New Roman"/>
          <w:sz w:val="24"/>
          <w:szCs w:val="24"/>
        </w:rPr>
        <w:t>hemostasis</w:t>
      </w:r>
      <w:proofErr w:type="spellEnd"/>
      <w:r w:rsidRPr="001B3791">
        <w:rPr>
          <w:rFonts w:ascii="Times New Roman" w:hAnsi="Times New Roman" w:cs="Times New Roman"/>
          <w:sz w:val="24"/>
          <w:szCs w:val="24"/>
        </w:rPr>
        <w:t xml:space="preserve">, inflammation, proliferation, and </w:t>
      </w:r>
      <w:proofErr w:type="spellStart"/>
      <w:r w:rsidRPr="001B3791">
        <w:rPr>
          <w:rFonts w:ascii="Times New Roman" w:hAnsi="Times New Roman" w:cs="Times New Roman"/>
          <w:sz w:val="24"/>
          <w:szCs w:val="24"/>
        </w:rPr>
        <w:t>remodeling</w:t>
      </w:r>
      <w:proofErr w:type="spellEnd"/>
      <w:r w:rsidRPr="001B3791">
        <w:rPr>
          <w:rFonts w:ascii="Times New Roman" w:hAnsi="Times New Roman" w:cs="Times New Roman"/>
          <w:sz w:val="24"/>
          <w:szCs w:val="24"/>
        </w:rPr>
        <w:t xml:space="preserve"> [1]. Bone fractures are a common injury</w:t>
      </w:r>
      <w:r w:rsidR="006A6FD5" w:rsidRPr="001B3791">
        <w:rPr>
          <w:rFonts w:ascii="Times New Roman" w:hAnsi="Times New Roman" w:cs="Times New Roman"/>
          <w:sz w:val="24"/>
          <w:szCs w:val="24"/>
        </w:rPr>
        <w:t>; the</w:t>
      </w:r>
      <w:r w:rsidRPr="001B3791">
        <w:rPr>
          <w:rFonts w:ascii="Times New Roman" w:hAnsi="Times New Roman" w:cs="Times New Roman"/>
          <w:sz w:val="24"/>
          <w:szCs w:val="24"/>
        </w:rPr>
        <w:t xml:space="preserve"> healing process is complex </w:t>
      </w:r>
      <w:r w:rsidR="00473CF8" w:rsidRPr="001B3791">
        <w:rPr>
          <w:rFonts w:ascii="Times New Roman" w:hAnsi="Times New Roman" w:cs="Times New Roman"/>
          <w:sz w:val="24"/>
          <w:szCs w:val="24"/>
        </w:rPr>
        <w:t xml:space="preserve">and involves both mechanical and biological aspects </w:t>
      </w:r>
      <w:r w:rsidRPr="001B3791">
        <w:rPr>
          <w:rFonts w:ascii="Times New Roman" w:hAnsi="Times New Roman" w:cs="Times New Roman"/>
          <w:sz w:val="24"/>
          <w:szCs w:val="24"/>
        </w:rPr>
        <w:t xml:space="preserve">[2]. Bone is one of a few tissues that </w:t>
      </w:r>
      <w:r w:rsidR="00473CF8" w:rsidRPr="001B3791">
        <w:rPr>
          <w:rFonts w:ascii="Times New Roman" w:hAnsi="Times New Roman" w:cs="Times New Roman"/>
          <w:sz w:val="24"/>
          <w:szCs w:val="24"/>
        </w:rPr>
        <w:t>can</w:t>
      </w:r>
      <w:r w:rsidRPr="001B3791">
        <w:rPr>
          <w:rFonts w:ascii="Times New Roman" w:hAnsi="Times New Roman" w:cs="Times New Roman"/>
          <w:sz w:val="24"/>
          <w:szCs w:val="24"/>
        </w:rPr>
        <w:t xml:space="preserve"> heal without forming a fibrous scar.  The bone injury or wounds can be caused by a variety of reasons, including falling from a height, trauma, motor vehicle accidents, direct blows, and repetitive forces such as those caused by running that can cause stress fractures on the foot, ankle, tibia, or hip, and other types of accidents.</w:t>
      </w:r>
      <w:r w:rsidR="00362E69" w:rsidRPr="001B3791">
        <w:rPr>
          <w:rFonts w:ascii="Times New Roman" w:hAnsi="Times New Roman" w:cs="Times New Roman"/>
          <w:sz w:val="24"/>
          <w:szCs w:val="24"/>
        </w:rPr>
        <w:t xml:space="preserve"> Bone healing is a complex restorative process that can be divided into primary (direct) and secondary (indirect) healing.</w:t>
      </w:r>
    </w:p>
    <w:p w14:paraId="7A696DF2" w14:textId="77777777" w:rsidR="002C0C18" w:rsidRPr="001B3791" w:rsidRDefault="004C5639" w:rsidP="00D5420C">
      <w:pPr>
        <w:spacing w:line="360" w:lineRule="auto"/>
        <w:jc w:val="both"/>
        <w:rPr>
          <w:rFonts w:ascii="Times New Roman" w:hAnsi="Times New Roman" w:cs="Times New Roman"/>
        </w:rPr>
      </w:pPr>
      <w:r w:rsidRPr="001B3791">
        <w:rPr>
          <w:rFonts w:ascii="Times New Roman" w:hAnsi="Times New Roman" w:cs="Times New Roman"/>
          <w:sz w:val="24"/>
          <w:szCs w:val="24"/>
        </w:rPr>
        <w:t xml:space="preserve">    </w:t>
      </w:r>
      <w:r w:rsidR="002C0C18" w:rsidRPr="001B3791">
        <w:rPr>
          <w:rFonts w:ascii="Times New Roman" w:hAnsi="Times New Roman" w:cs="Times New Roman"/>
          <w:sz w:val="24"/>
          <w:szCs w:val="24"/>
        </w:rPr>
        <w:t xml:space="preserve">The Haversian canals, blood vessels, and lamellar bone directly </w:t>
      </w:r>
      <w:proofErr w:type="spellStart"/>
      <w:r w:rsidR="00FB7C7D" w:rsidRPr="001B3791">
        <w:rPr>
          <w:rFonts w:ascii="Times New Roman" w:hAnsi="Times New Roman" w:cs="Times New Roman"/>
          <w:sz w:val="24"/>
          <w:szCs w:val="24"/>
        </w:rPr>
        <w:t>remodeling</w:t>
      </w:r>
      <w:proofErr w:type="spellEnd"/>
      <w:r w:rsidR="002C0C18" w:rsidRPr="001B3791">
        <w:rPr>
          <w:rFonts w:ascii="Times New Roman" w:hAnsi="Times New Roman" w:cs="Times New Roman"/>
          <w:sz w:val="24"/>
          <w:szCs w:val="24"/>
        </w:rPr>
        <w:t xml:space="preserve"> each other can result in direct bone healing.</w:t>
      </w:r>
      <w:r w:rsidR="00C85907" w:rsidRPr="001B3791">
        <w:rPr>
          <w:rFonts w:ascii="Times New Roman" w:hAnsi="Times New Roman" w:cs="Times New Roman"/>
          <w:sz w:val="24"/>
          <w:szCs w:val="24"/>
        </w:rPr>
        <w:t xml:space="preserve"> Direct bone healing is feasible when the fracture ends are compressed together and rigid fixation is employed to</w:t>
      </w:r>
      <w:r w:rsidR="00C747F1" w:rsidRPr="001B3791">
        <w:rPr>
          <w:rFonts w:ascii="Times New Roman" w:hAnsi="Times New Roman" w:cs="Times New Roman"/>
          <w:sz w:val="24"/>
          <w:szCs w:val="24"/>
        </w:rPr>
        <w:t xml:space="preserve"> reduce interfragmentary strain [3].</w:t>
      </w:r>
      <w:r w:rsidR="00F06871" w:rsidRPr="001B3791">
        <w:rPr>
          <w:rFonts w:ascii="Times New Roman" w:hAnsi="Times New Roman" w:cs="Times New Roman"/>
          <w:sz w:val="24"/>
          <w:szCs w:val="24"/>
        </w:rPr>
        <w:t xml:space="preserve"> Secondary bone healing occurs when the fractured bones' ends are close enough to heal</w:t>
      </w:r>
      <w:r w:rsidR="006A6FD5" w:rsidRPr="001B3791">
        <w:rPr>
          <w:rFonts w:ascii="Times New Roman" w:hAnsi="Times New Roman" w:cs="Times New Roman"/>
          <w:sz w:val="24"/>
          <w:szCs w:val="24"/>
        </w:rPr>
        <w:t>, not</w:t>
      </w:r>
      <w:r w:rsidR="00F06871" w:rsidRPr="001B3791">
        <w:rPr>
          <w:rFonts w:ascii="Times New Roman" w:hAnsi="Times New Roman" w:cs="Times New Roman"/>
          <w:sz w:val="24"/>
          <w:szCs w:val="24"/>
        </w:rPr>
        <w:t xml:space="preserve"> perfectly opposed, or when the fracture site moves. This movement is typical with cast immobilization or the insertion of an intramedullary nail or rod. Secondary bone healing includes the classic stages of injury, </w:t>
      </w:r>
      <w:proofErr w:type="spellStart"/>
      <w:r w:rsidR="00F06871" w:rsidRPr="001B3791">
        <w:rPr>
          <w:rFonts w:ascii="Times New Roman" w:hAnsi="Times New Roman" w:cs="Times New Roman"/>
          <w:sz w:val="24"/>
          <w:szCs w:val="24"/>
        </w:rPr>
        <w:t>hemorrhage</w:t>
      </w:r>
      <w:proofErr w:type="spellEnd"/>
      <w:r w:rsidR="00F06871" w:rsidRPr="001B3791">
        <w:rPr>
          <w:rFonts w:ascii="Times New Roman" w:hAnsi="Times New Roman" w:cs="Times New Roman"/>
          <w:sz w:val="24"/>
          <w:szCs w:val="24"/>
        </w:rPr>
        <w:t>, inflammation, and "scar" formation. The "scar" in bone is a soft callus made of cartilage that then mineralizes and remodels so that, unlike skin, the tissue can eventually become normal tissue (without any permanent scarring).</w:t>
      </w:r>
    </w:p>
    <w:p w14:paraId="39ABCDA5" w14:textId="77777777" w:rsidR="00392EE9" w:rsidRPr="001B3791" w:rsidRDefault="00F06871" w:rsidP="00D5420C">
      <w:pPr>
        <w:spacing w:line="360" w:lineRule="auto"/>
        <w:jc w:val="both"/>
        <w:rPr>
          <w:rFonts w:ascii="Times New Roman" w:hAnsi="Times New Roman" w:cs="Times New Roman"/>
          <w:sz w:val="24"/>
          <w:szCs w:val="24"/>
        </w:rPr>
      </w:pPr>
      <w:r w:rsidRPr="001B3791">
        <w:rPr>
          <w:rFonts w:ascii="Times New Roman" w:hAnsi="Times New Roman" w:cs="Times New Roman"/>
          <w:sz w:val="24"/>
          <w:szCs w:val="24"/>
        </w:rPr>
        <w:lastRenderedPageBreak/>
        <w:t xml:space="preserve">     </w:t>
      </w:r>
      <w:r w:rsidR="00A60EDF" w:rsidRPr="001B3791">
        <w:rPr>
          <w:rFonts w:ascii="Times New Roman" w:hAnsi="Times New Roman" w:cs="Times New Roman"/>
          <w:sz w:val="24"/>
          <w:szCs w:val="24"/>
        </w:rPr>
        <w:t>Globally, in 2019, there were 178 million (95% UI 162–196) new fractures (an increase of 33·4% [30·1–37·0] since 1990), 455 million (428–484) prevalent cases of acute or long-term symptoms of a fracture (an increase of 70·1% [67·5–72·5] since 1990) [4]</w:t>
      </w:r>
      <w:r w:rsidRPr="001B3791">
        <w:rPr>
          <w:rFonts w:ascii="Times New Roman" w:hAnsi="Times New Roman" w:cs="Times New Roman"/>
          <w:sz w:val="24"/>
          <w:szCs w:val="24"/>
        </w:rPr>
        <w:t xml:space="preserve">. </w:t>
      </w:r>
      <w:r w:rsidR="00FB3307" w:rsidRPr="001B3791">
        <w:rPr>
          <w:rFonts w:ascii="Times New Roman" w:hAnsi="Times New Roman" w:cs="Times New Roman"/>
          <w:sz w:val="24"/>
          <w:szCs w:val="24"/>
        </w:rPr>
        <w:t xml:space="preserve"> Up to 10% of all fractures may experience failed or delayed healing, which can be brought on by a variety of conditions like an infection, a </w:t>
      </w:r>
      <w:proofErr w:type="spellStart"/>
      <w:r w:rsidR="0062214B" w:rsidRPr="001B3791">
        <w:rPr>
          <w:rFonts w:ascii="Times New Roman" w:hAnsi="Times New Roman" w:cs="Times New Roman"/>
          <w:sz w:val="24"/>
          <w:szCs w:val="24"/>
        </w:rPr>
        <w:t>tumor</w:t>
      </w:r>
      <w:proofErr w:type="spellEnd"/>
      <w:r w:rsidR="00FB3307" w:rsidRPr="001B3791">
        <w:rPr>
          <w:rFonts w:ascii="Times New Roman" w:hAnsi="Times New Roman" w:cs="Times New Roman"/>
          <w:sz w:val="24"/>
          <w:szCs w:val="24"/>
        </w:rPr>
        <w:t>, or a disrupted vascular supply [5].</w:t>
      </w:r>
      <w:r w:rsidR="002D5701" w:rsidRPr="001B3791">
        <w:rPr>
          <w:rFonts w:ascii="Times New Roman" w:hAnsi="Times New Roman" w:cs="Times New Roman"/>
          <w:sz w:val="24"/>
          <w:szCs w:val="24"/>
        </w:rPr>
        <w:t xml:space="preserve"> </w:t>
      </w:r>
      <w:r w:rsidR="00F56A65" w:rsidRPr="001B3791">
        <w:rPr>
          <w:rFonts w:ascii="Times New Roman" w:hAnsi="Times New Roman" w:cs="Times New Roman"/>
          <w:sz w:val="24"/>
          <w:szCs w:val="24"/>
        </w:rPr>
        <w:t>Vascular injury and fractures are linked to greater mortality and poorer prognoses, particularly when there is quick and significant blood loss into the pelvic or femoral soft tissue compartments [6].</w:t>
      </w:r>
    </w:p>
    <w:p w14:paraId="0EFD0464" w14:textId="77777777" w:rsidR="00C10F27" w:rsidRPr="001B3791" w:rsidRDefault="00392EE9" w:rsidP="00D5420C">
      <w:pPr>
        <w:spacing w:line="360" w:lineRule="auto"/>
        <w:jc w:val="both"/>
        <w:rPr>
          <w:rFonts w:ascii="Times New Roman" w:hAnsi="Times New Roman" w:cs="Times New Roman"/>
          <w:sz w:val="24"/>
          <w:szCs w:val="24"/>
        </w:rPr>
      </w:pPr>
      <w:r w:rsidRPr="001B3791">
        <w:rPr>
          <w:rFonts w:ascii="Times New Roman" w:hAnsi="Times New Roman" w:cs="Times New Roman"/>
          <w:sz w:val="24"/>
          <w:szCs w:val="24"/>
        </w:rPr>
        <w:t xml:space="preserve">     The increased rate of accidental bone fractures in the elderly population has been linked to their decreased mobility and strength</w:t>
      </w:r>
      <w:r w:rsidR="0019636B" w:rsidRPr="001B3791">
        <w:rPr>
          <w:rFonts w:ascii="Times New Roman" w:hAnsi="Times New Roman" w:cs="Times New Roman"/>
          <w:sz w:val="24"/>
          <w:szCs w:val="24"/>
        </w:rPr>
        <w:t xml:space="preserve"> [7]</w:t>
      </w:r>
      <w:r w:rsidR="00152EA0" w:rsidRPr="001B3791">
        <w:rPr>
          <w:rFonts w:ascii="Times New Roman" w:hAnsi="Times New Roman" w:cs="Times New Roman"/>
          <w:sz w:val="24"/>
          <w:szCs w:val="24"/>
        </w:rPr>
        <w:t xml:space="preserve">. The fractures have profound impacts on physical function or activity. These effects build up over time through a cycle of impairment, whereby a fracture causes longer-term physical function losses, such as muscle loss, activity avoidance, and decreased physical capacity, </w:t>
      </w:r>
      <w:r w:rsidR="006A6FD5" w:rsidRPr="001B3791">
        <w:rPr>
          <w:rFonts w:ascii="Times New Roman" w:hAnsi="Times New Roman" w:cs="Times New Roman"/>
          <w:sz w:val="24"/>
          <w:szCs w:val="24"/>
        </w:rPr>
        <w:t>increasing the risk of fracture and raising</w:t>
      </w:r>
      <w:r w:rsidR="00152EA0" w:rsidRPr="001B3791">
        <w:rPr>
          <w:rFonts w:ascii="Times New Roman" w:hAnsi="Times New Roman" w:cs="Times New Roman"/>
          <w:sz w:val="24"/>
          <w:szCs w:val="24"/>
        </w:rPr>
        <w:t xml:space="preserve"> the possibility of ad</w:t>
      </w:r>
      <w:r w:rsidR="0019636B" w:rsidRPr="001B3791">
        <w:rPr>
          <w:rFonts w:ascii="Times New Roman" w:hAnsi="Times New Roman" w:cs="Times New Roman"/>
          <w:sz w:val="24"/>
          <w:szCs w:val="24"/>
        </w:rPr>
        <w:t>ditional physical limitations [8</w:t>
      </w:r>
      <w:r w:rsidR="00C10F27" w:rsidRPr="001B3791">
        <w:rPr>
          <w:rFonts w:ascii="Times New Roman" w:hAnsi="Times New Roman" w:cs="Times New Roman"/>
          <w:sz w:val="24"/>
          <w:szCs w:val="24"/>
        </w:rPr>
        <w:t>].</w:t>
      </w:r>
    </w:p>
    <w:p w14:paraId="1B9E34D1" w14:textId="77777777" w:rsidR="00F05730" w:rsidRPr="001B3791" w:rsidRDefault="00503D7F" w:rsidP="00D5420C">
      <w:pPr>
        <w:spacing w:line="360" w:lineRule="auto"/>
        <w:jc w:val="both"/>
        <w:rPr>
          <w:rFonts w:ascii="Times New Roman" w:hAnsi="Times New Roman" w:cs="Times New Roman"/>
          <w:sz w:val="24"/>
          <w:szCs w:val="24"/>
        </w:rPr>
      </w:pPr>
      <w:r w:rsidRPr="001B3791">
        <w:rPr>
          <w:rFonts w:ascii="Times New Roman" w:hAnsi="Times New Roman" w:cs="Times New Roman"/>
          <w:sz w:val="24"/>
          <w:szCs w:val="24"/>
        </w:rPr>
        <w:t xml:space="preserve">     To reduce the risk of physical impairment and to heal bone wounds, several factors are considered such as cells, growth factors/morphogenic signals, and scaffold materials to provide mechanical support and facilitate the growth of new tissues [9].</w:t>
      </w:r>
      <w:r w:rsidR="00C10F27" w:rsidRPr="001B3791">
        <w:rPr>
          <w:rFonts w:ascii="Times New Roman" w:hAnsi="Times New Roman" w:cs="Times New Roman"/>
          <w:sz w:val="24"/>
          <w:szCs w:val="24"/>
        </w:rPr>
        <w:t xml:space="preserve"> Among the factors of bone regeneration, a bone scaffold is a three-dimensional matrix that enables the stimulation and growth of </w:t>
      </w:r>
      <w:proofErr w:type="spellStart"/>
      <w:r w:rsidR="00C10F27" w:rsidRPr="001B3791">
        <w:rPr>
          <w:rFonts w:ascii="Times New Roman" w:hAnsi="Times New Roman" w:cs="Times New Roman"/>
          <w:sz w:val="24"/>
          <w:szCs w:val="24"/>
        </w:rPr>
        <w:t>osteoinducible</w:t>
      </w:r>
      <w:proofErr w:type="spellEnd"/>
      <w:r w:rsidR="00C10F27" w:rsidRPr="001B3791">
        <w:rPr>
          <w:rFonts w:ascii="Times New Roman" w:hAnsi="Times New Roman" w:cs="Times New Roman"/>
          <w:sz w:val="24"/>
          <w:szCs w:val="24"/>
        </w:rPr>
        <w:t xml:space="preserve"> cells on its surface [10].</w:t>
      </w:r>
    </w:p>
    <w:p w14:paraId="1F5CEA27" w14:textId="77777777" w:rsidR="003816A3" w:rsidRPr="001B3791" w:rsidRDefault="003816A3" w:rsidP="00D5420C">
      <w:pPr>
        <w:spacing w:line="360" w:lineRule="auto"/>
        <w:jc w:val="both"/>
        <w:rPr>
          <w:rFonts w:ascii="Times New Roman" w:hAnsi="Times New Roman" w:cs="Times New Roman"/>
          <w:sz w:val="24"/>
          <w:szCs w:val="24"/>
        </w:rPr>
      </w:pPr>
      <w:r w:rsidRPr="001B3791">
        <w:rPr>
          <w:rFonts w:ascii="Times New Roman" w:hAnsi="Times New Roman" w:cs="Times New Roman"/>
          <w:sz w:val="24"/>
          <w:szCs w:val="24"/>
        </w:rPr>
        <w:t xml:space="preserve">     </w:t>
      </w:r>
      <w:r w:rsidR="00AF022D" w:rsidRPr="001B3791">
        <w:rPr>
          <w:rFonts w:ascii="Times New Roman" w:hAnsi="Times New Roman" w:cs="Times New Roman"/>
          <w:sz w:val="24"/>
          <w:szCs w:val="24"/>
        </w:rPr>
        <w:t xml:space="preserve">Currently, bone grafts </w:t>
      </w:r>
      <w:proofErr w:type="gramStart"/>
      <w:r w:rsidR="00AF022D" w:rsidRPr="001B3791">
        <w:rPr>
          <w:rFonts w:ascii="Times New Roman" w:hAnsi="Times New Roman" w:cs="Times New Roman"/>
          <w:sz w:val="24"/>
          <w:szCs w:val="24"/>
        </w:rPr>
        <w:t>is</w:t>
      </w:r>
      <w:proofErr w:type="gramEnd"/>
      <w:r w:rsidR="00AF022D" w:rsidRPr="001B3791">
        <w:rPr>
          <w:rFonts w:ascii="Times New Roman" w:hAnsi="Times New Roman" w:cs="Times New Roman"/>
          <w:sz w:val="24"/>
          <w:szCs w:val="24"/>
        </w:rPr>
        <w:t xml:space="preserve"> the typical medication for skeletal fractures, or to replace and regenerate lost bone, as endorsed by the large number of bone graft procedures performed. </w:t>
      </w:r>
    </w:p>
    <w:p w14:paraId="4A8FA4CC" w14:textId="77777777" w:rsidR="00F05730" w:rsidRPr="001B3791" w:rsidRDefault="00F05730" w:rsidP="00D5420C">
      <w:pPr>
        <w:spacing w:line="360" w:lineRule="auto"/>
        <w:rPr>
          <w:rFonts w:ascii="Times New Roman" w:hAnsi="Times New Roman" w:cs="Times New Roman"/>
          <w:sz w:val="24"/>
          <w:szCs w:val="24"/>
        </w:rPr>
      </w:pPr>
    </w:p>
    <w:p w14:paraId="03B1FCA8" w14:textId="32325966" w:rsidR="00C10F27" w:rsidRDefault="00C10F27" w:rsidP="00F05730">
      <w:pPr>
        <w:rPr>
          <w:rFonts w:ascii="Times New Roman" w:hAnsi="Times New Roman" w:cs="Times New Roman"/>
          <w:b/>
          <w:sz w:val="24"/>
          <w:szCs w:val="24"/>
        </w:rPr>
      </w:pPr>
      <w:r w:rsidRPr="001B3791">
        <w:rPr>
          <w:rFonts w:ascii="Times New Roman" w:hAnsi="Times New Roman" w:cs="Times New Roman"/>
          <w:b/>
          <w:sz w:val="24"/>
          <w:szCs w:val="24"/>
        </w:rPr>
        <w:t>MATERIALS REQUIRED:</w:t>
      </w:r>
    </w:p>
    <w:p w14:paraId="509C5E7E" w14:textId="4DF5D725" w:rsidR="003C2EA4" w:rsidRDefault="003C2EA4" w:rsidP="003C2EA4">
      <w:r>
        <w:t>Sea Shell</w:t>
      </w:r>
    </w:p>
    <w:p w14:paraId="67CB5742" w14:textId="16EE8498" w:rsidR="003C2EA4" w:rsidRDefault="003C2EA4" w:rsidP="003C2EA4">
      <w:r>
        <w:t>Electrospinning Machine</w:t>
      </w:r>
    </w:p>
    <w:p w14:paraId="557A353A" w14:textId="61E23F07" w:rsidR="003C2EA4" w:rsidRDefault="003C2EA4" w:rsidP="003C2EA4">
      <w:r>
        <w:t>Distilled Water</w:t>
      </w:r>
    </w:p>
    <w:p w14:paraId="0E950695" w14:textId="3E9B0AFF" w:rsidR="003C2EA4" w:rsidRDefault="003C2EA4" w:rsidP="003C2EA4">
      <w:proofErr w:type="gramStart"/>
      <w:r>
        <w:t>Phosphoric  Acid</w:t>
      </w:r>
      <w:proofErr w:type="gramEnd"/>
    </w:p>
    <w:p w14:paraId="26150E14" w14:textId="5D01C113" w:rsidR="003C2EA4" w:rsidRDefault="003C2EA4" w:rsidP="00F05730">
      <w:pPr>
        <w:rPr>
          <w:rFonts w:ascii="Times New Roman" w:hAnsi="Times New Roman" w:cs="Times New Roman"/>
          <w:bCs/>
          <w:sz w:val="24"/>
          <w:szCs w:val="24"/>
        </w:rPr>
      </w:pPr>
      <w:r w:rsidRPr="003C2EA4">
        <w:rPr>
          <w:rFonts w:ascii="Times New Roman" w:hAnsi="Times New Roman" w:cs="Times New Roman"/>
          <w:bCs/>
          <w:sz w:val="24"/>
          <w:szCs w:val="24"/>
        </w:rPr>
        <w:t>Polyethylene glycol</w:t>
      </w:r>
    </w:p>
    <w:p w14:paraId="7CC62B10" w14:textId="5B1D33D8" w:rsidR="00385A46" w:rsidRPr="00385A46" w:rsidRDefault="00385A46" w:rsidP="00385A46">
      <w:pPr>
        <w:rPr>
          <w:rFonts w:ascii="Times New Roman" w:hAnsi="Times New Roman" w:cs="Times New Roman"/>
          <w:bCs/>
          <w:sz w:val="24"/>
          <w:szCs w:val="24"/>
        </w:rPr>
      </w:pPr>
      <w:r>
        <w:rPr>
          <w:rFonts w:ascii="Times New Roman" w:hAnsi="Times New Roman" w:cs="Times New Roman"/>
          <w:bCs/>
          <w:sz w:val="24"/>
          <w:szCs w:val="24"/>
        </w:rPr>
        <w:t>Chloroform</w:t>
      </w:r>
    </w:p>
    <w:p w14:paraId="6C3E7C3F" w14:textId="1C84FF94" w:rsidR="003C2EA4" w:rsidRDefault="003C2EA4" w:rsidP="00F05730">
      <w:pPr>
        <w:rPr>
          <w:rFonts w:ascii="Times New Roman" w:hAnsi="Times New Roman" w:cs="Times New Roman"/>
          <w:b/>
          <w:sz w:val="24"/>
          <w:szCs w:val="24"/>
        </w:rPr>
      </w:pPr>
      <w:r>
        <w:rPr>
          <w:rFonts w:ascii="Times New Roman" w:hAnsi="Times New Roman" w:cs="Times New Roman"/>
          <w:b/>
          <w:sz w:val="24"/>
          <w:szCs w:val="24"/>
        </w:rPr>
        <w:t>METHODOLOGY</w:t>
      </w:r>
    </w:p>
    <w:p w14:paraId="354DA044" w14:textId="2FDA4F9B" w:rsidR="00385A46" w:rsidRDefault="00385A46" w:rsidP="00385A46">
      <w:pPr>
        <w:jc w:val="both"/>
        <w:rPr>
          <w:rFonts w:ascii="Times New Roman" w:hAnsi="Times New Roman" w:cs="Times New Roman"/>
          <w:bCs/>
          <w:sz w:val="24"/>
          <w:szCs w:val="24"/>
        </w:rPr>
      </w:pPr>
      <w:r w:rsidRPr="00385A46">
        <w:rPr>
          <w:rFonts w:ascii="Times New Roman" w:hAnsi="Times New Roman" w:cs="Times New Roman"/>
          <w:bCs/>
          <w:sz w:val="24"/>
          <w:szCs w:val="24"/>
        </w:rPr>
        <w:t xml:space="preserve">There are numerous methods for synthesising synthetic </w:t>
      </w:r>
      <w:proofErr w:type="spellStart"/>
      <w:r w:rsidRPr="00385A46">
        <w:rPr>
          <w:rFonts w:ascii="Times New Roman" w:hAnsi="Times New Roman" w:cs="Times New Roman"/>
          <w:bCs/>
          <w:sz w:val="24"/>
          <w:szCs w:val="24"/>
        </w:rPr>
        <w:t>HAp</w:t>
      </w:r>
      <w:proofErr w:type="spellEnd"/>
      <w:r w:rsidRPr="00385A46">
        <w:rPr>
          <w:rFonts w:ascii="Times New Roman" w:hAnsi="Times New Roman" w:cs="Times New Roman"/>
          <w:bCs/>
          <w:sz w:val="24"/>
          <w:szCs w:val="24"/>
        </w:rPr>
        <w:t xml:space="preserve">, which have been divided into dry, wet, and high-temperature </w:t>
      </w:r>
      <w:proofErr w:type="gramStart"/>
      <w:r w:rsidRPr="00385A46">
        <w:rPr>
          <w:rFonts w:ascii="Times New Roman" w:hAnsi="Times New Roman" w:cs="Times New Roman"/>
          <w:bCs/>
          <w:sz w:val="24"/>
          <w:szCs w:val="24"/>
        </w:rPr>
        <w:t>methods[</w:t>
      </w:r>
      <w:proofErr w:type="gramEnd"/>
      <w:r>
        <w:rPr>
          <w:rFonts w:ascii="Times New Roman" w:hAnsi="Times New Roman" w:cs="Times New Roman"/>
          <w:bCs/>
          <w:sz w:val="24"/>
          <w:szCs w:val="24"/>
        </w:rPr>
        <w:t>11</w:t>
      </w:r>
      <w:r w:rsidRPr="00385A46">
        <w:rPr>
          <w:rFonts w:ascii="Times New Roman" w:hAnsi="Times New Roman" w:cs="Times New Roman"/>
          <w:bCs/>
          <w:sz w:val="24"/>
          <w:szCs w:val="24"/>
        </w:rPr>
        <w:t xml:space="preserve">]. In addition to producing distinct crystalline </w:t>
      </w:r>
      <w:r w:rsidRPr="00385A46">
        <w:rPr>
          <w:rFonts w:ascii="Times New Roman" w:hAnsi="Times New Roman" w:cs="Times New Roman"/>
          <w:bCs/>
          <w:sz w:val="24"/>
          <w:szCs w:val="24"/>
        </w:rPr>
        <w:lastRenderedPageBreak/>
        <w:t xml:space="preserve">phases of calcium phosphate other than pure crystalline </w:t>
      </w:r>
      <w:proofErr w:type="spellStart"/>
      <w:r w:rsidRPr="00385A46">
        <w:rPr>
          <w:rFonts w:ascii="Times New Roman" w:hAnsi="Times New Roman" w:cs="Times New Roman"/>
          <w:bCs/>
          <w:sz w:val="24"/>
          <w:szCs w:val="24"/>
        </w:rPr>
        <w:t>HAp</w:t>
      </w:r>
      <w:proofErr w:type="spellEnd"/>
      <w:r w:rsidRPr="00385A46">
        <w:rPr>
          <w:rFonts w:ascii="Times New Roman" w:hAnsi="Times New Roman" w:cs="Times New Roman"/>
          <w:bCs/>
          <w:sz w:val="24"/>
          <w:szCs w:val="24"/>
        </w:rPr>
        <w:t xml:space="preserve">, each of these processes produces varied sizes, morphologies, and yields. Hence, the bioactivity, mechanical, and biological qualities are greatly influenced by the features of </w:t>
      </w:r>
      <w:proofErr w:type="spellStart"/>
      <w:r w:rsidRPr="00385A46">
        <w:rPr>
          <w:rFonts w:ascii="Times New Roman" w:hAnsi="Times New Roman" w:cs="Times New Roman"/>
          <w:bCs/>
          <w:sz w:val="24"/>
          <w:szCs w:val="24"/>
        </w:rPr>
        <w:t>HAp</w:t>
      </w:r>
      <w:proofErr w:type="spellEnd"/>
      <w:r w:rsidRPr="00385A46">
        <w:rPr>
          <w:rFonts w:ascii="Times New Roman" w:hAnsi="Times New Roman" w:cs="Times New Roman"/>
          <w:bCs/>
          <w:sz w:val="24"/>
          <w:szCs w:val="24"/>
        </w:rPr>
        <w:t xml:space="preserve">. It is intriguing to create a synthesis process that can control the morphology, crystallinity, size, and chemical composition of </w:t>
      </w:r>
      <w:proofErr w:type="spellStart"/>
      <w:r w:rsidRPr="00385A46">
        <w:rPr>
          <w:rFonts w:ascii="Times New Roman" w:hAnsi="Times New Roman" w:cs="Times New Roman"/>
          <w:bCs/>
          <w:sz w:val="24"/>
          <w:szCs w:val="24"/>
        </w:rPr>
        <w:t>HAp</w:t>
      </w:r>
      <w:proofErr w:type="spellEnd"/>
      <w:r w:rsidRPr="00385A46">
        <w:rPr>
          <w:rFonts w:ascii="Times New Roman" w:hAnsi="Times New Roman" w:cs="Times New Roman"/>
          <w:bCs/>
          <w:sz w:val="24"/>
          <w:szCs w:val="24"/>
        </w:rPr>
        <w:t xml:space="preserve"> since, according to Cox [</w:t>
      </w:r>
      <w:r>
        <w:rPr>
          <w:rFonts w:ascii="Times New Roman" w:hAnsi="Times New Roman" w:cs="Times New Roman"/>
          <w:bCs/>
          <w:sz w:val="24"/>
          <w:szCs w:val="24"/>
        </w:rPr>
        <w:t>12]</w:t>
      </w:r>
      <w:r w:rsidRPr="00385A46">
        <w:rPr>
          <w:rFonts w:ascii="Times New Roman" w:hAnsi="Times New Roman" w:cs="Times New Roman"/>
          <w:bCs/>
          <w:sz w:val="24"/>
          <w:szCs w:val="24"/>
        </w:rPr>
        <w:t xml:space="preserve">], these features dictate the biological applicability of the </w:t>
      </w:r>
      <w:proofErr w:type="spellStart"/>
      <w:r w:rsidRPr="00385A46">
        <w:rPr>
          <w:rFonts w:ascii="Times New Roman" w:hAnsi="Times New Roman" w:cs="Times New Roman"/>
          <w:bCs/>
          <w:sz w:val="24"/>
          <w:szCs w:val="24"/>
        </w:rPr>
        <w:t>HAp</w:t>
      </w:r>
      <w:proofErr w:type="spellEnd"/>
      <w:r w:rsidRPr="00385A46">
        <w:rPr>
          <w:rFonts w:ascii="Times New Roman" w:hAnsi="Times New Roman" w:cs="Times New Roman"/>
          <w:bCs/>
          <w:sz w:val="24"/>
          <w:szCs w:val="24"/>
        </w:rPr>
        <w:t>.</w:t>
      </w:r>
      <w:r>
        <w:rPr>
          <w:rFonts w:ascii="Times New Roman" w:hAnsi="Times New Roman" w:cs="Times New Roman"/>
          <w:bCs/>
          <w:sz w:val="24"/>
          <w:szCs w:val="24"/>
        </w:rPr>
        <w:t xml:space="preserve"> </w:t>
      </w:r>
      <w:r w:rsidRPr="00385A46">
        <w:rPr>
          <w:rFonts w:ascii="Times New Roman" w:hAnsi="Times New Roman" w:cs="Times New Roman"/>
          <w:bCs/>
          <w:sz w:val="24"/>
          <w:szCs w:val="24"/>
        </w:rPr>
        <w:t xml:space="preserve">In order to draw conclusions about the distinctions and complexity of each approach in the synthesis of synthetic </w:t>
      </w:r>
      <w:proofErr w:type="spellStart"/>
      <w:r w:rsidRPr="00385A46">
        <w:rPr>
          <w:rFonts w:ascii="Times New Roman" w:hAnsi="Times New Roman" w:cs="Times New Roman"/>
          <w:bCs/>
          <w:sz w:val="24"/>
          <w:szCs w:val="24"/>
        </w:rPr>
        <w:t>HAp</w:t>
      </w:r>
      <w:proofErr w:type="spellEnd"/>
      <w:r w:rsidRPr="00385A46">
        <w:rPr>
          <w:rFonts w:ascii="Times New Roman" w:hAnsi="Times New Roman" w:cs="Times New Roman"/>
          <w:bCs/>
          <w:sz w:val="24"/>
          <w:szCs w:val="24"/>
        </w:rPr>
        <w:t>, the study of each synthesis method is evaluated.</w:t>
      </w:r>
    </w:p>
    <w:p w14:paraId="652CB5EA" w14:textId="7F4BAC38" w:rsidR="0030697E" w:rsidRDefault="0030697E" w:rsidP="00385A46">
      <w:pPr>
        <w:jc w:val="both"/>
        <w:rPr>
          <w:rFonts w:ascii="Times New Roman" w:hAnsi="Times New Roman" w:cs="Times New Roman"/>
          <w:bCs/>
          <w:sz w:val="24"/>
          <w:szCs w:val="24"/>
        </w:rPr>
      </w:pPr>
    </w:p>
    <w:p w14:paraId="151AD4DC" w14:textId="77777777" w:rsidR="0030697E" w:rsidRDefault="0030697E" w:rsidP="00385A46">
      <w:pPr>
        <w:jc w:val="both"/>
        <w:rPr>
          <w:rFonts w:ascii="Times New Roman" w:hAnsi="Times New Roman" w:cs="Times New Roman"/>
          <w:bCs/>
          <w:sz w:val="24"/>
          <w:szCs w:val="24"/>
        </w:rPr>
      </w:pPr>
    </w:p>
    <w:p w14:paraId="08D3F903" w14:textId="13C0828D" w:rsidR="0030697E" w:rsidRPr="0030697E" w:rsidRDefault="0030697E" w:rsidP="00385A46">
      <w:pPr>
        <w:jc w:val="both"/>
        <w:rPr>
          <w:rFonts w:ascii="Times New Roman" w:hAnsi="Times New Roman" w:cs="Times New Roman"/>
          <w:b/>
          <w:sz w:val="24"/>
          <w:szCs w:val="24"/>
        </w:rPr>
      </w:pPr>
      <w:r w:rsidRPr="0030697E">
        <w:rPr>
          <w:rFonts w:ascii="Times New Roman" w:hAnsi="Times New Roman" w:cs="Times New Roman"/>
          <w:b/>
          <w:sz w:val="24"/>
          <w:szCs w:val="24"/>
        </w:rPr>
        <w:t>Synthesis from Dry Method</w:t>
      </w:r>
    </w:p>
    <w:p w14:paraId="5B5D204E" w14:textId="2692A29C" w:rsidR="0030697E" w:rsidRDefault="0030697E" w:rsidP="0030697E">
      <w:pPr>
        <w:jc w:val="both"/>
        <w:rPr>
          <w:rFonts w:ascii="Times New Roman" w:hAnsi="Times New Roman" w:cs="Times New Roman"/>
          <w:bCs/>
          <w:sz w:val="24"/>
          <w:szCs w:val="24"/>
        </w:rPr>
      </w:pPr>
      <w:r w:rsidRPr="0030697E">
        <w:rPr>
          <w:rFonts w:ascii="Times New Roman" w:hAnsi="Times New Roman" w:cs="Times New Roman"/>
          <w:bCs/>
          <w:sz w:val="24"/>
          <w:szCs w:val="24"/>
        </w:rPr>
        <w:t xml:space="preserve">Dry </w:t>
      </w:r>
      <w:proofErr w:type="spellStart"/>
      <w:r w:rsidRPr="0030697E">
        <w:rPr>
          <w:rFonts w:ascii="Times New Roman" w:hAnsi="Times New Roman" w:cs="Times New Roman"/>
          <w:bCs/>
          <w:sz w:val="24"/>
          <w:szCs w:val="24"/>
        </w:rPr>
        <w:t>HAp</w:t>
      </w:r>
      <w:proofErr w:type="spellEnd"/>
      <w:r w:rsidRPr="0030697E">
        <w:rPr>
          <w:rFonts w:ascii="Times New Roman" w:hAnsi="Times New Roman" w:cs="Times New Roman"/>
          <w:bCs/>
          <w:sz w:val="24"/>
          <w:szCs w:val="24"/>
        </w:rPr>
        <w:t xml:space="preserve"> synthesis can be divided into two categories: solid-state synthesis and mechanochemical synthesis. The precursor chemicals (calcium and phosphate), which are in a dry form, are combined in the dry process to create the </w:t>
      </w:r>
      <w:proofErr w:type="spellStart"/>
      <w:r w:rsidRPr="0030697E">
        <w:rPr>
          <w:rFonts w:ascii="Times New Roman" w:hAnsi="Times New Roman" w:cs="Times New Roman"/>
          <w:bCs/>
          <w:sz w:val="24"/>
          <w:szCs w:val="24"/>
        </w:rPr>
        <w:t>HAp</w:t>
      </w:r>
      <w:proofErr w:type="spellEnd"/>
      <w:r w:rsidRPr="0030697E">
        <w:rPr>
          <w:rFonts w:ascii="Times New Roman" w:hAnsi="Times New Roman" w:cs="Times New Roman"/>
          <w:bCs/>
          <w:sz w:val="24"/>
          <w:szCs w:val="24"/>
        </w:rPr>
        <w:t>. The majority of dry procedures don't require exact and controlled conditions, according to Sadat-Shojai et al. [10]. They can thus be used to produce powders in large quantities [10].</w:t>
      </w:r>
    </w:p>
    <w:p w14:paraId="627506DF" w14:textId="77777777" w:rsidR="00302C4D" w:rsidRDefault="00302C4D" w:rsidP="0030697E">
      <w:pPr>
        <w:jc w:val="both"/>
        <w:rPr>
          <w:rFonts w:ascii="Times New Roman" w:hAnsi="Times New Roman" w:cs="Times New Roman"/>
          <w:bCs/>
          <w:sz w:val="24"/>
          <w:szCs w:val="24"/>
        </w:rPr>
      </w:pPr>
    </w:p>
    <w:p w14:paraId="51448FB9" w14:textId="4A8785CF" w:rsidR="0030697E" w:rsidRPr="00302C4D" w:rsidRDefault="0030697E" w:rsidP="0030697E">
      <w:pPr>
        <w:jc w:val="both"/>
        <w:rPr>
          <w:rFonts w:ascii="Times New Roman" w:hAnsi="Times New Roman" w:cs="Times New Roman"/>
          <w:b/>
          <w:sz w:val="24"/>
          <w:szCs w:val="24"/>
        </w:rPr>
      </w:pPr>
      <w:r w:rsidRPr="00302C4D">
        <w:rPr>
          <w:rFonts w:ascii="Times New Roman" w:hAnsi="Times New Roman" w:cs="Times New Roman"/>
          <w:b/>
          <w:sz w:val="24"/>
          <w:szCs w:val="24"/>
        </w:rPr>
        <w:t>Synthesis from</w:t>
      </w:r>
      <w:r w:rsidR="00302C4D" w:rsidRPr="00302C4D">
        <w:rPr>
          <w:rFonts w:ascii="Times New Roman" w:hAnsi="Times New Roman" w:cs="Times New Roman"/>
          <w:b/>
          <w:sz w:val="24"/>
          <w:szCs w:val="24"/>
        </w:rPr>
        <w:t xml:space="preserve"> Solid State Method</w:t>
      </w:r>
    </w:p>
    <w:p w14:paraId="5A160115" w14:textId="3E958ECD" w:rsidR="00385A46" w:rsidRDefault="00302C4D" w:rsidP="00302C4D">
      <w:pPr>
        <w:jc w:val="both"/>
        <w:rPr>
          <w:rFonts w:ascii="Times New Roman" w:hAnsi="Times New Roman" w:cs="Times New Roman"/>
          <w:bCs/>
          <w:sz w:val="24"/>
          <w:szCs w:val="24"/>
        </w:rPr>
      </w:pPr>
      <w:r w:rsidRPr="00302C4D">
        <w:rPr>
          <w:rFonts w:ascii="Times New Roman" w:hAnsi="Times New Roman" w:cs="Times New Roman"/>
          <w:bCs/>
          <w:sz w:val="24"/>
          <w:szCs w:val="24"/>
        </w:rPr>
        <w:t xml:space="preserve">A solid-state reaction is described as the heating-induced breakdown of a mixed solid reactant to provide new solids and gases [13]. The solid-state approach is regarded as a straightforward process that involves milling and calcining chemical precursors including calcium and phosphate to produce </w:t>
      </w:r>
      <w:proofErr w:type="spellStart"/>
      <w:r w:rsidRPr="00302C4D">
        <w:rPr>
          <w:rFonts w:ascii="Times New Roman" w:hAnsi="Times New Roman" w:cs="Times New Roman"/>
          <w:bCs/>
          <w:sz w:val="24"/>
          <w:szCs w:val="24"/>
        </w:rPr>
        <w:t>HAp</w:t>
      </w:r>
      <w:proofErr w:type="spellEnd"/>
      <w:r w:rsidRPr="00302C4D">
        <w:rPr>
          <w:rFonts w:ascii="Times New Roman" w:hAnsi="Times New Roman" w:cs="Times New Roman"/>
          <w:bCs/>
          <w:sz w:val="24"/>
          <w:szCs w:val="24"/>
        </w:rPr>
        <w:t>. The mechanism of this approach, according to Cox [12], involves the solid diffusion of the ion from chemical precursors (calcium and phosphate), which is followed by a high-temperature process to start the reaction.</w:t>
      </w:r>
    </w:p>
    <w:p w14:paraId="0A9416A2" w14:textId="77777777" w:rsidR="00302C4D" w:rsidRPr="00302C4D" w:rsidRDefault="00302C4D" w:rsidP="00302C4D">
      <w:pPr>
        <w:jc w:val="both"/>
        <w:rPr>
          <w:rFonts w:ascii="Times New Roman" w:hAnsi="Times New Roman" w:cs="Times New Roman"/>
          <w:bCs/>
          <w:sz w:val="24"/>
          <w:szCs w:val="24"/>
        </w:rPr>
      </w:pPr>
    </w:p>
    <w:p w14:paraId="49A541D2" w14:textId="528A8163" w:rsidR="00302C4D" w:rsidRDefault="00302C4D" w:rsidP="00385A46">
      <w:pPr>
        <w:jc w:val="both"/>
        <w:rPr>
          <w:rFonts w:ascii="Times New Roman" w:hAnsi="Times New Roman" w:cs="Times New Roman"/>
          <w:b/>
          <w:sz w:val="24"/>
          <w:szCs w:val="24"/>
        </w:rPr>
      </w:pPr>
      <w:r>
        <w:rPr>
          <w:rFonts w:ascii="Times New Roman" w:hAnsi="Times New Roman" w:cs="Times New Roman"/>
          <w:b/>
          <w:sz w:val="24"/>
          <w:szCs w:val="24"/>
        </w:rPr>
        <w:t xml:space="preserve">Synthesis </w:t>
      </w:r>
      <w:proofErr w:type="gramStart"/>
      <w:r>
        <w:rPr>
          <w:rFonts w:ascii="Times New Roman" w:hAnsi="Times New Roman" w:cs="Times New Roman"/>
          <w:b/>
          <w:sz w:val="24"/>
          <w:szCs w:val="24"/>
        </w:rPr>
        <w:t>from  Mechanochemical</w:t>
      </w:r>
      <w:proofErr w:type="gramEnd"/>
      <w:r>
        <w:rPr>
          <w:rFonts w:ascii="Times New Roman" w:hAnsi="Times New Roman" w:cs="Times New Roman"/>
          <w:b/>
          <w:sz w:val="24"/>
          <w:szCs w:val="24"/>
        </w:rPr>
        <w:t xml:space="preserve"> method</w:t>
      </w:r>
    </w:p>
    <w:p w14:paraId="243D4993" w14:textId="0F398527" w:rsidR="00302C4D" w:rsidRDefault="00302C4D" w:rsidP="00302C4D">
      <w:pPr>
        <w:jc w:val="both"/>
        <w:rPr>
          <w:rFonts w:ascii="Times New Roman" w:hAnsi="Times New Roman" w:cs="Times New Roman"/>
          <w:bCs/>
          <w:sz w:val="24"/>
          <w:szCs w:val="24"/>
        </w:rPr>
      </w:pPr>
      <w:r w:rsidRPr="00302C4D">
        <w:rPr>
          <w:rFonts w:ascii="Times New Roman" w:hAnsi="Times New Roman" w:cs="Times New Roman"/>
          <w:bCs/>
          <w:sz w:val="24"/>
          <w:szCs w:val="24"/>
        </w:rPr>
        <w:t xml:space="preserve">A process known as mechanochemistry uses friction, shear, or compression during grinding and milling to cause a chemical reaction [12]. Ball-milling or planetary mills are typically used in mechanochemical methods at particular speeds or </w:t>
      </w:r>
      <w:proofErr w:type="spellStart"/>
      <w:proofErr w:type="gramStart"/>
      <w:r w:rsidRPr="00302C4D">
        <w:rPr>
          <w:rFonts w:ascii="Times New Roman" w:hAnsi="Times New Roman" w:cs="Times New Roman"/>
          <w:bCs/>
          <w:sz w:val="24"/>
          <w:szCs w:val="24"/>
        </w:rPr>
        <w:t>frequencies.During</w:t>
      </w:r>
      <w:proofErr w:type="spellEnd"/>
      <w:proofErr w:type="gramEnd"/>
      <w:r w:rsidRPr="00302C4D">
        <w:rPr>
          <w:rFonts w:ascii="Times New Roman" w:hAnsi="Times New Roman" w:cs="Times New Roman"/>
          <w:bCs/>
          <w:sz w:val="24"/>
          <w:szCs w:val="24"/>
        </w:rPr>
        <w:t xml:space="preserve"> a mechanochemical reaction, strong impact compression [13] and an increase in local temperature [14] both contribute to the chemical reaction and the diffusion process [15]. The mechanochemical process is typically carried out in a sealed tank constructed of materials such as stainless steel, agate, zirconia, etc. to overcome the restriction in controlling the air and moisture-sensitive ingredient </w:t>
      </w:r>
    </w:p>
    <w:p w14:paraId="2CB5E377" w14:textId="1B81C5CF" w:rsidR="00A3456F" w:rsidRPr="00A3456F" w:rsidRDefault="00A3456F" w:rsidP="00302C4D">
      <w:pPr>
        <w:jc w:val="both"/>
        <w:rPr>
          <w:rFonts w:ascii="Times New Roman" w:hAnsi="Times New Roman" w:cs="Times New Roman"/>
          <w:b/>
          <w:sz w:val="24"/>
          <w:szCs w:val="24"/>
        </w:rPr>
      </w:pPr>
      <w:r w:rsidRPr="00A3456F">
        <w:rPr>
          <w:rFonts w:ascii="Times New Roman" w:hAnsi="Times New Roman" w:cs="Times New Roman"/>
          <w:b/>
          <w:sz w:val="24"/>
          <w:szCs w:val="24"/>
        </w:rPr>
        <w:t>Synthesis from Wet Method</w:t>
      </w:r>
    </w:p>
    <w:p w14:paraId="00B1A57E" w14:textId="0084053B" w:rsidR="00302C4D" w:rsidRDefault="00AC30A4" w:rsidP="00302C4D">
      <w:pPr>
        <w:jc w:val="both"/>
        <w:rPr>
          <w:rFonts w:ascii="Times New Roman" w:hAnsi="Times New Roman" w:cs="Times New Roman"/>
          <w:bCs/>
          <w:sz w:val="24"/>
          <w:szCs w:val="24"/>
        </w:rPr>
      </w:pPr>
      <w:r w:rsidRPr="00AC30A4">
        <w:rPr>
          <w:rFonts w:ascii="Times New Roman" w:hAnsi="Times New Roman" w:cs="Times New Roman"/>
          <w:bCs/>
          <w:sz w:val="24"/>
          <w:szCs w:val="24"/>
        </w:rPr>
        <w:t xml:space="preserve">The use of an aqueous solution in the synthesis of </w:t>
      </w:r>
      <w:proofErr w:type="spellStart"/>
      <w:r w:rsidRPr="00AC30A4">
        <w:rPr>
          <w:rFonts w:ascii="Times New Roman" w:hAnsi="Times New Roman" w:cs="Times New Roman"/>
          <w:bCs/>
          <w:sz w:val="24"/>
          <w:szCs w:val="24"/>
        </w:rPr>
        <w:t>HAp</w:t>
      </w:r>
      <w:proofErr w:type="spellEnd"/>
      <w:r w:rsidRPr="00AC30A4">
        <w:rPr>
          <w:rFonts w:ascii="Times New Roman" w:hAnsi="Times New Roman" w:cs="Times New Roman"/>
          <w:bCs/>
          <w:sz w:val="24"/>
          <w:szCs w:val="24"/>
        </w:rPr>
        <w:t xml:space="preserve"> is referred to as the wet technique. Chemical precipitation, hydrolysis, and hydrothermal procedures are a few of the wet techniques typically employed for </w:t>
      </w:r>
      <w:proofErr w:type="spellStart"/>
      <w:r w:rsidRPr="00AC30A4">
        <w:rPr>
          <w:rFonts w:ascii="Times New Roman" w:hAnsi="Times New Roman" w:cs="Times New Roman"/>
          <w:bCs/>
          <w:sz w:val="24"/>
          <w:szCs w:val="24"/>
        </w:rPr>
        <w:t>HAp</w:t>
      </w:r>
      <w:proofErr w:type="spellEnd"/>
      <w:r w:rsidRPr="00AC30A4">
        <w:rPr>
          <w:rFonts w:ascii="Times New Roman" w:hAnsi="Times New Roman" w:cs="Times New Roman"/>
          <w:bCs/>
          <w:sz w:val="24"/>
          <w:szCs w:val="24"/>
        </w:rPr>
        <w:t xml:space="preserve"> extraction. The morphology and mean size of the powder can be manipulated using wet approaches. Wet techniques offer drawbacks in addition to their benefits, one of which is the </w:t>
      </w:r>
      <w:proofErr w:type="spellStart"/>
      <w:r w:rsidRPr="00AC30A4">
        <w:rPr>
          <w:rFonts w:ascii="Times New Roman" w:hAnsi="Times New Roman" w:cs="Times New Roman"/>
          <w:bCs/>
          <w:sz w:val="24"/>
          <w:szCs w:val="24"/>
        </w:rPr>
        <w:t>HAp's</w:t>
      </w:r>
      <w:proofErr w:type="spellEnd"/>
      <w:r w:rsidRPr="00AC30A4">
        <w:rPr>
          <w:rFonts w:ascii="Times New Roman" w:hAnsi="Times New Roman" w:cs="Times New Roman"/>
          <w:bCs/>
          <w:sz w:val="24"/>
          <w:szCs w:val="24"/>
        </w:rPr>
        <w:t xml:space="preserve"> low crystallinity due to low processing temperatures. </w:t>
      </w:r>
    </w:p>
    <w:p w14:paraId="035BEB1E" w14:textId="098BFF4C" w:rsidR="00AC30A4" w:rsidRPr="00AC30A4" w:rsidRDefault="00AC30A4" w:rsidP="00302C4D">
      <w:pPr>
        <w:jc w:val="both"/>
        <w:rPr>
          <w:rFonts w:ascii="Times New Roman" w:hAnsi="Times New Roman" w:cs="Times New Roman"/>
          <w:b/>
          <w:sz w:val="24"/>
          <w:szCs w:val="24"/>
        </w:rPr>
      </w:pPr>
      <w:r w:rsidRPr="00AC30A4">
        <w:rPr>
          <w:rFonts w:ascii="Times New Roman" w:hAnsi="Times New Roman" w:cs="Times New Roman"/>
          <w:b/>
          <w:sz w:val="24"/>
          <w:szCs w:val="24"/>
        </w:rPr>
        <w:lastRenderedPageBreak/>
        <w:t>Synthesis from High temperature method</w:t>
      </w:r>
      <w:r>
        <w:rPr>
          <w:rFonts w:ascii="Times New Roman" w:hAnsi="Times New Roman" w:cs="Times New Roman"/>
          <w:b/>
          <w:sz w:val="24"/>
          <w:szCs w:val="24"/>
        </w:rPr>
        <w:t xml:space="preserve"> </w:t>
      </w:r>
    </w:p>
    <w:p w14:paraId="4058F9FD" w14:textId="5434A99E" w:rsidR="00AC30A4" w:rsidRDefault="00AC30A4" w:rsidP="00302C4D">
      <w:pPr>
        <w:jc w:val="both"/>
        <w:rPr>
          <w:rFonts w:ascii="Times New Roman" w:hAnsi="Times New Roman" w:cs="Times New Roman"/>
          <w:bCs/>
          <w:sz w:val="24"/>
          <w:szCs w:val="24"/>
        </w:rPr>
      </w:pPr>
      <w:r w:rsidRPr="00AC30A4">
        <w:rPr>
          <w:rFonts w:ascii="Times New Roman" w:hAnsi="Times New Roman" w:cs="Times New Roman"/>
          <w:bCs/>
          <w:sz w:val="24"/>
          <w:szCs w:val="24"/>
        </w:rPr>
        <w:t xml:space="preserve">A high-temperature approach that uses high heat to break down the ingredients can also be utilised to synthesise </w:t>
      </w:r>
      <w:proofErr w:type="spellStart"/>
      <w:r w:rsidRPr="00AC30A4">
        <w:rPr>
          <w:rFonts w:ascii="Times New Roman" w:hAnsi="Times New Roman" w:cs="Times New Roman"/>
          <w:bCs/>
          <w:sz w:val="24"/>
          <w:szCs w:val="24"/>
        </w:rPr>
        <w:t>HAp</w:t>
      </w:r>
      <w:proofErr w:type="spellEnd"/>
      <w:r w:rsidRPr="00AC30A4">
        <w:rPr>
          <w:rFonts w:ascii="Times New Roman" w:hAnsi="Times New Roman" w:cs="Times New Roman"/>
          <w:bCs/>
          <w:sz w:val="24"/>
          <w:szCs w:val="24"/>
        </w:rPr>
        <w:t xml:space="preserve">. The high-temperature approach includes two distinct processes: combustion and pyrolysis. The combustion and pyrolysis processes were hardly ever used to create </w:t>
      </w:r>
      <w:proofErr w:type="spellStart"/>
      <w:r w:rsidRPr="00AC30A4">
        <w:rPr>
          <w:rFonts w:ascii="Times New Roman" w:hAnsi="Times New Roman" w:cs="Times New Roman"/>
          <w:bCs/>
          <w:sz w:val="24"/>
          <w:szCs w:val="24"/>
        </w:rPr>
        <w:t>HAp</w:t>
      </w:r>
      <w:proofErr w:type="spellEnd"/>
      <w:r w:rsidRPr="00AC30A4">
        <w:rPr>
          <w:rFonts w:ascii="Times New Roman" w:hAnsi="Times New Roman" w:cs="Times New Roman"/>
          <w:bCs/>
          <w:sz w:val="24"/>
          <w:szCs w:val="24"/>
        </w:rPr>
        <w:t xml:space="preserve"> across all synthesis techniques. Its weak control on the processing parameter and the creation of secondary aggregates is the source of this.</w:t>
      </w:r>
    </w:p>
    <w:p w14:paraId="60E675E0" w14:textId="6E7D661B" w:rsidR="00AC30A4" w:rsidRPr="00AC30A4" w:rsidRDefault="00AC30A4" w:rsidP="00302C4D">
      <w:pPr>
        <w:jc w:val="both"/>
        <w:rPr>
          <w:rFonts w:ascii="Times New Roman" w:hAnsi="Times New Roman" w:cs="Times New Roman"/>
          <w:b/>
          <w:sz w:val="24"/>
          <w:szCs w:val="24"/>
        </w:rPr>
      </w:pPr>
      <w:r w:rsidRPr="00AC30A4">
        <w:rPr>
          <w:rFonts w:ascii="Times New Roman" w:hAnsi="Times New Roman" w:cs="Times New Roman"/>
          <w:b/>
          <w:sz w:val="24"/>
          <w:szCs w:val="24"/>
        </w:rPr>
        <w:t>Synthesis from Pyrolysis method</w:t>
      </w:r>
    </w:p>
    <w:p w14:paraId="3D83D38F" w14:textId="5BC30CAC" w:rsidR="00AC30A4" w:rsidRDefault="00AC30A4" w:rsidP="00302C4D">
      <w:pPr>
        <w:jc w:val="both"/>
        <w:rPr>
          <w:rFonts w:ascii="Times New Roman" w:hAnsi="Times New Roman" w:cs="Times New Roman"/>
          <w:bCs/>
          <w:sz w:val="24"/>
          <w:szCs w:val="24"/>
        </w:rPr>
      </w:pPr>
      <w:r w:rsidRPr="00AC30A4">
        <w:rPr>
          <w:rFonts w:ascii="Times New Roman" w:hAnsi="Times New Roman" w:cs="Times New Roman"/>
          <w:bCs/>
          <w:sz w:val="24"/>
          <w:szCs w:val="24"/>
        </w:rPr>
        <w:t xml:space="preserve">A precursor chemical is sprayed into a hot zone of the electric furnace using the pyrolysis </w:t>
      </w:r>
      <w:proofErr w:type="gramStart"/>
      <w:r w:rsidRPr="00AC30A4">
        <w:rPr>
          <w:rFonts w:ascii="Times New Roman" w:hAnsi="Times New Roman" w:cs="Times New Roman"/>
          <w:bCs/>
          <w:sz w:val="24"/>
          <w:szCs w:val="24"/>
        </w:rPr>
        <w:t>approach .</w:t>
      </w:r>
      <w:proofErr w:type="gramEnd"/>
      <w:r w:rsidRPr="00AC30A4">
        <w:rPr>
          <w:rFonts w:ascii="Times New Roman" w:hAnsi="Times New Roman" w:cs="Times New Roman"/>
          <w:bCs/>
          <w:sz w:val="24"/>
          <w:szCs w:val="24"/>
        </w:rPr>
        <w:t xml:space="preserve"> According to Sadat- Shojai </w:t>
      </w:r>
      <w:proofErr w:type="gramStart"/>
      <w:r w:rsidRPr="00AC30A4">
        <w:rPr>
          <w:rFonts w:ascii="Times New Roman" w:hAnsi="Times New Roman" w:cs="Times New Roman"/>
          <w:bCs/>
          <w:sz w:val="24"/>
          <w:szCs w:val="24"/>
        </w:rPr>
        <w:t>et al. ,</w:t>
      </w:r>
      <w:proofErr w:type="gramEnd"/>
      <w:r w:rsidRPr="00AC30A4">
        <w:rPr>
          <w:rFonts w:ascii="Times New Roman" w:hAnsi="Times New Roman" w:cs="Times New Roman"/>
          <w:bCs/>
          <w:sz w:val="24"/>
          <w:szCs w:val="24"/>
        </w:rPr>
        <w:t xml:space="preserve"> pyrolysis products were applied as post-treatments to produce a high crystalline product. In contrast to the combustion approach, the pyrolysis synthesis does not require mixing fuel with reactants and may be simply scaled up to produce </w:t>
      </w:r>
      <w:proofErr w:type="spellStart"/>
      <w:r w:rsidRPr="00AC30A4">
        <w:rPr>
          <w:rFonts w:ascii="Times New Roman" w:hAnsi="Times New Roman" w:cs="Times New Roman"/>
          <w:bCs/>
          <w:sz w:val="24"/>
          <w:szCs w:val="24"/>
        </w:rPr>
        <w:t>HAp</w:t>
      </w:r>
      <w:proofErr w:type="spellEnd"/>
      <w:r w:rsidRPr="00AC30A4">
        <w:rPr>
          <w:rFonts w:ascii="Times New Roman" w:hAnsi="Times New Roman" w:cs="Times New Roman"/>
          <w:bCs/>
          <w:sz w:val="24"/>
          <w:szCs w:val="24"/>
        </w:rPr>
        <w:t xml:space="preserve"> particles continuously. It should be noted that the pyrolysis technique falls under the broad classification of aerosol methods (also known as gas-phase techniques), in which gas-to-particle or liquid-to-to</w:t>
      </w:r>
      <w:r>
        <w:rPr>
          <w:rFonts w:ascii="Times New Roman" w:hAnsi="Times New Roman" w:cs="Times New Roman"/>
          <w:bCs/>
          <w:sz w:val="24"/>
          <w:szCs w:val="24"/>
        </w:rPr>
        <w:t xml:space="preserve"> </w:t>
      </w:r>
      <w:r w:rsidRPr="00AC30A4">
        <w:rPr>
          <w:rFonts w:ascii="Times New Roman" w:hAnsi="Times New Roman" w:cs="Times New Roman"/>
          <w:bCs/>
          <w:sz w:val="24"/>
          <w:szCs w:val="24"/>
        </w:rPr>
        <w:t>particle conversions take place during an aerosol decomposition process.</w:t>
      </w:r>
    </w:p>
    <w:p w14:paraId="753DBCCC" w14:textId="5C80CE80" w:rsidR="00302C4D" w:rsidRDefault="00302C4D" w:rsidP="00302C4D">
      <w:pPr>
        <w:jc w:val="both"/>
        <w:rPr>
          <w:rFonts w:ascii="Times New Roman" w:hAnsi="Times New Roman" w:cs="Times New Roman"/>
          <w:bCs/>
          <w:sz w:val="24"/>
          <w:szCs w:val="24"/>
        </w:rPr>
      </w:pPr>
    </w:p>
    <w:p w14:paraId="4DFE7D49" w14:textId="609937EC" w:rsidR="00302C4D" w:rsidRDefault="00302C4D" w:rsidP="00302C4D">
      <w:pPr>
        <w:jc w:val="both"/>
        <w:rPr>
          <w:rFonts w:ascii="Times New Roman" w:hAnsi="Times New Roman" w:cs="Times New Roman"/>
          <w:bCs/>
          <w:sz w:val="24"/>
          <w:szCs w:val="24"/>
        </w:rPr>
      </w:pPr>
    </w:p>
    <w:p w14:paraId="383EBDE3" w14:textId="626C3713" w:rsidR="00302C4D" w:rsidRPr="00AC30A4" w:rsidRDefault="00D220BE" w:rsidP="00302C4D">
      <w:pPr>
        <w:jc w:val="both"/>
        <w:rPr>
          <w:rFonts w:ascii="Times New Roman" w:hAnsi="Times New Roman" w:cs="Times New Roman"/>
          <w:bCs/>
          <w:sz w:val="24"/>
          <w:szCs w:val="24"/>
        </w:rPr>
      </w:pPr>
      <w:r w:rsidRPr="00AC30A4">
        <w:rPr>
          <w:rFonts w:ascii="Times New Roman" w:hAnsi="Times New Roman" w:cs="Times New Roman"/>
          <w:bCs/>
          <w:sz w:val="24"/>
          <w:szCs w:val="24"/>
        </w:rPr>
        <w:t>Conclusion</w:t>
      </w:r>
    </w:p>
    <w:p w14:paraId="2DF9AD09" w14:textId="2EB3A2AD" w:rsidR="00AC30A4" w:rsidRPr="00AC30A4" w:rsidRDefault="00AC30A4" w:rsidP="00AC30A4">
      <w:pPr>
        <w:jc w:val="both"/>
        <w:rPr>
          <w:rFonts w:ascii="Times New Roman" w:hAnsi="Times New Roman" w:cs="Times New Roman"/>
          <w:sz w:val="24"/>
          <w:szCs w:val="24"/>
          <w:lang w:bidi="ta-IN"/>
        </w:rPr>
      </w:pPr>
      <w:r w:rsidRPr="00AC30A4">
        <w:rPr>
          <w:rFonts w:ascii="Times New Roman" w:hAnsi="Times New Roman" w:cs="Times New Roman"/>
          <w:sz w:val="24"/>
          <w:szCs w:val="24"/>
          <w:lang w:bidi="ta-IN"/>
        </w:rPr>
        <w:t xml:space="preserve">Therefore, it can be concluded that various methods can be used for synthesising synthetic </w:t>
      </w:r>
      <w:proofErr w:type="spellStart"/>
      <w:r w:rsidRPr="00AC30A4">
        <w:rPr>
          <w:rFonts w:ascii="Times New Roman" w:hAnsi="Times New Roman" w:cs="Times New Roman"/>
          <w:sz w:val="24"/>
          <w:szCs w:val="24"/>
          <w:lang w:bidi="ta-IN"/>
        </w:rPr>
        <w:t>HAp</w:t>
      </w:r>
      <w:proofErr w:type="spellEnd"/>
      <w:r w:rsidRPr="00AC30A4">
        <w:rPr>
          <w:rFonts w:ascii="Times New Roman" w:hAnsi="Times New Roman" w:cs="Times New Roman"/>
          <w:sz w:val="24"/>
          <w:szCs w:val="24"/>
          <w:lang w:bidi="ta-IN"/>
        </w:rPr>
        <w:t xml:space="preserve">. Each method requires several processing parameters such as pH, temperature, the molar ratio of chemicals, etc. in order to produce the pure </w:t>
      </w:r>
      <w:proofErr w:type="spellStart"/>
      <w:r w:rsidRPr="00AC30A4">
        <w:rPr>
          <w:rFonts w:ascii="Times New Roman" w:hAnsi="Times New Roman" w:cs="Times New Roman"/>
          <w:sz w:val="24"/>
          <w:szCs w:val="24"/>
          <w:lang w:bidi="ta-IN"/>
        </w:rPr>
        <w:t>HAp</w:t>
      </w:r>
      <w:proofErr w:type="spellEnd"/>
      <w:r w:rsidRPr="00AC30A4">
        <w:rPr>
          <w:rFonts w:ascii="Times New Roman" w:hAnsi="Times New Roman" w:cs="Times New Roman"/>
          <w:sz w:val="24"/>
          <w:szCs w:val="24"/>
          <w:lang w:bidi="ta-IN"/>
        </w:rPr>
        <w:t xml:space="preserve"> phase. It can also be concluded that a balanced molar ratio of calcium and phosphate precursors must be used in order to produce the stoichiometric </w:t>
      </w:r>
      <w:proofErr w:type="spellStart"/>
      <w:r w:rsidRPr="00AC30A4">
        <w:rPr>
          <w:rFonts w:ascii="Times New Roman" w:hAnsi="Times New Roman" w:cs="Times New Roman"/>
          <w:sz w:val="24"/>
          <w:szCs w:val="24"/>
          <w:lang w:bidi="ta-IN"/>
        </w:rPr>
        <w:t>HAp</w:t>
      </w:r>
      <w:proofErr w:type="spellEnd"/>
      <w:r w:rsidRPr="00AC30A4">
        <w:rPr>
          <w:rFonts w:ascii="Times New Roman" w:hAnsi="Times New Roman" w:cs="Times New Roman"/>
          <w:sz w:val="24"/>
          <w:szCs w:val="24"/>
          <w:lang w:bidi="ta-IN"/>
        </w:rPr>
        <w:t xml:space="preserve">. pH, as another parameter, also plays an important role in some of the methods used for synthesising </w:t>
      </w:r>
      <w:proofErr w:type="spellStart"/>
      <w:r w:rsidRPr="00AC30A4">
        <w:rPr>
          <w:rFonts w:ascii="Times New Roman" w:hAnsi="Times New Roman" w:cs="Times New Roman"/>
          <w:sz w:val="24"/>
          <w:szCs w:val="24"/>
          <w:lang w:bidi="ta-IN"/>
        </w:rPr>
        <w:t>HAp</w:t>
      </w:r>
      <w:proofErr w:type="spellEnd"/>
      <w:r w:rsidRPr="00AC30A4">
        <w:rPr>
          <w:rFonts w:ascii="Times New Roman" w:hAnsi="Times New Roman" w:cs="Times New Roman"/>
          <w:sz w:val="24"/>
          <w:szCs w:val="24"/>
          <w:lang w:bidi="ta-IN"/>
        </w:rPr>
        <w:t>.</w:t>
      </w:r>
      <w:r w:rsidRPr="00AC30A4">
        <w:rPr>
          <w:rFonts w:ascii="Times New Roman" w:hAnsi="Times New Roman" w:cs="Times New Roman"/>
          <w:sz w:val="24"/>
          <w:szCs w:val="24"/>
        </w:rPr>
        <w:t xml:space="preserve"> </w:t>
      </w:r>
      <w:r w:rsidRPr="00AC30A4">
        <w:rPr>
          <w:rFonts w:ascii="Times New Roman" w:hAnsi="Times New Roman" w:cs="Times New Roman"/>
          <w:sz w:val="24"/>
          <w:szCs w:val="24"/>
          <w:lang w:bidi="ta-IN"/>
        </w:rPr>
        <w:t xml:space="preserve">Furthermore, the morphology of the </w:t>
      </w:r>
      <w:proofErr w:type="spellStart"/>
      <w:r w:rsidRPr="00AC30A4">
        <w:rPr>
          <w:rFonts w:ascii="Times New Roman" w:hAnsi="Times New Roman" w:cs="Times New Roman"/>
          <w:sz w:val="24"/>
          <w:szCs w:val="24"/>
          <w:lang w:bidi="ta-IN"/>
        </w:rPr>
        <w:t>HAp</w:t>
      </w:r>
      <w:proofErr w:type="spellEnd"/>
      <w:r w:rsidRPr="00AC30A4">
        <w:rPr>
          <w:rFonts w:ascii="Times New Roman" w:hAnsi="Times New Roman" w:cs="Times New Roman"/>
          <w:sz w:val="24"/>
          <w:szCs w:val="24"/>
          <w:lang w:bidi="ta-IN"/>
        </w:rPr>
        <w:t xml:space="preserve"> particle has recently been controlled by the application of organic modifiers like CTAB and EDTA. As a result, a </w:t>
      </w:r>
      <w:proofErr w:type="spellStart"/>
      <w:r w:rsidRPr="00AC30A4">
        <w:rPr>
          <w:rFonts w:ascii="Times New Roman" w:hAnsi="Times New Roman" w:cs="Times New Roman"/>
          <w:sz w:val="24"/>
          <w:szCs w:val="24"/>
          <w:lang w:bidi="ta-IN"/>
        </w:rPr>
        <w:t>HAp</w:t>
      </w:r>
      <w:proofErr w:type="spellEnd"/>
      <w:r w:rsidRPr="00AC30A4">
        <w:rPr>
          <w:rFonts w:ascii="Times New Roman" w:hAnsi="Times New Roman" w:cs="Times New Roman"/>
          <w:sz w:val="24"/>
          <w:szCs w:val="24"/>
          <w:lang w:bidi="ta-IN"/>
        </w:rPr>
        <w:t xml:space="preserve"> particle with a consistent size and shape can be produced. The method for creating synthetic </w:t>
      </w:r>
      <w:proofErr w:type="spellStart"/>
      <w:r w:rsidRPr="00AC30A4">
        <w:rPr>
          <w:rFonts w:ascii="Times New Roman" w:hAnsi="Times New Roman" w:cs="Times New Roman"/>
          <w:sz w:val="24"/>
          <w:szCs w:val="24"/>
          <w:lang w:bidi="ta-IN"/>
        </w:rPr>
        <w:t>HAp</w:t>
      </w:r>
      <w:proofErr w:type="spellEnd"/>
      <w:r w:rsidRPr="00AC30A4">
        <w:rPr>
          <w:rFonts w:ascii="Times New Roman" w:hAnsi="Times New Roman" w:cs="Times New Roman"/>
          <w:sz w:val="24"/>
          <w:szCs w:val="24"/>
          <w:lang w:bidi="ta-IN"/>
        </w:rPr>
        <w:t xml:space="preserve"> also offers a number of strategies that aid in producing distinct </w:t>
      </w:r>
      <w:proofErr w:type="spellStart"/>
      <w:r w:rsidRPr="00AC30A4">
        <w:rPr>
          <w:rFonts w:ascii="Times New Roman" w:hAnsi="Times New Roman" w:cs="Times New Roman"/>
          <w:sz w:val="24"/>
          <w:szCs w:val="24"/>
          <w:lang w:bidi="ta-IN"/>
        </w:rPr>
        <w:t>HAp</w:t>
      </w:r>
      <w:proofErr w:type="spellEnd"/>
      <w:r w:rsidRPr="00AC30A4">
        <w:rPr>
          <w:rFonts w:ascii="Times New Roman" w:hAnsi="Times New Roman" w:cs="Times New Roman"/>
          <w:sz w:val="24"/>
          <w:szCs w:val="24"/>
          <w:lang w:bidi="ta-IN"/>
        </w:rPr>
        <w:t xml:space="preserve"> characteristics, including shape, size, and phase. Even though there are many different ways to make </w:t>
      </w:r>
      <w:proofErr w:type="spellStart"/>
      <w:r w:rsidRPr="00AC30A4">
        <w:rPr>
          <w:rFonts w:ascii="Times New Roman" w:hAnsi="Times New Roman" w:cs="Times New Roman"/>
          <w:sz w:val="24"/>
          <w:szCs w:val="24"/>
          <w:lang w:bidi="ta-IN"/>
        </w:rPr>
        <w:t>HAp</w:t>
      </w:r>
      <w:proofErr w:type="spellEnd"/>
      <w:r w:rsidRPr="00AC30A4">
        <w:rPr>
          <w:rFonts w:ascii="Times New Roman" w:hAnsi="Times New Roman" w:cs="Times New Roman"/>
          <w:sz w:val="24"/>
          <w:szCs w:val="24"/>
          <w:lang w:bidi="ta-IN"/>
        </w:rPr>
        <w:t xml:space="preserve"> nanoparticles, only a few of them are effective or economical</w:t>
      </w:r>
      <w:r>
        <w:rPr>
          <w:rFonts w:ascii="Times New Roman" w:hAnsi="Times New Roman" w:cs="Times New Roman"/>
          <w:sz w:val="24"/>
          <w:szCs w:val="24"/>
          <w:lang w:bidi="ta-IN"/>
        </w:rPr>
        <w:t xml:space="preserve">. </w:t>
      </w:r>
      <w:r w:rsidRPr="00AC30A4">
        <w:rPr>
          <w:rFonts w:ascii="Times New Roman" w:hAnsi="Times New Roman" w:cs="Times New Roman"/>
          <w:sz w:val="24"/>
          <w:szCs w:val="24"/>
        </w:rPr>
        <w:t xml:space="preserve">This is primarily caused by the variety of materials required for synthesis, challenging and expensive procedures, severe aggregation and agglomeration, wide particle size distribution, and numerous phase impurities that typically exist in crystal structure. As a result, there are other options, such getting </w:t>
      </w:r>
      <w:proofErr w:type="spellStart"/>
      <w:r w:rsidRPr="00AC30A4">
        <w:rPr>
          <w:rFonts w:ascii="Times New Roman" w:hAnsi="Times New Roman" w:cs="Times New Roman"/>
          <w:sz w:val="24"/>
          <w:szCs w:val="24"/>
        </w:rPr>
        <w:t>HAp</w:t>
      </w:r>
      <w:proofErr w:type="spellEnd"/>
      <w:r w:rsidRPr="00AC30A4">
        <w:rPr>
          <w:rFonts w:ascii="Times New Roman" w:hAnsi="Times New Roman" w:cs="Times New Roman"/>
          <w:sz w:val="24"/>
          <w:szCs w:val="24"/>
        </w:rPr>
        <w:t xml:space="preserve"> from a natural source, that could solve the issue of making synthetic </w:t>
      </w:r>
      <w:proofErr w:type="spellStart"/>
      <w:r w:rsidRPr="00AC30A4">
        <w:rPr>
          <w:rFonts w:ascii="Times New Roman" w:hAnsi="Times New Roman" w:cs="Times New Roman"/>
          <w:sz w:val="24"/>
          <w:szCs w:val="24"/>
        </w:rPr>
        <w:t>HAp</w:t>
      </w:r>
      <w:proofErr w:type="spellEnd"/>
      <w:r w:rsidRPr="00AC30A4">
        <w:rPr>
          <w:rFonts w:ascii="Times New Roman" w:hAnsi="Times New Roman" w:cs="Times New Roman"/>
          <w:sz w:val="24"/>
          <w:szCs w:val="24"/>
        </w:rPr>
        <w:t xml:space="preserve">. The </w:t>
      </w:r>
      <w:proofErr w:type="spellStart"/>
      <w:r w:rsidRPr="00AC30A4">
        <w:rPr>
          <w:rFonts w:ascii="Times New Roman" w:hAnsi="Times New Roman" w:cs="Times New Roman"/>
          <w:sz w:val="24"/>
          <w:szCs w:val="24"/>
        </w:rPr>
        <w:t>HAp</w:t>
      </w:r>
      <w:proofErr w:type="spellEnd"/>
      <w:r w:rsidRPr="00AC30A4">
        <w:rPr>
          <w:rFonts w:ascii="Times New Roman" w:hAnsi="Times New Roman" w:cs="Times New Roman"/>
          <w:sz w:val="24"/>
          <w:szCs w:val="24"/>
        </w:rPr>
        <w:t xml:space="preserve">-containing animal scale and bone can serve as a suitable source of </w:t>
      </w:r>
      <w:proofErr w:type="spellStart"/>
      <w:r w:rsidRPr="00AC30A4">
        <w:rPr>
          <w:rFonts w:ascii="Times New Roman" w:hAnsi="Times New Roman" w:cs="Times New Roman"/>
          <w:sz w:val="24"/>
          <w:szCs w:val="24"/>
        </w:rPr>
        <w:t>HAp</w:t>
      </w:r>
      <w:proofErr w:type="spellEnd"/>
      <w:r w:rsidRPr="00AC30A4">
        <w:rPr>
          <w:rFonts w:ascii="Times New Roman" w:hAnsi="Times New Roman" w:cs="Times New Roman"/>
          <w:sz w:val="24"/>
          <w:szCs w:val="24"/>
        </w:rPr>
        <w:t xml:space="preserve"> since they include all the beneficial trace elements needed to improve the biological effects of </w:t>
      </w:r>
      <w:proofErr w:type="spellStart"/>
      <w:r w:rsidRPr="00AC30A4">
        <w:rPr>
          <w:rFonts w:ascii="Times New Roman" w:hAnsi="Times New Roman" w:cs="Times New Roman"/>
          <w:sz w:val="24"/>
          <w:szCs w:val="24"/>
        </w:rPr>
        <w:t>HAp</w:t>
      </w:r>
      <w:proofErr w:type="spellEnd"/>
      <w:r w:rsidRPr="00AC30A4">
        <w:rPr>
          <w:rFonts w:ascii="Times New Roman" w:hAnsi="Times New Roman" w:cs="Times New Roman"/>
          <w:sz w:val="24"/>
          <w:szCs w:val="24"/>
        </w:rPr>
        <w:t>.</w:t>
      </w:r>
    </w:p>
    <w:p w14:paraId="68021025" w14:textId="77777777" w:rsidR="003C2EA4" w:rsidRPr="001B3791" w:rsidRDefault="003C2EA4" w:rsidP="00AC30A4">
      <w:pPr>
        <w:jc w:val="both"/>
        <w:rPr>
          <w:rFonts w:ascii="Times New Roman" w:hAnsi="Times New Roman" w:cs="Times New Roman"/>
          <w:b/>
          <w:sz w:val="24"/>
          <w:szCs w:val="24"/>
        </w:rPr>
      </w:pPr>
    </w:p>
    <w:p w14:paraId="5E3664A3" w14:textId="77777777" w:rsidR="00C10F27" w:rsidRPr="00FB3307" w:rsidRDefault="00C10F27" w:rsidP="00F05730">
      <w:pPr>
        <w:rPr>
          <w:rFonts w:ascii="Helvetica" w:hAnsi="Helvetica" w:cs="Helvetica"/>
          <w:sz w:val="24"/>
          <w:szCs w:val="24"/>
        </w:rPr>
      </w:pPr>
      <w:r>
        <w:rPr>
          <w:rFonts w:ascii="Helvetica" w:hAnsi="Helvetica" w:cs="Helvetica"/>
          <w:sz w:val="24"/>
          <w:szCs w:val="24"/>
        </w:rPr>
        <w:t xml:space="preserve">     </w:t>
      </w:r>
    </w:p>
    <w:p w14:paraId="67BFB67A" w14:textId="77777777" w:rsidR="005F6BC7" w:rsidRPr="005F6BC7" w:rsidRDefault="005F6BC7">
      <w:pPr>
        <w:rPr>
          <w:rFonts w:ascii="Helvetica" w:hAnsi="Helvetica" w:cs="Helvetica"/>
          <w:sz w:val="24"/>
          <w:szCs w:val="24"/>
        </w:rPr>
      </w:pPr>
      <w:r w:rsidRPr="005F6BC7">
        <w:rPr>
          <w:rFonts w:ascii="Helvetica" w:hAnsi="Helvetica" w:cs="Helvetica"/>
          <w:sz w:val="24"/>
          <w:szCs w:val="24"/>
        </w:rPr>
        <w:t>Bibliography:</w:t>
      </w:r>
    </w:p>
    <w:p w14:paraId="40C84A6D" w14:textId="77777777" w:rsidR="005F6BC7" w:rsidRDefault="005F6BC7">
      <w:pPr>
        <w:rPr>
          <w:rFonts w:ascii="Helvetica" w:hAnsi="Helvetica" w:cs="Helvetica"/>
          <w:sz w:val="24"/>
          <w:szCs w:val="24"/>
        </w:rPr>
      </w:pPr>
      <w:r w:rsidRPr="005F6BC7">
        <w:rPr>
          <w:rFonts w:ascii="Helvetica" w:hAnsi="Helvetica" w:cs="Helvetica"/>
          <w:sz w:val="24"/>
          <w:szCs w:val="24"/>
        </w:rPr>
        <w:t xml:space="preserve">[1]. Guo, S., and L. A. DiPietro. “Factors Affecting Wound Healing.” </w:t>
      </w:r>
      <w:r w:rsidRPr="005F6BC7">
        <w:rPr>
          <w:rFonts w:ascii="Helvetica" w:hAnsi="Helvetica" w:cs="Helvetica"/>
          <w:i/>
          <w:iCs/>
          <w:sz w:val="24"/>
          <w:szCs w:val="24"/>
        </w:rPr>
        <w:t>PubMed Central (PMC)</w:t>
      </w:r>
      <w:r w:rsidRPr="005F6BC7">
        <w:rPr>
          <w:rFonts w:ascii="Helvetica" w:hAnsi="Helvetica" w:cs="Helvetica"/>
          <w:sz w:val="24"/>
          <w:szCs w:val="24"/>
        </w:rPr>
        <w:t xml:space="preserve">, Mar. 2010, </w:t>
      </w:r>
      <w:hyperlink r:id="rId5" w:history="1">
        <w:r w:rsidRPr="005F6BC7">
          <w:rPr>
            <w:rStyle w:val="Hyperlink"/>
            <w:rFonts w:ascii="Helvetica" w:hAnsi="Helvetica" w:cs="Helvetica"/>
            <w:sz w:val="24"/>
            <w:szCs w:val="24"/>
          </w:rPr>
          <w:t>www.ncbi.nlm.nih.gov/pmc/articles/PMC2903966</w:t>
        </w:r>
      </w:hyperlink>
      <w:r w:rsidRPr="005F6BC7">
        <w:rPr>
          <w:rFonts w:ascii="Helvetica" w:hAnsi="Helvetica" w:cs="Helvetica"/>
          <w:sz w:val="24"/>
          <w:szCs w:val="24"/>
        </w:rPr>
        <w:t>.</w:t>
      </w:r>
    </w:p>
    <w:p w14:paraId="5EDC04D9" w14:textId="77777777" w:rsidR="00473CF8" w:rsidRDefault="00473CF8">
      <w:pPr>
        <w:rPr>
          <w:rFonts w:ascii="Helvetica" w:hAnsi="Helvetica" w:cs="Helvetica"/>
          <w:sz w:val="24"/>
          <w:szCs w:val="24"/>
        </w:rPr>
      </w:pPr>
      <w:r>
        <w:rPr>
          <w:rFonts w:ascii="Helvetica" w:hAnsi="Helvetica" w:cs="Helvetica"/>
          <w:sz w:val="24"/>
          <w:szCs w:val="24"/>
        </w:rPr>
        <w:lastRenderedPageBreak/>
        <w:t xml:space="preserve">[2]. </w:t>
      </w:r>
      <w:proofErr w:type="spellStart"/>
      <w:r w:rsidRPr="00473CF8">
        <w:rPr>
          <w:rFonts w:ascii="Helvetica" w:hAnsi="Helvetica" w:cs="Helvetica"/>
          <w:sz w:val="24"/>
          <w:szCs w:val="24"/>
        </w:rPr>
        <w:t>Ghiasi</w:t>
      </w:r>
      <w:proofErr w:type="spellEnd"/>
      <w:r w:rsidRPr="00473CF8">
        <w:rPr>
          <w:rFonts w:ascii="Helvetica" w:hAnsi="Helvetica" w:cs="Helvetica"/>
          <w:sz w:val="24"/>
          <w:szCs w:val="24"/>
        </w:rPr>
        <w:t xml:space="preserve">, Mohammad S., et al. “Bone Fracture Healing in Mechanobiological </w:t>
      </w:r>
      <w:proofErr w:type="spellStart"/>
      <w:r w:rsidRPr="00473CF8">
        <w:rPr>
          <w:rFonts w:ascii="Helvetica" w:hAnsi="Helvetica" w:cs="Helvetica"/>
          <w:sz w:val="24"/>
          <w:szCs w:val="24"/>
        </w:rPr>
        <w:t>Modeling</w:t>
      </w:r>
      <w:proofErr w:type="spellEnd"/>
      <w:r w:rsidRPr="00473CF8">
        <w:rPr>
          <w:rFonts w:ascii="Helvetica" w:hAnsi="Helvetica" w:cs="Helvetica"/>
          <w:sz w:val="24"/>
          <w:szCs w:val="24"/>
        </w:rPr>
        <w:t xml:space="preserve">: A Review of Principles and Methods.” </w:t>
      </w:r>
      <w:r w:rsidRPr="00473CF8">
        <w:rPr>
          <w:rFonts w:ascii="Helvetica" w:hAnsi="Helvetica" w:cs="Helvetica"/>
          <w:i/>
          <w:iCs/>
          <w:sz w:val="24"/>
          <w:szCs w:val="24"/>
        </w:rPr>
        <w:t>PubMed Central (PMC)</w:t>
      </w:r>
      <w:r w:rsidRPr="00473CF8">
        <w:rPr>
          <w:rFonts w:ascii="Helvetica" w:hAnsi="Helvetica" w:cs="Helvetica"/>
          <w:sz w:val="24"/>
          <w:szCs w:val="24"/>
        </w:rPr>
        <w:t xml:space="preserve">, Mar. 2017, </w:t>
      </w:r>
      <w:hyperlink r:id="rId6" w:history="1">
        <w:r w:rsidRPr="00A3445D">
          <w:rPr>
            <w:rStyle w:val="Hyperlink"/>
            <w:rFonts w:ascii="Helvetica" w:hAnsi="Helvetica" w:cs="Helvetica"/>
            <w:sz w:val="24"/>
            <w:szCs w:val="24"/>
          </w:rPr>
          <w:t>https://doi.org/10.1016/j.bonr.2017.03.002</w:t>
        </w:r>
      </w:hyperlink>
      <w:r w:rsidRPr="00473CF8">
        <w:rPr>
          <w:rFonts w:ascii="Helvetica" w:hAnsi="Helvetica" w:cs="Helvetica"/>
          <w:sz w:val="24"/>
          <w:szCs w:val="24"/>
        </w:rPr>
        <w:t>.</w:t>
      </w:r>
    </w:p>
    <w:p w14:paraId="39B2DD16" w14:textId="77777777" w:rsidR="00C747F1" w:rsidRDefault="00C747F1" w:rsidP="00C747F1">
      <w:pPr>
        <w:rPr>
          <w:rFonts w:ascii="Helvetica" w:hAnsi="Helvetica" w:cs="Helvetica"/>
          <w:sz w:val="24"/>
          <w:szCs w:val="24"/>
        </w:rPr>
      </w:pPr>
      <w:r>
        <w:rPr>
          <w:rFonts w:ascii="Helvetica" w:hAnsi="Helvetica" w:cs="Helvetica"/>
          <w:sz w:val="24"/>
          <w:szCs w:val="24"/>
        </w:rPr>
        <w:t xml:space="preserve">[3]. </w:t>
      </w:r>
      <w:proofErr w:type="spellStart"/>
      <w:r w:rsidRPr="00C747F1">
        <w:rPr>
          <w:rFonts w:ascii="Helvetica" w:hAnsi="Helvetica" w:cs="Helvetica"/>
          <w:sz w:val="24"/>
          <w:szCs w:val="24"/>
        </w:rPr>
        <w:t>Marsell</w:t>
      </w:r>
      <w:proofErr w:type="spellEnd"/>
      <w:r w:rsidRPr="00C747F1">
        <w:rPr>
          <w:rFonts w:ascii="Helvetica" w:hAnsi="Helvetica" w:cs="Helvetica"/>
          <w:sz w:val="24"/>
          <w:szCs w:val="24"/>
        </w:rPr>
        <w:t>, R., &amp; Einhorn, T. A. (2011). The biology of fracture healing. Injury, 42(6), 551–555. https://doi.org/10.1016/j.injury.2011.03.031</w:t>
      </w:r>
    </w:p>
    <w:p w14:paraId="1DD8702F" w14:textId="77777777" w:rsidR="00F12CAD" w:rsidRDefault="00C747F1">
      <w:pPr>
        <w:rPr>
          <w:rFonts w:ascii="Helvetica" w:hAnsi="Helvetica" w:cs="Helvetica"/>
          <w:sz w:val="24"/>
          <w:szCs w:val="24"/>
        </w:rPr>
      </w:pPr>
      <w:r>
        <w:rPr>
          <w:rFonts w:ascii="Helvetica" w:hAnsi="Helvetica" w:cs="Helvetica"/>
          <w:sz w:val="24"/>
          <w:szCs w:val="24"/>
        </w:rPr>
        <w:t>[4</w:t>
      </w:r>
      <w:r w:rsidR="00FF781F">
        <w:rPr>
          <w:rFonts w:ascii="Helvetica" w:hAnsi="Helvetica" w:cs="Helvetica"/>
          <w:sz w:val="24"/>
          <w:szCs w:val="24"/>
        </w:rPr>
        <w:t xml:space="preserve">]. </w:t>
      </w:r>
      <w:r w:rsidR="00FF781F" w:rsidRPr="00FF781F">
        <w:rPr>
          <w:rFonts w:ascii="Helvetica" w:hAnsi="Helvetica" w:cs="Helvetica"/>
          <w:sz w:val="24"/>
          <w:szCs w:val="24"/>
        </w:rPr>
        <w:t xml:space="preserve">Wu, Ai-Min, et al. “Global, Regional, and National Burden of Bone Fractures in 204 Countries and Territories, 1990–2019: A Systematic Analysis </w:t>
      </w:r>
      <w:proofErr w:type="gramStart"/>
      <w:r w:rsidR="00FF781F" w:rsidRPr="00FF781F">
        <w:rPr>
          <w:rFonts w:ascii="Helvetica" w:hAnsi="Helvetica" w:cs="Helvetica"/>
          <w:sz w:val="24"/>
          <w:szCs w:val="24"/>
        </w:rPr>
        <w:t>From</w:t>
      </w:r>
      <w:proofErr w:type="gramEnd"/>
      <w:r w:rsidR="00FF781F" w:rsidRPr="00FF781F">
        <w:rPr>
          <w:rFonts w:ascii="Helvetica" w:hAnsi="Helvetica" w:cs="Helvetica"/>
          <w:sz w:val="24"/>
          <w:szCs w:val="24"/>
        </w:rPr>
        <w:t xml:space="preserve"> the Global Burden of Disease Study 2019.” </w:t>
      </w:r>
      <w:r w:rsidR="00FF781F" w:rsidRPr="00FF781F">
        <w:rPr>
          <w:rFonts w:ascii="Helvetica" w:hAnsi="Helvetica" w:cs="Helvetica"/>
          <w:i/>
          <w:iCs/>
          <w:sz w:val="24"/>
          <w:szCs w:val="24"/>
        </w:rPr>
        <w:t>The Lancet Healthy Longevity</w:t>
      </w:r>
      <w:r w:rsidR="00FF781F" w:rsidRPr="00FF781F">
        <w:rPr>
          <w:rFonts w:ascii="Helvetica" w:hAnsi="Helvetica" w:cs="Helvetica"/>
          <w:sz w:val="24"/>
          <w:szCs w:val="24"/>
        </w:rPr>
        <w:t xml:space="preserve">, vol. 2, no. 9, Elsevier BV, Sept. 2021, pp. e580–92. </w:t>
      </w:r>
      <w:proofErr w:type="spellStart"/>
      <w:r w:rsidR="00FF781F" w:rsidRPr="00FF781F">
        <w:rPr>
          <w:rFonts w:ascii="Helvetica" w:hAnsi="Helvetica" w:cs="Helvetica"/>
          <w:i/>
          <w:iCs/>
          <w:sz w:val="24"/>
          <w:szCs w:val="24"/>
        </w:rPr>
        <w:t>Crossref</w:t>
      </w:r>
      <w:proofErr w:type="spellEnd"/>
      <w:r w:rsidR="00FF781F" w:rsidRPr="00FF781F">
        <w:rPr>
          <w:rFonts w:ascii="Helvetica" w:hAnsi="Helvetica" w:cs="Helvetica"/>
          <w:sz w:val="24"/>
          <w:szCs w:val="24"/>
        </w:rPr>
        <w:t xml:space="preserve">, </w:t>
      </w:r>
      <w:hyperlink r:id="rId7" w:history="1">
        <w:r w:rsidR="00FF781F" w:rsidRPr="00A3445D">
          <w:rPr>
            <w:rStyle w:val="Hyperlink"/>
            <w:rFonts w:ascii="Helvetica" w:hAnsi="Helvetica" w:cs="Helvetica"/>
            <w:sz w:val="24"/>
            <w:szCs w:val="24"/>
          </w:rPr>
          <w:t>https://doi.org/10.1016/s2666-7568(21)00172-0</w:t>
        </w:r>
      </w:hyperlink>
      <w:r w:rsidR="00FF781F">
        <w:rPr>
          <w:rFonts w:ascii="Helvetica" w:hAnsi="Helvetica" w:cs="Helvetica"/>
          <w:sz w:val="24"/>
          <w:szCs w:val="24"/>
        </w:rPr>
        <w:t xml:space="preserve">. </w:t>
      </w:r>
    </w:p>
    <w:p w14:paraId="135470BA" w14:textId="77777777" w:rsidR="00F12CAD" w:rsidRDefault="00C747F1">
      <w:pPr>
        <w:rPr>
          <w:rFonts w:ascii="Helvetica" w:hAnsi="Helvetica" w:cs="Helvetica"/>
          <w:sz w:val="24"/>
          <w:szCs w:val="24"/>
        </w:rPr>
      </w:pPr>
      <w:r>
        <w:rPr>
          <w:rFonts w:ascii="Helvetica" w:hAnsi="Helvetica" w:cs="Helvetica"/>
          <w:sz w:val="24"/>
          <w:szCs w:val="24"/>
        </w:rPr>
        <w:t>[5</w:t>
      </w:r>
      <w:r w:rsidR="00F12CAD">
        <w:rPr>
          <w:rFonts w:ascii="Helvetica" w:hAnsi="Helvetica" w:cs="Helvetica"/>
          <w:sz w:val="24"/>
          <w:szCs w:val="24"/>
        </w:rPr>
        <w:t xml:space="preserve">]. </w:t>
      </w:r>
      <w:r w:rsidR="00F12CAD" w:rsidRPr="00F12CAD">
        <w:rPr>
          <w:rFonts w:ascii="Helvetica" w:hAnsi="Helvetica" w:cs="Helvetica"/>
          <w:sz w:val="24"/>
          <w:szCs w:val="24"/>
        </w:rPr>
        <w:t xml:space="preserve">Sheen JR, </w:t>
      </w:r>
      <w:proofErr w:type="spellStart"/>
      <w:r w:rsidR="00F12CAD" w:rsidRPr="00F12CAD">
        <w:rPr>
          <w:rFonts w:ascii="Helvetica" w:hAnsi="Helvetica" w:cs="Helvetica"/>
          <w:sz w:val="24"/>
          <w:szCs w:val="24"/>
        </w:rPr>
        <w:t>Garla</w:t>
      </w:r>
      <w:proofErr w:type="spellEnd"/>
      <w:r w:rsidR="00F12CAD" w:rsidRPr="00F12CAD">
        <w:rPr>
          <w:rFonts w:ascii="Helvetica" w:hAnsi="Helvetica" w:cs="Helvetica"/>
          <w:sz w:val="24"/>
          <w:szCs w:val="24"/>
        </w:rPr>
        <w:t xml:space="preserve"> VV. Fracture Healing Overview. [Updated 2022 May 8]. In: </w:t>
      </w:r>
      <w:proofErr w:type="spellStart"/>
      <w:r w:rsidR="00F12CAD" w:rsidRPr="00F12CAD">
        <w:rPr>
          <w:rFonts w:ascii="Helvetica" w:hAnsi="Helvetica" w:cs="Helvetica"/>
          <w:sz w:val="24"/>
          <w:szCs w:val="24"/>
        </w:rPr>
        <w:t>StatPearls</w:t>
      </w:r>
      <w:proofErr w:type="spellEnd"/>
      <w:r w:rsidR="00F12CAD" w:rsidRPr="00F12CAD">
        <w:rPr>
          <w:rFonts w:ascii="Helvetica" w:hAnsi="Helvetica" w:cs="Helvetica"/>
          <w:sz w:val="24"/>
          <w:szCs w:val="24"/>
        </w:rPr>
        <w:t xml:space="preserve"> [Internet]. Treasure Island (FL): </w:t>
      </w:r>
      <w:proofErr w:type="spellStart"/>
      <w:r w:rsidR="00F12CAD" w:rsidRPr="00F12CAD">
        <w:rPr>
          <w:rFonts w:ascii="Helvetica" w:hAnsi="Helvetica" w:cs="Helvetica"/>
          <w:sz w:val="24"/>
          <w:szCs w:val="24"/>
        </w:rPr>
        <w:t>StatPearls</w:t>
      </w:r>
      <w:proofErr w:type="spellEnd"/>
      <w:r w:rsidR="00F12CAD" w:rsidRPr="00F12CAD">
        <w:rPr>
          <w:rFonts w:ascii="Helvetica" w:hAnsi="Helvetica" w:cs="Helvetica"/>
          <w:sz w:val="24"/>
          <w:szCs w:val="24"/>
        </w:rPr>
        <w:t xml:space="preserve"> Publishing; 2022 Jan-. Available from: </w:t>
      </w:r>
      <w:hyperlink r:id="rId8" w:history="1">
        <w:r w:rsidR="00F12CAD" w:rsidRPr="00A3445D">
          <w:rPr>
            <w:rStyle w:val="Hyperlink"/>
            <w:rFonts w:ascii="Helvetica" w:hAnsi="Helvetica" w:cs="Helvetica"/>
            <w:sz w:val="24"/>
            <w:szCs w:val="24"/>
          </w:rPr>
          <w:t>https://www.ncbi.nlm.nih.gov/books/NBK551678/</w:t>
        </w:r>
      </w:hyperlink>
      <w:r w:rsidR="00F12CAD">
        <w:rPr>
          <w:rFonts w:ascii="Helvetica" w:hAnsi="Helvetica" w:cs="Helvetica"/>
          <w:sz w:val="24"/>
          <w:szCs w:val="24"/>
        </w:rPr>
        <w:t xml:space="preserve"> </w:t>
      </w:r>
    </w:p>
    <w:p w14:paraId="29754525" w14:textId="77777777" w:rsidR="00F56A65" w:rsidRDefault="00F56A65">
      <w:pPr>
        <w:rPr>
          <w:rFonts w:ascii="Helvetica" w:hAnsi="Helvetica" w:cs="Helvetica"/>
          <w:sz w:val="24"/>
          <w:szCs w:val="24"/>
        </w:rPr>
      </w:pPr>
      <w:r>
        <w:rPr>
          <w:rFonts w:ascii="Helvetica" w:hAnsi="Helvetica" w:cs="Helvetica"/>
          <w:sz w:val="24"/>
          <w:szCs w:val="24"/>
        </w:rPr>
        <w:t xml:space="preserve">[6]. </w:t>
      </w:r>
      <w:r w:rsidRPr="00F56A65">
        <w:rPr>
          <w:rFonts w:ascii="Helvetica" w:hAnsi="Helvetica" w:cs="Helvetica"/>
          <w:sz w:val="24"/>
          <w:szCs w:val="24"/>
        </w:rPr>
        <w:t>Gilbert, F., et al. “Clinical Implications of Fracture-associated Vascular Damage in Extremity and Pelvic Trauma - BMC Musculoskeletal Disorders.” BioMed Central, 20 Nov. 2018, bmcmusculoskeletdisord.biomedcentral.com/art</w:t>
      </w:r>
      <w:r>
        <w:rPr>
          <w:rFonts w:ascii="Helvetica" w:hAnsi="Helvetica" w:cs="Helvetica"/>
          <w:sz w:val="24"/>
          <w:szCs w:val="24"/>
        </w:rPr>
        <w:t>i</w:t>
      </w:r>
      <w:r w:rsidR="00BF7D42">
        <w:rPr>
          <w:rFonts w:ascii="Helvetica" w:hAnsi="Helvetica" w:cs="Helvetica"/>
          <w:sz w:val="24"/>
          <w:szCs w:val="24"/>
        </w:rPr>
        <w:t xml:space="preserve">cles/10.1186/s12891-018-2333-y. </w:t>
      </w:r>
    </w:p>
    <w:p w14:paraId="12EA716A" w14:textId="77777777" w:rsidR="0019636B" w:rsidRPr="00503D7F" w:rsidRDefault="0019636B">
      <w:pPr>
        <w:rPr>
          <w:rFonts w:ascii="Helvetica" w:hAnsi="Helvetica" w:cs="Helvetica"/>
        </w:rPr>
      </w:pPr>
      <w:r>
        <w:rPr>
          <w:rFonts w:ascii="Helvetica" w:hAnsi="Helvetica" w:cs="Helvetica"/>
          <w:sz w:val="24"/>
          <w:szCs w:val="24"/>
        </w:rPr>
        <w:t xml:space="preserve">[7]. </w:t>
      </w:r>
      <w:r w:rsidRPr="0019636B">
        <w:rPr>
          <w:rFonts w:ascii="Helvetica" w:hAnsi="Helvetica" w:cs="Helvetica"/>
        </w:rPr>
        <w:t xml:space="preserve">Medicine Staff, Institute of, and Division of Health Promotion and Disease Prevention Staff. </w:t>
      </w:r>
      <w:r w:rsidRPr="0019636B">
        <w:rPr>
          <w:rFonts w:ascii="Helvetica" w:hAnsi="Helvetica" w:cs="Helvetica"/>
          <w:i/>
          <w:iCs/>
        </w:rPr>
        <w:t>The Second Fifty Years: Promoting Health and Preventing Disability</w:t>
      </w:r>
      <w:r w:rsidRPr="0019636B">
        <w:rPr>
          <w:rFonts w:ascii="Helvetica" w:hAnsi="Helvetica" w:cs="Helvetica"/>
        </w:rPr>
        <w:t xml:space="preserve">. Edited by Robert L. Berg and J. S. Cassells, 1992. </w:t>
      </w:r>
      <w:r w:rsidRPr="0019636B">
        <w:rPr>
          <w:rFonts w:ascii="Helvetica" w:hAnsi="Helvetica" w:cs="Helvetica"/>
          <w:i/>
          <w:iCs/>
        </w:rPr>
        <w:t>Bowker</w:t>
      </w:r>
      <w:r w:rsidRPr="0019636B">
        <w:rPr>
          <w:rFonts w:ascii="Helvetica" w:hAnsi="Helvetica" w:cs="Helvetica"/>
        </w:rPr>
        <w:t xml:space="preserve">, </w:t>
      </w:r>
      <w:hyperlink r:id="rId9" w:history="1">
        <w:r w:rsidR="00BF7D42" w:rsidRPr="007A27C9">
          <w:rPr>
            <w:rStyle w:val="Hyperlink"/>
            <w:rFonts w:ascii="Helvetica" w:hAnsi="Helvetica" w:cs="Helvetica"/>
          </w:rPr>
          <w:t>https://doi.org/10.1604/978030904681710.17226/1578</w:t>
        </w:r>
      </w:hyperlink>
      <w:r w:rsidRPr="0019636B">
        <w:rPr>
          <w:rFonts w:ascii="Helvetica" w:hAnsi="Helvetica" w:cs="Helvetica"/>
        </w:rPr>
        <w:t>.</w:t>
      </w:r>
      <w:r w:rsidR="00BF7D42">
        <w:rPr>
          <w:rFonts w:ascii="Helvetica" w:hAnsi="Helvetica" w:cs="Helvetica"/>
        </w:rPr>
        <w:t xml:space="preserve"> </w:t>
      </w:r>
    </w:p>
    <w:p w14:paraId="470DA23C" w14:textId="77777777" w:rsidR="006E7028" w:rsidRDefault="0019636B">
      <w:pPr>
        <w:rPr>
          <w:rFonts w:ascii="Helvetica" w:hAnsi="Helvetica" w:cs="Helvetica"/>
          <w:sz w:val="24"/>
          <w:szCs w:val="24"/>
        </w:rPr>
      </w:pPr>
      <w:r>
        <w:rPr>
          <w:rFonts w:ascii="Helvetica" w:hAnsi="Helvetica" w:cs="Helvetica"/>
          <w:sz w:val="24"/>
          <w:szCs w:val="24"/>
        </w:rPr>
        <w:t>[8</w:t>
      </w:r>
      <w:r w:rsidR="006E7028">
        <w:rPr>
          <w:rFonts w:ascii="Helvetica" w:hAnsi="Helvetica" w:cs="Helvetica"/>
          <w:sz w:val="24"/>
          <w:szCs w:val="24"/>
        </w:rPr>
        <w:t xml:space="preserve">]. </w:t>
      </w:r>
      <w:r w:rsidR="006E7028" w:rsidRPr="006E7028">
        <w:rPr>
          <w:rFonts w:ascii="Helvetica" w:hAnsi="Helvetica" w:cs="Helvetica"/>
          <w:sz w:val="24"/>
          <w:szCs w:val="24"/>
        </w:rPr>
        <w:t>Kerr, C., et al. “The Importance of Physical Function to People with Osteoporosis.” Osteoporosis International, vol. 28, no. 5, Springer Science and Business Media LLC, 6 Mar.</w:t>
      </w:r>
      <w:r w:rsidR="00BF7D42">
        <w:rPr>
          <w:rFonts w:ascii="Helvetica" w:hAnsi="Helvetica" w:cs="Helvetica"/>
          <w:sz w:val="24"/>
          <w:szCs w:val="24"/>
        </w:rPr>
        <w:t xml:space="preserve"> 2017, pp. 1597–1607. </w:t>
      </w:r>
      <w:proofErr w:type="spellStart"/>
      <w:r w:rsidR="00BF7D42">
        <w:rPr>
          <w:rFonts w:ascii="Helvetica" w:hAnsi="Helvetica" w:cs="Helvetica"/>
          <w:sz w:val="24"/>
          <w:szCs w:val="24"/>
        </w:rPr>
        <w:t>Crossref</w:t>
      </w:r>
      <w:proofErr w:type="spellEnd"/>
      <w:r w:rsidR="00BF7D42">
        <w:rPr>
          <w:rFonts w:ascii="Helvetica" w:hAnsi="Helvetica" w:cs="Helvetica"/>
          <w:sz w:val="24"/>
          <w:szCs w:val="24"/>
        </w:rPr>
        <w:t xml:space="preserve">, </w:t>
      </w:r>
      <w:r w:rsidR="006E7028" w:rsidRPr="006E7028">
        <w:rPr>
          <w:rFonts w:ascii="Helvetica" w:hAnsi="Helvetica" w:cs="Helvetica"/>
          <w:sz w:val="24"/>
          <w:szCs w:val="24"/>
        </w:rPr>
        <w:t>doi:10.1007/s00198-017-3</w:t>
      </w:r>
      <w:r w:rsidR="00BF7D42">
        <w:rPr>
          <w:rFonts w:ascii="Helvetica" w:hAnsi="Helvetica" w:cs="Helvetica"/>
          <w:sz w:val="24"/>
          <w:szCs w:val="24"/>
        </w:rPr>
        <w:t>911-9.</w:t>
      </w:r>
    </w:p>
    <w:p w14:paraId="7115B082" w14:textId="77777777" w:rsidR="00F12CAD" w:rsidRDefault="00503D7F">
      <w:pPr>
        <w:rPr>
          <w:rFonts w:ascii="Helvetica" w:hAnsi="Helvetica" w:cs="Helvetica"/>
          <w:sz w:val="24"/>
          <w:szCs w:val="24"/>
        </w:rPr>
      </w:pPr>
      <w:r>
        <w:rPr>
          <w:rFonts w:ascii="Helvetica" w:hAnsi="Helvetica" w:cs="Helvetica"/>
          <w:sz w:val="24"/>
          <w:szCs w:val="24"/>
        </w:rPr>
        <w:t xml:space="preserve">[9]. </w:t>
      </w:r>
      <w:r w:rsidRPr="00503D7F">
        <w:rPr>
          <w:rFonts w:ascii="Helvetica" w:hAnsi="Helvetica" w:cs="Helvetica"/>
          <w:sz w:val="24"/>
          <w:szCs w:val="24"/>
        </w:rPr>
        <w:t xml:space="preserve">Polo-Corrales, Liliana, et al. “Scaffold Design for Bone Regeneration.” PubMed Central (PMC), </w:t>
      </w:r>
      <w:hyperlink r:id="rId10" w:history="1">
        <w:r w:rsidRPr="007A27C9">
          <w:rPr>
            <w:rStyle w:val="Hyperlink"/>
            <w:rFonts w:ascii="Helvetica" w:hAnsi="Helvetica" w:cs="Helvetica"/>
            <w:sz w:val="24"/>
            <w:szCs w:val="24"/>
          </w:rPr>
          <w:t>https://doi.org/10.1166/jnn.2014.9127</w:t>
        </w:r>
      </w:hyperlink>
      <w:r w:rsidRPr="00503D7F">
        <w:rPr>
          <w:rFonts w:ascii="Helvetica" w:hAnsi="Helvetica" w:cs="Helvetica"/>
          <w:sz w:val="24"/>
          <w:szCs w:val="24"/>
        </w:rPr>
        <w:t>.</w:t>
      </w:r>
      <w:r>
        <w:rPr>
          <w:rFonts w:ascii="Helvetica" w:hAnsi="Helvetica" w:cs="Helvetica"/>
          <w:sz w:val="24"/>
          <w:szCs w:val="24"/>
        </w:rPr>
        <w:t xml:space="preserve"> </w:t>
      </w:r>
    </w:p>
    <w:p w14:paraId="68216DD3" w14:textId="6AE5D6CA" w:rsidR="00C10F27" w:rsidRDefault="00C10F27">
      <w:pPr>
        <w:rPr>
          <w:rFonts w:ascii="Helvetica" w:hAnsi="Helvetica" w:cs="Helvetica"/>
          <w:sz w:val="24"/>
          <w:szCs w:val="24"/>
        </w:rPr>
      </w:pPr>
      <w:r>
        <w:rPr>
          <w:rFonts w:ascii="Helvetica" w:hAnsi="Helvetica" w:cs="Helvetica"/>
          <w:sz w:val="24"/>
          <w:szCs w:val="24"/>
        </w:rPr>
        <w:t xml:space="preserve">[10]. </w:t>
      </w:r>
      <w:proofErr w:type="spellStart"/>
      <w:r w:rsidRPr="00C10F27">
        <w:rPr>
          <w:rFonts w:ascii="Helvetica" w:hAnsi="Helvetica" w:cs="Helvetica"/>
          <w:sz w:val="24"/>
          <w:szCs w:val="24"/>
        </w:rPr>
        <w:t>Ghassemi</w:t>
      </w:r>
      <w:proofErr w:type="spellEnd"/>
      <w:r w:rsidRPr="00C10F27">
        <w:rPr>
          <w:rFonts w:ascii="Helvetica" w:hAnsi="Helvetica" w:cs="Helvetica"/>
          <w:sz w:val="24"/>
          <w:szCs w:val="24"/>
        </w:rPr>
        <w:t xml:space="preserve">, </w:t>
      </w:r>
      <w:proofErr w:type="spellStart"/>
      <w:r w:rsidRPr="00C10F27">
        <w:rPr>
          <w:rFonts w:ascii="Helvetica" w:hAnsi="Helvetica" w:cs="Helvetica"/>
          <w:sz w:val="24"/>
          <w:szCs w:val="24"/>
        </w:rPr>
        <w:t>Toktam</w:t>
      </w:r>
      <w:proofErr w:type="spellEnd"/>
      <w:r w:rsidRPr="00C10F27">
        <w:rPr>
          <w:rFonts w:ascii="Helvetica" w:hAnsi="Helvetica" w:cs="Helvetica"/>
          <w:sz w:val="24"/>
          <w:szCs w:val="24"/>
        </w:rPr>
        <w:t xml:space="preserve">, et al. “Current Concepts in Scaffolding for Bone Tissue Engineering.” PubMed Central (PMC), </w:t>
      </w:r>
      <w:hyperlink r:id="rId11" w:history="1">
        <w:r w:rsidRPr="00821F39">
          <w:rPr>
            <w:rStyle w:val="Hyperlink"/>
            <w:rFonts w:ascii="Helvetica" w:hAnsi="Helvetica" w:cs="Helvetica"/>
            <w:sz w:val="24"/>
            <w:szCs w:val="24"/>
          </w:rPr>
          <w:t>www.ncbi.nlm.nih.gov/pmc/articles/PMC5867363</w:t>
        </w:r>
      </w:hyperlink>
      <w:r w:rsidRPr="00C10F27">
        <w:rPr>
          <w:rFonts w:ascii="Helvetica" w:hAnsi="Helvetica" w:cs="Helvetica"/>
          <w:sz w:val="24"/>
          <w:szCs w:val="24"/>
        </w:rPr>
        <w:t>.</w:t>
      </w:r>
      <w:r>
        <w:rPr>
          <w:rFonts w:ascii="Helvetica" w:hAnsi="Helvetica" w:cs="Helvetica"/>
          <w:sz w:val="24"/>
          <w:szCs w:val="24"/>
        </w:rPr>
        <w:t xml:space="preserve"> </w:t>
      </w:r>
    </w:p>
    <w:p w14:paraId="0F909777" w14:textId="2011B5AD" w:rsidR="00385A46" w:rsidRPr="00385A46" w:rsidRDefault="00385A46" w:rsidP="00385A46">
      <w:pPr>
        <w:autoSpaceDE w:val="0"/>
        <w:autoSpaceDN w:val="0"/>
        <w:adjustRightInd w:val="0"/>
        <w:spacing w:after="0" w:line="240" w:lineRule="auto"/>
        <w:rPr>
          <w:rFonts w:ascii="AdvGulliv-R" w:hAnsi="AdvGulliv-R" w:cs="AdvGulliv-R"/>
          <w:sz w:val="24"/>
          <w:szCs w:val="24"/>
          <w:lang w:bidi="ta-IN"/>
        </w:rPr>
      </w:pPr>
      <w:r>
        <w:rPr>
          <w:rFonts w:ascii="Helvetica" w:hAnsi="Helvetica" w:cs="Helvetica"/>
          <w:sz w:val="24"/>
          <w:szCs w:val="24"/>
        </w:rPr>
        <w:t>[11</w:t>
      </w:r>
      <w:r w:rsidRPr="00385A46">
        <w:rPr>
          <w:rFonts w:ascii="Helvetica" w:hAnsi="Helvetica" w:cs="Helvetica"/>
          <w:sz w:val="24"/>
          <w:szCs w:val="24"/>
        </w:rPr>
        <w:t>].</w:t>
      </w:r>
      <w:r w:rsidRPr="00385A46">
        <w:rPr>
          <w:rFonts w:ascii="AdvGulliv-R" w:hAnsi="AdvGulliv-R" w:cs="AdvGulliv-R"/>
          <w:color w:val="0080AE"/>
          <w:sz w:val="24"/>
          <w:szCs w:val="24"/>
          <w:lang w:bidi="ta-IN"/>
        </w:rPr>
        <w:t xml:space="preserve"> </w:t>
      </w:r>
      <w:r w:rsidRPr="00385A46">
        <w:rPr>
          <w:rFonts w:ascii="AdvGulliv-R" w:hAnsi="AdvGulliv-R" w:cs="AdvGulliv-R"/>
          <w:sz w:val="24"/>
          <w:szCs w:val="24"/>
          <w:lang w:bidi="ta-IN"/>
        </w:rPr>
        <w:t xml:space="preserve">M. Sadat-Shojai, M.T. </w:t>
      </w:r>
      <w:proofErr w:type="spellStart"/>
      <w:r w:rsidRPr="00385A46">
        <w:rPr>
          <w:rFonts w:ascii="AdvGulliv-R" w:hAnsi="AdvGulliv-R" w:cs="AdvGulliv-R"/>
          <w:sz w:val="24"/>
          <w:szCs w:val="24"/>
          <w:lang w:bidi="ta-IN"/>
        </w:rPr>
        <w:t>Khorasani</w:t>
      </w:r>
      <w:proofErr w:type="spellEnd"/>
      <w:r w:rsidRPr="00385A46">
        <w:rPr>
          <w:rFonts w:ascii="AdvGulliv-R" w:hAnsi="AdvGulliv-R" w:cs="AdvGulliv-R"/>
          <w:sz w:val="24"/>
          <w:szCs w:val="24"/>
          <w:lang w:bidi="ta-IN"/>
        </w:rPr>
        <w:t xml:space="preserve">, E. </w:t>
      </w:r>
      <w:proofErr w:type="spellStart"/>
      <w:r w:rsidRPr="00385A46">
        <w:rPr>
          <w:rFonts w:ascii="AdvGulliv-R" w:hAnsi="AdvGulliv-R" w:cs="AdvGulliv-R"/>
          <w:sz w:val="24"/>
          <w:szCs w:val="24"/>
          <w:lang w:bidi="ta-IN"/>
        </w:rPr>
        <w:t>Dinpanah-Khoshdargi</w:t>
      </w:r>
      <w:proofErr w:type="spellEnd"/>
      <w:r w:rsidRPr="00385A46">
        <w:rPr>
          <w:rFonts w:ascii="AdvGulliv-R" w:hAnsi="AdvGulliv-R" w:cs="AdvGulliv-R"/>
          <w:sz w:val="24"/>
          <w:szCs w:val="24"/>
          <w:lang w:bidi="ta-IN"/>
        </w:rPr>
        <w:t xml:space="preserve">, A. </w:t>
      </w:r>
      <w:proofErr w:type="spellStart"/>
      <w:r w:rsidRPr="00385A46">
        <w:rPr>
          <w:rFonts w:ascii="AdvGulliv-R" w:hAnsi="AdvGulliv-R" w:cs="AdvGulliv-R"/>
          <w:sz w:val="24"/>
          <w:szCs w:val="24"/>
          <w:lang w:bidi="ta-IN"/>
        </w:rPr>
        <w:t>Jamshidi</w:t>
      </w:r>
      <w:proofErr w:type="spellEnd"/>
      <w:r w:rsidRPr="00385A46">
        <w:rPr>
          <w:rFonts w:ascii="AdvGulliv-R" w:hAnsi="AdvGulliv-R" w:cs="AdvGulliv-R"/>
          <w:sz w:val="24"/>
          <w:szCs w:val="24"/>
          <w:lang w:bidi="ta-IN"/>
        </w:rPr>
        <w:t>, Acta</w:t>
      </w:r>
    </w:p>
    <w:p w14:paraId="0E6E004B" w14:textId="390F6E92" w:rsidR="00385A46" w:rsidRPr="00385A46" w:rsidRDefault="00385A46" w:rsidP="00385A46">
      <w:pPr>
        <w:rPr>
          <w:rFonts w:ascii="Helvetica" w:hAnsi="Helvetica" w:cs="Helvetica"/>
          <w:sz w:val="24"/>
          <w:szCs w:val="24"/>
        </w:rPr>
      </w:pPr>
      <w:proofErr w:type="spellStart"/>
      <w:r w:rsidRPr="00385A46">
        <w:rPr>
          <w:rFonts w:ascii="AdvGulliv-R" w:hAnsi="AdvGulliv-R" w:cs="AdvGulliv-R"/>
          <w:sz w:val="24"/>
          <w:szCs w:val="24"/>
          <w:lang w:bidi="ta-IN"/>
        </w:rPr>
        <w:t>Biomater</w:t>
      </w:r>
      <w:proofErr w:type="spellEnd"/>
      <w:r w:rsidRPr="00385A46">
        <w:rPr>
          <w:rFonts w:ascii="AdvGulliv-R" w:hAnsi="AdvGulliv-R" w:cs="AdvGulliv-R"/>
          <w:sz w:val="24"/>
          <w:szCs w:val="24"/>
          <w:lang w:bidi="ta-IN"/>
        </w:rPr>
        <w:t>. 9 (2013) 7591–7621.</w:t>
      </w:r>
    </w:p>
    <w:p w14:paraId="0D1D1C95" w14:textId="553E0C33" w:rsidR="00302C4D" w:rsidRPr="00302C4D" w:rsidRDefault="00385A46" w:rsidP="00302C4D">
      <w:pPr>
        <w:autoSpaceDE w:val="0"/>
        <w:autoSpaceDN w:val="0"/>
        <w:adjustRightInd w:val="0"/>
        <w:spacing w:after="0" w:line="240" w:lineRule="auto"/>
        <w:rPr>
          <w:rFonts w:ascii="AdvGulliv-R" w:hAnsi="AdvGulliv-R" w:cs="AdvGulliv-R"/>
          <w:lang w:bidi="ta-IN"/>
        </w:rPr>
      </w:pPr>
      <w:r>
        <w:rPr>
          <w:rFonts w:ascii="Helvetica" w:hAnsi="Helvetica" w:cs="Helvetica"/>
          <w:sz w:val="24"/>
          <w:szCs w:val="24"/>
        </w:rPr>
        <w:t>[12</w:t>
      </w:r>
      <w:r w:rsidRPr="00302C4D">
        <w:rPr>
          <w:rFonts w:ascii="Helvetica" w:hAnsi="Helvetica" w:cs="Helvetica"/>
        </w:rPr>
        <w:t>].</w:t>
      </w:r>
      <w:r w:rsidR="00302C4D" w:rsidRPr="00302C4D">
        <w:rPr>
          <w:rFonts w:ascii="AdvGulliv-R" w:hAnsi="AdvGulliv-R" w:cs="AdvGulliv-R"/>
          <w:lang w:bidi="ta-IN"/>
        </w:rPr>
        <w:t xml:space="preserve"> S.C. Cox, K.K. Mallick, R.I. Walton, Comparison of techniques for the synthesis</w:t>
      </w:r>
    </w:p>
    <w:p w14:paraId="64E55187" w14:textId="37D091E6" w:rsidR="00302C4D" w:rsidRDefault="00302C4D" w:rsidP="00302C4D">
      <w:pPr>
        <w:rPr>
          <w:rFonts w:ascii="AdvGulliv-R" w:hAnsi="AdvGulliv-R" w:cs="AdvGulliv-R"/>
          <w:sz w:val="13"/>
          <w:szCs w:val="13"/>
          <w:lang w:bidi="ta-IN"/>
        </w:rPr>
      </w:pPr>
      <w:r w:rsidRPr="00302C4D">
        <w:rPr>
          <w:rFonts w:ascii="AdvGulliv-R" w:hAnsi="AdvGulliv-R" w:cs="AdvGulliv-R"/>
          <w:lang w:bidi="ta-IN"/>
        </w:rPr>
        <w:t xml:space="preserve">of hydroxyapatite, Bioinspired, </w:t>
      </w:r>
      <w:proofErr w:type="spellStart"/>
      <w:r w:rsidRPr="00302C4D">
        <w:rPr>
          <w:rFonts w:ascii="AdvGulliv-R" w:hAnsi="AdvGulliv-R" w:cs="AdvGulliv-R"/>
          <w:lang w:bidi="ta-IN"/>
        </w:rPr>
        <w:t>Biomim</w:t>
      </w:r>
      <w:proofErr w:type="spellEnd"/>
      <w:r w:rsidRPr="00302C4D">
        <w:rPr>
          <w:rFonts w:ascii="AdvGulliv-R" w:hAnsi="AdvGulliv-R" w:cs="AdvGulliv-R"/>
          <w:lang w:bidi="ta-IN"/>
        </w:rPr>
        <w:t xml:space="preserve">. </w:t>
      </w:r>
      <w:proofErr w:type="spellStart"/>
      <w:r w:rsidRPr="00302C4D">
        <w:rPr>
          <w:rFonts w:ascii="AdvGulliv-R" w:hAnsi="AdvGulliv-R" w:cs="AdvGulliv-R"/>
          <w:lang w:bidi="ta-IN"/>
        </w:rPr>
        <w:t>Nanobiomaterials</w:t>
      </w:r>
      <w:proofErr w:type="spellEnd"/>
      <w:r w:rsidRPr="00302C4D">
        <w:rPr>
          <w:rFonts w:ascii="AdvGulliv-R" w:hAnsi="AdvGulliv-R" w:cs="AdvGulliv-R"/>
          <w:lang w:bidi="ta-IN"/>
        </w:rPr>
        <w:t>. 4 (2014) 37–47</w:t>
      </w:r>
      <w:r>
        <w:rPr>
          <w:rFonts w:ascii="AdvGulliv-R" w:hAnsi="AdvGulliv-R" w:cs="AdvGulliv-R"/>
          <w:sz w:val="13"/>
          <w:szCs w:val="13"/>
          <w:lang w:bidi="ta-IN"/>
        </w:rPr>
        <w:t>.</w:t>
      </w:r>
    </w:p>
    <w:p w14:paraId="5779EA50" w14:textId="200719FB" w:rsidR="00302C4D" w:rsidRPr="00302C4D" w:rsidRDefault="00302C4D" w:rsidP="00302C4D">
      <w:pPr>
        <w:rPr>
          <w:rFonts w:ascii="AdvGulliv-R" w:hAnsi="AdvGulliv-R" w:cs="AdvGulliv-R"/>
          <w:lang w:bidi="ta-IN"/>
        </w:rPr>
      </w:pPr>
      <w:r w:rsidRPr="00302C4D">
        <w:rPr>
          <w:rFonts w:ascii="AdvGulliv-R" w:hAnsi="AdvGulliv-R" w:cs="AdvGulliv-R"/>
          <w:lang w:bidi="ta-IN"/>
        </w:rPr>
        <w:t xml:space="preserve">[13]. M. </w:t>
      </w:r>
      <w:proofErr w:type="spellStart"/>
      <w:r w:rsidRPr="00302C4D">
        <w:rPr>
          <w:rFonts w:ascii="AdvGulliv-R" w:hAnsi="AdvGulliv-R" w:cs="AdvGulliv-R"/>
          <w:lang w:bidi="ta-IN"/>
        </w:rPr>
        <w:t>Rahaman</w:t>
      </w:r>
      <w:proofErr w:type="spellEnd"/>
      <w:r w:rsidRPr="00302C4D">
        <w:rPr>
          <w:rFonts w:ascii="AdvGulliv-R" w:hAnsi="AdvGulliv-R" w:cs="AdvGulliv-R"/>
          <w:lang w:bidi="ta-IN"/>
        </w:rPr>
        <w:t xml:space="preserve">, M.N. </w:t>
      </w:r>
      <w:proofErr w:type="spellStart"/>
      <w:r w:rsidRPr="00302C4D">
        <w:rPr>
          <w:rFonts w:ascii="AdvGulliv-R" w:hAnsi="AdvGulliv-R" w:cs="AdvGulliv-R"/>
          <w:lang w:bidi="ta-IN"/>
        </w:rPr>
        <w:t>Rahaman</w:t>
      </w:r>
      <w:proofErr w:type="spellEnd"/>
      <w:r w:rsidRPr="00302C4D">
        <w:rPr>
          <w:rFonts w:ascii="AdvGulliv-R" w:hAnsi="AdvGulliv-R" w:cs="AdvGulliv-R"/>
          <w:lang w:bidi="ta-IN"/>
        </w:rPr>
        <w:t>, Ceramic Processing, Taylor &amp; Francis, 2006.</w:t>
      </w:r>
    </w:p>
    <w:sectPr w:rsidR="00302C4D" w:rsidRPr="00302C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dvGulliv-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15421"/>
    <w:multiLevelType w:val="hybridMultilevel"/>
    <w:tmpl w:val="73C6E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29096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25D"/>
    <w:rsid w:val="00105719"/>
    <w:rsid w:val="00152EA0"/>
    <w:rsid w:val="0019636B"/>
    <w:rsid w:val="001B3791"/>
    <w:rsid w:val="001F3CC0"/>
    <w:rsid w:val="00204728"/>
    <w:rsid w:val="00235A04"/>
    <w:rsid w:val="00250D99"/>
    <w:rsid w:val="002C0C18"/>
    <w:rsid w:val="002D5701"/>
    <w:rsid w:val="003006B9"/>
    <w:rsid w:val="00302C4D"/>
    <w:rsid w:val="0030697E"/>
    <w:rsid w:val="00350DC7"/>
    <w:rsid w:val="00362E69"/>
    <w:rsid w:val="003816A3"/>
    <w:rsid w:val="00385A46"/>
    <w:rsid w:val="00392EE9"/>
    <w:rsid w:val="003B2AD8"/>
    <w:rsid w:val="003C2EA4"/>
    <w:rsid w:val="00400F1A"/>
    <w:rsid w:val="00473CF8"/>
    <w:rsid w:val="0047758B"/>
    <w:rsid w:val="00490DAF"/>
    <w:rsid w:val="004C5639"/>
    <w:rsid w:val="00503D7F"/>
    <w:rsid w:val="00516A06"/>
    <w:rsid w:val="005F6BC7"/>
    <w:rsid w:val="00605C87"/>
    <w:rsid w:val="0062214B"/>
    <w:rsid w:val="006A6FD5"/>
    <w:rsid w:val="006E7028"/>
    <w:rsid w:val="008377CB"/>
    <w:rsid w:val="008E755D"/>
    <w:rsid w:val="009C3AFD"/>
    <w:rsid w:val="00A3456F"/>
    <w:rsid w:val="00A60EDF"/>
    <w:rsid w:val="00A76B52"/>
    <w:rsid w:val="00AC30A4"/>
    <w:rsid w:val="00AF022D"/>
    <w:rsid w:val="00B43739"/>
    <w:rsid w:val="00BF7D42"/>
    <w:rsid w:val="00C10F27"/>
    <w:rsid w:val="00C747F1"/>
    <w:rsid w:val="00C85907"/>
    <w:rsid w:val="00C916DE"/>
    <w:rsid w:val="00CD43AE"/>
    <w:rsid w:val="00D220BE"/>
    <w:rsid w:val="00D5225D"/>
    <w:rsid w:val="00D5420C"/>
    <w:rsid w:val="00D72751"/>
    <w:rsid w:val="00EA299F"/>
    <w:rsid w:val="00EE1813"/>
    <w:rsid w:val="00F05730"/>
    <w:rsid w:val="00F06871"/>
    <w:rsid w:val="00F12CAD"/>
    <w:rsid w:val="00F56A65"/>
    <w:rsid w:val="00F84B18"/>
    <w:rsid w:val="00FB3307"/>
    <w:rsid w:val="00FB7C7D"/>
    <w:rsid w:val="00FF781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CB522"/>
  <w15:chartTrackingRefBased/>
  <w15:docId w15:val="{FC9BA929-6B9B-4707-8A1C-0807EC2AE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6BC7"/>
    <w:rPr>
      <w:color w:val="0563C1" w:themeColor="hyperlink"/>
      <w:u w:val="single"/>
    </w:rPr>
  </w:style>
  <w:style w:type="paragraph" w:styleId="NormalWeb">
    <w:name w:val="Normal (Web)"/>
    <w:basedOn w:val="Normal"/>
    <w:uiPriority w:val="99"/>
    <w:semiHidden/>
    <w:unhideWhenUsed/>
    <w:rsid w:val="0019636B"/>
    <w:rPr>
      <w:rFonts w:ascii="Times New Roman" w:hAnsi="Times New Roman" w:cs="Times New Roman"/>
      <w:sz w:val="24"/>
      <w:szCs w:val="24"/>
    </w:rPr>
  </w:style>
  <w:style w:type="paragraph" w:styleId="ListParagraph">
    <w:name w:val="List Paragraph"/>
    <w:basedOn w:val="Normal"/>
    <w:uiPriority w:val="34"/>
    <w:qFormat/>
    <w:rsid w:val="00385A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6105">
      <w:bodyDiv w:val="1"/>
      <w:marLeft w:val="0"/>
      <w:marRight w:val="0"/>
      <w:marTop w:val="0"/>
      <w:marBottom w:val="0"/>
      <w:divBdr>
        <w:top w:val="none" w:sz="0" w:space="0" w:color="auto"/>
        <w:left w:val="none" w:sz="0" w:space="0" w:color="auto"/>
        <w:bottom w:val="none" w:sz="0" w:space="0" w:color="auto"/>
        <w:right w:val="none" w:sz="0" w:space="0" w:color="auto"/>
      </w:divBdr>
    </w:div>
    <w:div w:id="656958786">
      <w:bodyDiv w:val="1"/>
      <w:marLeft w:val="0"/>
      <w:marRight w:val="0"/>
      <w:marTop w:val="0"/>
      <w:marBottom w:val="0"/>
      <w:divBdr>
        <w:top w:val="none" w:sz="0" w:space="0" w:color="auto"/>
        <w:left w:val="none" w:sz="0" w:space="0" w:color="auto"/>
        <w:bottom w:val="none" w:sz="0" w:space="0" w:color="auto"/>
        <w:right w:val="none" w:sz="0" w:space="0" w:color="auto"/>
      </w:divBdr>
    </w:div>
    <w:div w:id="729234663">
      <w:bodyDiv w:val="1"/>
      <w:marLeft w:val="0"/>
      <w:marRight w:val="0"/>
      <w:marTop w:val="0"/>
      <w:marBottom w:val="0"/>
      <w:divBdr>
        <w:top w:val="none" w:sz="0" w:space="0" w:color="auto"/>
        <w:left w:val="none" w:sz="0" w:space="0" w:color="auto"/>
        <w:bottom w:val="none" w:sz="0" w:space="0" w:color="auto"/>
        <w:right w:val="none" w:sz="0" w:space="0" w:color="auto"/>
      </w:divBdr>
    </w:div>
    <w:div w:id="952248952">
      <w:bodyDiv w:val="1"/>
      <w:marLeft w:val="0"/>
      <w:marRight w:val="0"/>
      <w:marTop w:val="0"/>
      <w:marBottom w:val="0"/>
      <w:divBdr>
        <w:top w:val="none" w:sz="0" w:space="0" w:color="auto"/>
        <w:left w:val="none" w:sz="0" w:space="0" w:color="auto"/>
        <w:bottom w:val="none" w:sz="0" w:space="0" w:color="auto"/>
        <w:right w:val="none" w:sz="0" w:space="0" w:color="auto"/>
      </w:divBdr>
    </w:div>
    <w:div w:id="1268081107">
      <w:bodyDiv w:val="1"/>
      <w:marLeft w:val="0"/>
      <w:marRight w:val="0"/>
      <w:marTop w:val="0"/>
      <w:marBottom w:val="0"/>
      <w:divBdr>
        <w:top w:val="none" w:sz="0" w:space="0" w:color="auto"/>
        <w:left w:val="none" w:sz="0" w:space="0" w:color="auto"/>
        <w:bottom w:val="none" w:sz="0" w:space="0" w:color="auto"/>
        <w:right w:val="none" w:sz="0" w:space="0" w:color="auto"/>
      </w:divBdr>
    </w:div>
    <w:div w:id="1277251376">
      <w:bodyDiv w:val="1"/>
      <w:marLeft w:val="0"/>
      <w:marRight w:val="0"/>
      <w:marTop w:val="0"/>
      <w:marBottom w:val="0"/>
      <w:divBdr>
        <w:top w:val="none" w:sz="0" w:space="0" w:color="auto"/>
        <w:left w:val="none" w:sz="0" w:space="0" w:color="auto"/>
        <w:bottom w:val="none" w:sz="0" w:space="0" w:color="auto"/>
        <w:right w:val="none" w:sz="0" w:space="0" w:color="auto"/>
      </w:divBdr>
    </w:div>
    <w:div w:id="1326326499">
      <w:bodyDiv w:val="1"/>
      <w:marLeft w:val="0"/>
      <w:marRight w:val="0"/>
      <w:marTop w:val="0"/>
      <w:marBottom w:val="0"/>
      <w:divBdr>
        <w:top w:val="none" w:sz="0" w:space="0" w:color="auto"/>
        <w:left w:val="none" w:sz="0" w:space="0" w:color="auto"/>
        <w:bottom w:val="none" w:sz="0" w:space="0" w:color="auto"/>
        <w:right w:val="none" w:sz="0" w:space="0" w:color="auto"/>
      </w:divBdr>
    </w:div>
    <w:div w:id="1450054580">
      <w:bodyDiv w:val="1"/>
      <w:marLeft w:val="0"/>
      <w:marRight w:val="0"/>
      <w:marTop w:val="0"/>
      <w:marBottom w:val="0"/>
      <w:divBdr>
        <w:top w:val="none" w:sz="0" w:space="0" w:color="auto"/>
        <w:left w:val="none" w:sz="0" w:space="0" w:color="auto"/>
        <w:bottom w:val="none" w:sz="0" w:space="0" w:color="auto"/>
        <w:right w:val="none" w:sz="0" w:space="0" w:color="auto"/>
      </w:divBdr>
      <w:divsChild>
        <w:div w:id="231963782">
          <w:marLeft w:val="0"/>
          <w:marRight w:val="0"/>
          <w:marTop w:val="450"/>
          <w:marBottom w:val="0"/>
          <w:divBdr>
            <w:top w:val="none" w:sz="0" w:space="0" w:color="auto"/>
            <w:left w:val="none" w:sz="0" w:space="0" w:color="auto"/>
            <w:bottom w:val="none" w:sz="0" w:space="0" w:color="auto"/>
            <w:right w:val="none" w:sz="0" w:space="0" w:color="auto"/>
          </w:divBdr>
        </w:div>
      </w:divsChild>
    </w:div>
    <w:div w:id="179274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55167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s2666-7568(21)0017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bonr.2017.03.002" TargetMode="External"/><Relationship Id="rId11" Type="http://schemas.openxmlformats.org/officeDocument/2006/relationships/hyperlink" Target="http://www.ncbi.nlm.nih.gov/pmc/articles/PMC5867363" TargetMode="External"/><Relationship Id="rId5" Type="http://schemas.openxmlformats.org/officeDocument/2006/relationships/hyperlink" Target="http://www.ncbi.nlm.nih.gov/pmc/articles/PMC2903966" TargetMode="External"/><Relationship Id="rId10" Type="http://schemas.openxmlformats.org/officeDocument/2006/relationships/hyperlink" Target="https://doi.org/10.1166/jnn.2014.9127" TargetMode="External"/><Relationship Id="rId4" Type="http://schemas.openxmlformats.org/officeDocument/2006/relationships/webSettings" Target="webSettings.xml"/><Relationship Id="rId9" Type="http://schemas.openxmlformats.org/officeDocument/2006/relationships/hyperlink" Target="https://doi.org/10.1604/978030904681710.17226/15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1315</TotalTime>
  <Pages>5</Pages>
  <Words>1962</Words>
  <Characters>11189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KMGR</dc:creator>
  <cp:keywords/>
  <dc:description/>
  <cp:lastModifiedBy>Srinivas Duraisamy</cp:lastModifiedBy>
  <cp:revision>34</cp:revision>
  <dcterms:created xsi:type="dcterms:W3CDTF">2023-02-21T12:38:00Z</dcterms:created>
  <dcterms:modified xsi:type="dcterms:W3CDTF">2023-04-24T08:58:00Z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a188207916dc048d2126392d72c26196aa2ff3fa0bcdd675ba7d38dd67bd01bf</vt:lpwstr>
  </property>
</Properties>
</file>