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34D46" w14:textId="77777777" w:rsidR="00804A73" w:rsidRDefault="00541332">
      <w:pPr>
        <w:spacing w:before="54"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COMPLIANCE INDEX OF LGU-MALITA WITH DILG MEMORANDUM CIRCULAR 2015-76</w:t>
      </w:r>
    </w:p>
    <w:p w14:paraId="65B8592F" w14:textId="77777777" w:rsidR="00804A73" w:rsidRDefault="00804A73">
      <w:pPr>
        <w:spacing w:before="54" w:after="0" w:line="276" w:lineRule="auto"/>
        <w:jc w:val="center"/>
        <w:rPr>
          <w:rFonts w:ascii="Times New Roman" w:eastAsia="Times New Roman" w:hAnsi="Times New Roman" w:cs="Times New Roman"/>
          <w:b/>
          <w:color w:val="000000"/>
          <w:sz w:val="28"/>
          <w:szCs w:val="28"/>
        </w:rPr>
      </w:pPr>
    </w:p>
    <w:p w14:paraId="6C424959" w14:textId="628BBD02" w:rsidR="00804A73" w:rsidRDefault="00541332">
      <w:pPr>
        <w:spacing w:after="0" w:line="30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Narciso S. </w:t>
      </w:r>
      <w:proofErr w:type="spellStart"/>
      <w:r>
        <w:rPr>
          <w:rFonts w:ascii="Times New Roman" w:eastAsia="Times New Roman" w:hAnsi="Times New Roman" w:cs="Times New Roman"/>
          <w:b/>
          <w:color w:val="000000"/>
          <w:sz w:val="24"/>
          <w:szCs w:val="24"/>
        </w:rPr>
        <w:t>Birondo</w:t>
      </w:r>
      <w:proofErr w:type="spellEnd"/>
      <w:r>
        <w:rPr>
          <w:rFonts w:ascii="Times New Roman" w:eastAsia="Times New Roman" w:hAnsi="Times New Roman" w:cs="Times New Roman"/>
          <w:b/>
          <w:color w:val="000000"/>
          <w:sz w:val="24"/>
          <w:szCs w:val="24"/>
        </w:rPr>
        <w:t xml:space="preserve"> II</w:t>
      </w:r>
      <w:r>
        <w:rPr>
          <w:rFonts w:ascii="Times New Roman" w:hAnsi="Times New Roman" w:cs="Times New Roman"/>
          <w:b/>
          <w:bCs/>
          <w:color w:val="000000" w:themeColor="text1"/>
          <w:sz w:val="24"/>
          <w:szCs w:val="24"/>
          <w:vertAlign w:val="superscript"/>
        </w:rPr>
        <w:t>1</w:t>
      </w:r>
      <w:r>
        <w:rPr>
          <w:rFonts w:ascii="Times New Roman" w:eastAsia="Times New Roman" w:hAnsi="Times New Roman" w:cs="Times New Roman"/>
          <w:b/>
          <w:color w:val="000000"/>
          <w:sz w:val="24"/>
          <w:szCs w:val="24"/>
        </w:rPr>
        <w:t>, Michael M. Alferez</w:t>
      </w:r>
      <w:r>
        <w:rPr>
          <w:rFonts w:ascii="Times New Roman" w:hAnsi="Times New Roman" w:cs="Times New Roman"/>
          <w:b/>
          <w:bCs/>
          <w:color w:val="000000" w:themeColor="text1"/>
          <w:sz w:val="24"/>
          <w:szCs w:val="24"/>
          <w:vertAlign w:val="superscript"/>
        </w:rPr>
        <w:t>2</w:t>
      </w:r>
      <w:r>
        <w:rPr>
          <w:rFonts w:ascii="Times New Roman" w:eastAsia="Times New Roman" w:hAnsi="Times New Roman" w:cs="Times New Roman"/>
          <w:b/>
          <w:color w:val="000000"/>
          <w:sz w:val="24"/>
          <w:szCs w:val="24"/>
        </w:rPr>
        <w:t>, Gedrick M. Baliog</w:t>
      </w:r>
      <w:r>
        <w:rPr>
          <w:rFonts w:ascii="Times New Roman" w:hAnsi="Times New Roman" w:cs="Times New Roman"/>
          <w:b/>
          <w:bCs/>
          <w:color w:val="000000" w:themeColor="text1"/>
          <w:sz w:val="24"/>
          <w:szCs w:val="24"/>
          <w:vertAlign w:val="superscript"/>
        </w:rPr>
        <w:t>3</w:t>
      </w:r>
      <w:r>
        <w:rPr>
          <w:rFonts w:ascii="Times New Roman" w:eastAsia="Times New Roman" w:hAnsi="Times New Roman" w:cs="Times New Roman"/>
          <w:b/>
          <w:color w:val="000000"/>
          <w:sz w:val="24"/>
          <w:szCs w:val="24"/>
        </w:rPr>
        <w:t>, Silverio V. Magallon Jr.</w:t>
      </w:r>
      <w:r>
        <w:rPr>
          <w:rFonts w:ascii="Times New Roman" w:hAnsi="Times New Roman" w:cs="Times New Roman"/>
          <w:b/>
          <w:bCs/>
          <w:color w:val="000000" w:themeColor="text1"/>
          <w:sz w:val="24"/>
          <w:szCs w:val="24"/>
          <w:vertAlign w:val="superscript"/>
        </w:rPr>
        <w:t>4</w:t>
      </w:r>
    </w:p>
    <w:p w14:paraId="4604BD0A" w14:textId="77777777" w:rsidR="00804A73" w:rsidRDefault="0054133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University of Southeastern Philippines, Davao City, Philippines </w:t>
      </w:r>
    </w:p>
    <w:p w14:paraId="3ED4FD14" w14:textId="77777777" w:rsidR="00804A73" w:rsidRDefault="0054133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University of Southeastern </w:t>
      </w:r>
      <w:r>
        <w:rPr>
          <w:rFonts w:ascii="Times New Roman" w:hAnsi="Times New Roman" w:cs="Times New Roman"/>
          <w:color w:val="000000" w:themeColor="text1"/>
        </w:rPr>
        <w:t>Philippines, Davao City, Philippines</w:t>
      </w:r>
    </w:p>
    <w:p w14:paraId="0BFDB6F2" w14:textId="77777777" w:rsidR="00804A73" w:rsidRDefault="0054133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University of Southeastern Philippines, Davao City, Philippines</w:t>
      </w:r>
    </w:p>
    <w:p w14:paraId="1F600AC1" w14:textId="77777777" w:rsidR="00804A73" w:rsidRDefault="0054133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University of Southeastern Philippines, Davao City, Philippines</w:t>
      </w:r>
    </w:p>
    <w:p w14:paraId="4289415D" w14:textId="24873E12" w:rsidR="00804A73" w:rsidRDefault="00187E26" w:rsidP="00A427D7">
      <w:pPr>
        <w:pBdr>
          <w:bottom w:val="single" w:sz="4" w:space="1" w:color="auto"/>
        </w:pBd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19E2A31E" w14:textId="37FE6C60" w:rsidR="00B862BD" w:rsidRDefault="00B862BD">
      <w:pP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4724170C" w14:textId="6CFF8292" w:rsidR="00B862BD" w:rsidRDefault="00A427D7">
      <w:pPr>
        <w:spacing w:after="0" w:line="300" w:lineRule="auto"/>
        <w:jc w:val="both"/>
        <w:rPr>
          <w:rFonts w:ascii="Times New Roman" w:eastAsia="Times New Roman" w:hAnsi="Times New Roman" w:cs="Times New Roman"/>
          <w:bCs/>
          <w:color w:val="000000"/>
          <w:sz w:val="20"/>
          <w:szCs w:val="20"/>
        </w:rPr>
      </w:pPr>
      <w:r w:rsidRPr="00A427D7">
        <w:rPr>
          <w:rFonts w:ascii="Times New Roman" w:eastAsia="Times New Roman" w:hAnsi="Times New Roman" w:cs="Times New Roman"/>
          <w:bCs/>
          <w:color w:val="000000"/>
          <w:sz w:val="20"/>
          <w:szCs w:val="20"/>
        </w:rPr>
        <w:t>Th</w:t>
      </w:r>
      <w:r>
        <w:rPr>
          <w:rFonts w:ascii="Times New Roman" w:eastAsia="Times New Roman" w:hAnsi="Times New Roman" w:cs="Times New Roman"/>
          <w:bCs/>
          <w:color w:val="000000"/>
          <w:sz w:val="20"/>
          <w:szCs w:val="20"/>
        </w:rPr>
        <w:t>e</w:t>
      </w:r>
      <w:r w:rsidRPr="00A427D7">
        <w:rPr>
          <w:rFonts w:ascii="Times New Roman" w:eastAsia="Times New Roman" w:hAnsi="Times New Roman" w:cs="Times New Roman"/>
          <w:bCs/>
          <w:color w:val="000000"/>
          <w:sz w:val="20"/>
          <w:szCs w:val="20"/>
        </w:rPr>
        <w:t xml:space="preserve"> study investigates the compliance </w:t>
      </w:r>
      <w:r w:rsidR="00187E26">
        <w:rPr>
          <w:rFonts w:ascii="Times New Roman" w:eastAsia="Times New Roman" w:hAnsi="Times New Roman" w:cs="Times New Roman"/>
          <w:bCs/>
          <w:color w:val="000000"/>
          <w:sz w:val="20"/>
          <w:szCs w:val="20"/>
        </w:rPr>
        <w:t xml:space="preserve">level </w:t>
      </w:r>
      <w:r w:rsidRPr="00A427D7">
        <w:rPr>
          <w:rFonts w:ascii="Times New Roman" w:eastAsia="Times New Roman" w:hAnsi="Times New Roman" w:cs="Times New Roman"/>
          <w:bCs/>
          <w:color w:val="000000"/>
          <w:sz w:val="20"/>
          <w:szCs w:val="20"/>
        </w:rPr>
        <w:t xml:space="preserve">of Malita Local Government Unit (LGU) with disaster preparedness policies, </w:t>
      </w:r>
      <w:r w:rsidR="00187E26">
        <w:rPr>
          <w:rFonts w:ascii="Times New Roman" w:eastAsia="Times New Roman" w:hAnsi="Times New Roman" w:cs="Times New Roman"/>
          <w:bCs/>
          <w:color w:val="000000"/>
          <w:sz w:val="20"/>
          <w:szCs w:val="20"/>
        </w:rPr>
        <w:t>referencing the</w:t>
      </w:r>
      <w:r w:rsidRPr="00A427D7">
        <w:rPr>
          <w:rFonts w:ascii="Times New Roman" w:eastAsia="Times New Roman" w:hAnsi="Times New Roman" w:cs="Times New Roman"/>
          <w:bCs/>
          <w:color w:val="000000"/>
          <w:sz w:val="20"/>
          <w:szCs w:val="20"/>
        </w:rPr>
        <w:t xml:space="preserve"> DILG Memorandum Circular 2015-76. </w:t>
      </w:r>
      <w:r w:rsidR="00187E26">
        <w:rPr>
          <w:rFonts w:ascii="Times New Roman" w:eastAsia="Times New Roman" w:hAnsi="Times New Roman" w:cs="Times New Roman"/>
          <w:bCs/>
          <w:color w:val="000000"/>
          <w:sz w:val="20"/>
          <w:szCs w:val="20"/>
        </w:rPr>
        <w:t xml:space="preserve">Employing a </w:t>
      </w:r>
      <w:r w:rsidRPr="00A427D7">
        <w:rPr>
          <w:rFonts w:ascii="Times New Roman" w:eastAsia="Times New Roman" w:hAnsi="Times New Roman" w:cs="Times New Roman"/>
          <w:bCs/>
          <w:color w:val="000000"/>
          <w:sz w:val="20"/>
          <w:szCs w:val="20"/>
        </w:rPr>
        <w:t>descriptive statistic</w:t>
      </w:r>
      <w:r w:rsidR="00187E26">
        <w:rPr>
          <w:rFonts w:ascii="Times New Roman" w:eastAsia="Times New Roman" w:hAnsi="Times New Roman" w:cs="Times New Roman"/>
          <w:bCs/>
          <w:color w:val="000000"/>
          <w:sz w:val="20"/>
          <w:szCs w:val="20"/>
        </w:rPr>
        <w:t>al approach</w:t>
      </w:r>
      <w:r w:rsidRPr="00A427D7">
        <w:rPr>
          <w:rFonts w:ascii="Times New Roman" w:eastAsia="Times New Roman" w:hAnsi="Times New Roman" w:cs="Times New Roman"/>
          <w:bCs/>
          <w:color w:val="000000"/>
          <w:sz w:val="20"/>
          <w:szCs w:val="20"/>
        </w:rPr>
        <w:t xml:space="preserve">, the research evaluates </w:t>
      </w:r>
      <w:r w:rsidR="00187E26">
        <w:rPr>
          <w:rFonts w:ascii="Times New Roman" w:eastAsia="Times New Roman" w:hAnsi="Times New Roman" w:cs="Times New Roman"/>
          <w:bCs/>
          <w:color w:val="000000"/>
          <w:sz w:val="20"/>
          <w:szCs w:val="20"/>
        </w:rPr>
        <w:t xml:space="preserve">the LGU’s </w:t>
      </w:r>
      <w:r w:rsidR="00BC4F0F">
        <w:rPr>
          <w:rFonts w:ascii="Times New Roman" w:eastAsia="Times New Roman" w:hAnsi="Times New Roman" w:cs="Times New Roman"/>
          <w:bCs/>
          <w:color w:val="000000"/>
          <w:sz w:val="20"/>
          <w:szCs w:val="20"/>
        </w:rPr>
        <w:t xml:space="preserve">compliance across </w:t>
      </w:r>
      <w:r w:rsidR="00F87AB0">
        <w:rPr>
          <w:rFonts w:ascii="Times New Roman" w:eastAsia="Times New Roman" w:hAnsi="Times New Roman" w:cs="Times New Roman"/>
          <w:bCs/>
          <w:color w:val="000000"/>
          <w:sz w:val="20"/>
          <w:szCs w:val="20"/>
        </w:rPr>
        <w:t xml:space="preserve">early preparedness </w:t>
      </w:r>
      <w:r w:rsidR="00BC4F0F">
        <w:rPr>
          <w:rFonts w:ascii="Times New Roman" w:eastAsia="Times New Roman" w:hAnsi="Times New Roman" w:cs="Times New Roman"/>
          <w:bCs/>
          <w:color w:val="000000"/>
          <w:sz w:val="20"/>
          <w:szCs w:val="20"/>
        </w:rPr>
        <w:t xml:space="preserve">components, including </w:t>
      </w:r>
      <w:r w:rsidR="00187E26">
        <w:rPr>
          <w:rFonts w:ascii="Times New Roman" w:eastAsia="Times New Roman" w:hAnsi="Times New Roman" w:cs="Times New Roman"/>
          <w:bCs/>
          <w:color w:val="000000"/>
          <w:sz w:val="20"/>
          <w:szCs w:val="20"/>
        </w:rPr>
        <w:t xml:space="preserve">system and </w:t>
      </w:r>
      <w:r w:rsidRPr="00A427D7">
        <w:rPr>
          <w:rFonts w:ascii="Times New Roman" w:eastAsia="Times New Roman" w:hAnsi="Times New Roman" w:cs="Times New Roman"/>
          <w:bCs/>
          <w:color w:val="000000"/>
          <w:sz w:val="20"/>
          <w:szCs w:val="20"/>
        </w:rPr>
        <w:t xml:space="preserve">structure, </w:t>
      </w:r>
      <w:r w:rsidR="00187E26">
        <w:rPr>
          <w:rFonts w:ascii="Times New Roman" w:eastAsia="Times New Roman" w:hAnsi="Times New Roman" w:cs="Times New Roman"/>
          <w:bCs/>
          <w:color w:val="000000"/>
          <w:sz w:val="20"/>
          <w:szCs w:val="20"/>
        </w:rPr>
        <w:t>institutionaliz</w:t>
      </w:r>
      <w:r w:rsidR="00BC4F0F">
        <w:rPr>
          <w:rFonts w:ascii="Times New Roman" w:eastAsia="Times New Roman" w:hAnsi="Times New Roman" w:cs="Times New Roman"/>
          <w:bCs/>
          <w:color w:val="000000"/>
          <w:sz w:val="20"/>
          <w:szCs w:val="20"/>
        </w:rPr>
        <w:t>ation of</w:t>
      </w:r>
      <w:r w:rsidR="00187E26">
        <w:rPr>
          <w:rFonts w:ascii="Times New Roman" w:eastAsia="Times New Roman" w:hAnsi="Times New Roman" w:cs="Times New Roman"/>
          <w:bCs/>
          <w:color w:val="000000"/>
          <w:sz w:val="20"/>
          <w:szCs w:val="20"/>
        </w:rPr>
        <w:t xml:space="preserve"> plans and </w:t>
      </w:r>
      <w:r w:rsidRPr="00A427D7">
        <w:rPr>
          <w:rFonts w:ascii="Times New Roman" w:eastAsia="Times New Roman" w:hAnsi="Times New Roman" w:cs="Times New Roman"/>
          <w:bCs/>
          <w:color w:val="000000"/>
          <w:sz w:val="20"/>
          <w:szCs w:val="20"/>
        </w:rPr>
        <w:t>policies</w:t>
      </w:r>
      <w:r w:rsidR="00187E26">
        <w:rPr>
          <w:rFonts w:ascii="Times New Roman" w:eastAsia="Times New Roman" w:hAnsi="Times New Roman" w:cs="Times New Roman"/>
          <w:bCs/>
          <w:color w:val="000000"/>
          <w:sz w:val="20"/>
          <w:szCs w:val="20"/>
        </w:rPr>
        <w:t xml:space="preserve">, </w:t>
      </w:r>
      <w:r w:rsidR="00BC4F0F">
        <w:rPr>
          <w:rFonts w:ascii="Times New Roman" w:eastAsia="Times New Roman" w:hAnsi="Times New Roman" w:cs="Times New Roman"/>
          <w:bCs/>
          <w:color w:val="000000"/>
          <w:sz w:val="20"/>
          <w:szCs w:val="20"/>
        </w:rPr>
        <w:t>competency building</w:t>
      </w:r>
      <w:r w:rsidRPr="00A427D7">
        <w:rPr>
          <w:rFonts w:ascii="Times New Roman" w:eastAsia="Times New Roman" w:hAnsi="Times New Roman" w:cs="Times New Roman"/>
          <w:bCs/>
          <w:color w:val="000000"/>
          <w:sz w:val="20"/>
          <w:szCs w:val="20"/>
        </w:rPr>
        <w:t xml:space="preserve">, and resource management. </w:t>
      </w:r>
      <w:r w:rsidR="00187E26">
        <w:rPr>
          <w:rFonts w:ascii="Times New Roman" w:eastAsia="Times New Roman" w:hAnsi="Times New Roman" w:cs="Times New Roman"/>
          <w:bCs/>
          <w:color w:val="000000"/>
          <w:sz w:val="20"/>
          <w:szCs w:val="20"/>
        </w:rPr>
        <w:t>The study reveals an overall</w:t>
      </w:r>
      <w:r w:rsidRPr="00A427D7">
        <w:rPr>
          <w:rFonts w:ascii="Times New Roman" w:eastAsia="Times New Roman" w:hAnsi="Times New Roman" w:cs="Times New Roman"/>
          <w:bCs/>
          <w:color w:val="000000"/>
          <w:sz w:val="20"/>
          <w:szCs w:val="20"/>
        </w:rPr>
        <w:t xml:space="preserve"> satisfactory compliance</w:t>
      </w:r>
      <w:r w:rsidR="00187E26">
        <w:rPr>
          <w:rFonts w:ascii="Times New Roman" w:eastAsia="Times New Roman" w:hAnsi="Times New Roman" w:cs="Times New Roman"/>
          <w:bCs/>
          <w:color w:val="000000"/>
          <w:sz w:val="20"/>
          <w:szCs w:val="20"/>
        </w:rPr>
        <w:t xml:space="preserve"> index of 60.71</w:t>
      </w:r>
      <w:r w:rsidR="00BC4F0F">
        <w:rPr>
          <w:rFonts w:ascii="Times New Roman" w:eastAsia="Times New Roman" w:hAnsi="Times New Roman" w:cs="Times New Roman"/>
          <w:bCs/>
          <w:color w:val="000000"/>
          <w:sz w:val="20"/>
          <w:szCs w:val="20"/>
        </w:rPr>
        <w:t>%</w:t>
      </w:r>
      <w:r w:rsidRPr="00A427D7">
        <w:rPr>
          <w:rFonts w:ascii="Times New Roman" w:eastAsia="Times New Roman" w:hAnsi="Times New Roman" w:cs="Times New Roman"/>
          <w:bCs/>
          <w:color w:val="000000"/>
          <w:sz w:val="20"/>
          <w:szCs w:val="20"/>
        </w:rPr>
        <w:t xml:space="preserve"> </w:t>
      </w:r>
      <w:r w:rsidR="00187E26">
        <w:rPr>
          <w:rFonts w:ascii="Times New Roman" w:eastAsia="Times New Roman" w:hAnsi="Times New Roman" w:cs="Times New Roman"/>
          <w:bCs/>
          <w:color w:val="000000"/>
          <w:sz w:val="20"/>
          <w:szCs w:val="20"/>
        </w:rPr>
        <w:t xml:space="preserve">for the LGU, notably in their structural and resource management components. </w:t>
      </w:r>
      <w:r w:rsidRPr="00A427D7">
        <w:rPr>
          <w:rFonts w:ascii="Times New Roman" w:eastAsia="Times New Roman" w:hAnsi="Times New Roman" w:cs="Times New Roman"/>
          <w:bCs/>
          <w:color w:val="000000"/>
          <w:sz w:val="20"/>
          <w:szCs w:val="20"/>
        </w:rPr>
        <w:t xml:space="preserve">The </w:t>
      </w:r>
      <w:r w:rsidR="00BC4F0F">
        <w:rPr>
          <w:rFonts w:ascii="Times New Roman" w:eastAsia="Times New Roman" w:hAnsi="Times New Roman" w:cs="Times New Roman"/>
          <w:bCs/>
          <w:color w:val="000000"/>
          <w:sz w:val="20"/>
          <w:szCs w:val="20"/>
        </w:rPr>
        <w:t xml:space="preserve">study draws guidance from the </w:t>
      </w:r>
      <w:r w:rsidRPr="00A427D7">
        <w:rPr>
          <w:rFonts w:ascii="Times New Roman" w:eastAsia="Times New Roman" w:hAnsi="Times New Roman" w:cs="Times New Roman"/>
          <w:bCs/>
          <w:color w:val="000000"/>
          <w:sz w:val="20"/>
          <w:szCs w:val="20"/>
        </w:rPr>
        <w:t>Health Be</w:t>
      </w:r>
      <w:r w:rsidR="00A4475A">
        <w:rPr>
          <w:rFonts w:ascii="Times New Roman" w:eastAsia="Times New Roman" w:hAnsi="Times New Roman" w:cs="Times New Roman"/>
          <w:bCs/>
          <w:color w:val="000000"/>
          <w:sz w:val="20"/>
          <w:szCs w:val="20"/>
        </w:rPr>
        <w:t>nefit</w:t>
      </w:r>
      <w:r w:rsidRPr="00A427D7">
        <w:rPr>
          <w:rFonts w:ascii="Times New Roman" w:eastAsia="Times New Roman" w:hAnsi="Times New Roman" w:cs="Times New Roman"/>
          <w:bCs/>
          <w:color w:val="000000"/>
          <w:sz w:val="20"/>
          <w:szCs w:val="20"/>
        </w:rPr>
        <w:t xml:space="preserve"> Model, providing insights </w:t>
      </w:r>
      <w:r w:rsidR="00BC4F0F">
        <w:rPr>
          <w:rFonts w:ascii="Times New Roman" w:eastAsia="Times New Roman" w:hAnsi="Times New Roman" w:cs="Times New Roman"/>
          <w:bCs/>
          <w:color w:val="000000"/>
          <w:sz w:val="20"/>
          <w:szCs w:val="20"/>
        </w:rPr>
        <w:t>on</w:t>
      </w:r>
      <w:r w:rsidR="00F87AB0">
        <w:rPr>
          <w:rFonts w:ascii="Times New Roman" w:eastAsia="Times New Roman" w:hAnsi="Times New Roman" w:cs="Times New Roman"/>
          <w:bCs/>
          <w:color w:val="000000"/>
          <w:sz w:val="20"/>
          <w:szCs w:val="20"/>
        </w:rPr>
        <w:t xml:space="preserve"> factors</w:t>
      </w:r>
      <w:r w:rsidRPr="00A427D7">
        <w:rPr>
          <w:rFonts w:ascii="Times New Roman" w:eastAsia="Times New Roman" w:hAnsi="Times New Roman" w:cs="Times New Roman"/>
          <w:bCs/>
          <w:color w:val="000000"/>
          <w:sz w:val="20"/>
          <w:szCs w:val="20"/>
        </w:rPr>
        <w:t xml:space="preserve"> and behaviors influencing LGU compliance. </w:t>
      </w:r>
      <w:r w:rsidR="00F87AB0" w:rsidRPr="00F87AB0">
        <w:rPr>
          <w:rFonts w:ascii="Times New Roman" w:eastAsia="Times New Roman" w:hAnsi="Times New Roman" w:cs="Times New Roman"/>
          <w:bCs/>
          <w:color w:val="000000"/>
          <w:sz w:val="20"/>
          <w:szCs w:val="20"/>
        </w:rPr>
        <w:t xml:space="preserve">This research offers practical insights and policy recommendations to </w:t>
      </w:r>
      <w:r w:rsidR="00BC4F0F">
        <w:rPr>
          <w:rFonts w:ascii="Times New Roman" w:eastAsia="Times New Roman" w:hAnsi="Times New Roman" w:cs="Times New Roman"/>
          <w:bCs/>
          <w:color w:val="000000"/>
          <w:sz w:val="20"/>
          <w:szCs w:val="20"/>
        </w:rPr>
        <w:t>strengthen</w:t>
      </w:r>
      <w:r w:rsidR="00F87AB0" w:rsidRPr="00F87AB0">
        <w:rPr>
          <w:rFonts w:ascii="Times New Roman" w:eastAsia="Times New Roman" w:hAnsi="Times New Roman" w:cs="Times New Roman"/>
          <w:bCs/>
          <w:color w:val="000000"/>
          <w:sz w:val="20"/>
          <w:szCs w:val="20"/>
        </w:rPr>
        <w:t xml:space="preserve"> disaster preparedness efforts </w:t>
      </w:r>
      <w:r w:rsidR="00BC4F0F">
        <w:rPr>
          <w:rFonts w:ascii="Times New Roman" w:eastAsia="Times New Roman" w:hAnsi="Times New Roman" w:cs="Times New Roman"/>
          <w:bCs/>
          <w:color w:val="000000"/>
          <w:sz w:val="20"/>
          <w:szCs w:val="20"/>
        </w:rPr>
        <w:t>with</w:t>
      </w:r>
      <w:r w:rsidR="00F87AB0" w:rsidRPr="00F87AB0">
        <w:rPr>
          <w:rFonts w:ascii="Times New Roman" w:eastAsia="Times New Roman" w:hAnsi="Times New Roman" w:cs="Times New Roman"/>
          <w:bCs/>
          <w:color w:val="000000"/>
          <w:sz w:val="20"/>
          <w:szCs w:val="20"/>
        </w:rPr>
        <w:t xml:space="preserve">in local governance, contributing to the </w:t>
      </w:r>
      <w:r w:rsidR="00BC4F0F">
        <w:rPr>
          <w:rFonts w:ascii="Times New Roman" w:eastAsia="Times New Roman" w:hAnsi="Times New Roman" w:cs="Times New Roman"/>
          <w:bCs/>
          <w:color w:val="000000"/>
          <w:sz w:val="20"/>
          <w:szCs w:val="20"/>
        </w:rPr>
        <w:t xml:space="preserve">wider </w:t>
      </w:r>
      <w:r w:rsidR="00F87AB0" w:rsidRPr="00F87AB0">
        <w:rPr>
          <w:rFonts w:ascii="Times New Roman" w:eastAsia="Times New Roman" w:hAnsi="Times New Roman" w:cs="Times New Roman"/>
          <w:bCs/>
          <w:color w:val="000000"/>
          <w:sz w:val="20"/>
          <w:szCs w:val="20"/>
        </w:rPr>
        <w:t xml:space="preserve">discourse on </w:t>
      </w:r>
      <w:r w:rsidR="00BC4F0F">
        <w:rPr>
          <w:rFonts w:ascii="Times New Roman" w:eastAsia="Times New Roman" w:hAnsi="Times New Roman" w:cs="Times New Roman"/>
          <w:bCs/>
          <w:color w:val="000000"/>
          <w:sz w:val="20"/>
          <w:szCs w:val="20"/>
        </w:rPr>
        <w:t xml:space="preserve">the implementation of </w:t>
      </w:r>
      <w:r w:rsidR="00F87AB0" w:rsidRPr="00F87AB0">
        <w:rPr>
          <w:rFonts w:ascii="Times New Roman" w:eastAsia="Times New Roman" w:hAnsi="Times New Roman" w:cs="Times New Roman"/>
          <w:bCs/>
          <w:color w:val="000000"/>
          <w:sz w:val="20"/>
          <w:szCs w:val="20"/>
        </w:rPr>
        <w:t xml:space="preserve">effective </w:t>
      </w:r>
      <w:r w:rsidR="00BC4F0F" w:rsidRPr="00F87AB0">
        <w:rPr>
          <w:rFonts w:ascii="Times New Roman" w:eastAsia="Times New Roman" w:hAnsi="Times New Roman" w:cs="Times New Roman"/>
          <w:bCs/>
          <w:color w:val="000000"/>
          <w:sz w:val="20"/>
          <w:szCs w:val="20"/>
        </w:rPr>
        <w:t>strategies</w:t>
      </w:r>
      <w:r w:rsidR="00BC4F0F">
        <w:rPr>
          <w:rFonts w:ascii="Times New Roman" w:eastAsia="Times New Roman" w:hAnsi="Times New Roman" w:cs="Times New Roman"/>
          <w:bCs/>
          <w:color w:val="000000"/>
          <w:sz w:val="20"/>
          <w:szCs w:val="20"/>
        </w:rPr>
        <w:t xml:space="preserve"> for </w:t>
      </w:r>
      <w:r w:rsidR="00F87AB0">
        <w:rPr>
          <w:rFonts w:ascii="Times New Roman" w:eastAsia="Times New Roman" w:hAnsi="Times New Roman" w:cs="Times New Roman"/>
          <w:bCs/>
          <w:color w:val="000000"/>
          <w:sz w:val="20"/>
          <w:szCs w:val="20"/>
        </w:rPr>
        <w:t xml:space="preserve">disaster </w:t>
      </w:r>
      <w:r w:rsidR="00F87AB0" w:rsidRPr="00F87AB0">
        <w:rPr>
          <w:rFonts w:ascii="Times New Roman" w:eastAsia="Times New Roman" w:hAnsi="Times New Roman" w:cs="Times New Roman"/>
          <w:bCs/>
          <w:color w:val="000000"/>
          <w:sz w:val="20"/>
          <w:szCs w:val="20"/>
        </w:rPr>
        <w:t>risk reduction and management.</w:t>
      </w:r>
    </w:p>
    <w:p w14:paraId="1C685FA6" w14:textId="77777777" w:rsidR="0028402D" w:rsidRDefault="0028402D">
      <w:pPr>
        <w:spacing w:after="0" w:line="300" w:lineRule="auto"/>
        <w:jc w:val="both"/>
        <w:rPr>
          <w:rFonts w:ascii="Times New Roman" w:eastAsia="Times New Roman" w:hAnsi="Times New Roman" w:cs="Times New Roman"/>
          <w:bCs/>
          <w:color w:val="000000"/>
          <w:sz w:val="20"/>
          <w:szCs w:val="20"/>
        </w:rPr>
      </w:pPr>
    </w:p>
    <w:p w14:paraId="47FDF0BC" w14:textId="049461CB" w:rsidR="0028402D" w:rsidRPr="0028402D" w:rsidRDefault="0028402D">
      <w:pPr>
        <w:spacing w:after="0" w:line="30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bCs/>
          <w:color w:val="000000"/>
          <w:sz w:val="20"/>
          <w:szCs w:val="20"/>
        </w:rPr>
        <w:t>Compliance</w:t>
      </w:r>
      <w:r w:rsidR="00A4475A">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Level, Descriptive Statistical Approach, Health Be</w:t>
      </w:r>
      <w:r w:rsidR="00A4475A">
        <w:rPr>
          <w:rFonts w:ascii="Times New Roman" w:eastAsia="Times New Roman" w:hAnsi="Times New Roman" w:cs="Times New Roman"/>
          <w:bCs/>
          <w:color w:val="000000"/>
          <w:sz w:val="20"/>
          <w:szCs w:val="20"/>
        </w:rPr>
        <w:t>nefit</w:t>
      </w:r>
      <w:r>
        <w:rPr>
          <w:rFonts w:ascii="Times New Roman" w:eastAsia="Times New Roman" w:hAnsi="Times New Roman" w:cs="Times New Roman"/>
          <w:bCs/>
          <w:color w:val="000000"/>
          <w:sz w:val="20"/>
          <w:szCs w:val="20"/>
        </w:rPr>
        <w:t xml:space="preserve"> Model</w:t>
      </w:r>
    </w:p>
    <w:p w14:paraId="3AD481A1" w14:textId="77777777" w:rsidR="00F87AB0" w:rsidRDefault="00F87AB0">
      <w:pPr>
        <w:spacing w:after="0" w:line="300" w:lineRule="auto"/>
        <w:jc w:val="both"/>
        <w:rPr>
          <w:rFonts w:ascii="Times New Roman" w:eastAsia="Times New Roman" w:hAnsi="Times New Roman" w:cs="Times New Roman"/>
          <w:b/>
          <w:color w:val="000000"/>
          <w:sz w:val="24"/>
          <w:szCs w:val="24"/>
        </w:rPr>
      </w:pPr>
    </w:p>
    <w:p w14:paraId="269D6FEB" w14:textId="44CB5260" w:rsidR="00804A73" w:rsidRDefault="00541332">
      <w:pP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BACKGROUND OF THE STUDY</w:t>
      </w:r>
    </w:p>
    <w:p w14:paraId="00DB49C4"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recent years, the Philippines has experienced an alarming increase in the frequency and intensity of natural disasters, including typhoons, earthquakes, floods, and landslides. These catastrophic events have resulted in significant loss of lives, destru</w:t>
      </w:r>
      <w:r>
        <w:rPr>
          <w:rFonts w:ascii="Times New Roman" w:eastAsia="Times New Roman" w:hAnsi="Times New Roman" w:cs="Times New Roman"/>
          <w:color w:val="000000"/>
          <w:sz w:val="20"/>
          <w:szCs w:val="20"/>
        </w:rPr>
        <w:t>ction of infrastructure, and severe disruption of livelihoods across the country (Warren 2016). The devastating impacts of these disasters have underscored the pressing need for proactive measures to reduce the risks associated with such events (</w:t>
      </w:r>
      <w:proofErr w:type="spellStart"/>
      <w:r>
        <w:rPr>
          <w:rFonts w:ascii="Times New Roman" w:eastAsia="Times New Roman" w:hAnsi="Times New Roman" w:cs="Times New Roman"/>
          <w:color w:val="000000"/>
          <w:sz w:val="20"/>
          <w:szCs w:val="20"/>
        </w:rPr>
        <w:t>Mojtahedi</w:t>
      </w:r>
      <w:proofErr w:type="spell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and </w:t>
      </w:r>
      <w:proofErr w:type="spellStart"/>
      <w:r>
        <w:rPr>
          <w:rFonts w:ascii="Times New Roman" w:eastAsia="Times New Roman" w:hAnsi="Times New Roman" w:cs="Times New Roman"/>
          <w:color w:val="000000"/>
          <w:sz w:val="20"/>
          <w:szCs w:val="20"/>
        </w:rPr>
        <w:t>Oo</w:t>
      </w:r>
      <w:proofErr w:type="spellEnd"/>
      <w:r>
        <w:rPr>
          <w:rFonts w:ascii="Times New Roman" w:eastAsia="Times New Roman" w:hAnsi="Times New Roman" w:cs="Times New Roman"/>
          <w:color w:val="000000"/>
          <w:sz w:val="20"/>
          <w:szCs w:val="20"/>
        </w:rPr>
        <w:t xml:space="preserve"> 2017). Recognizing the urgency of disaster risk reduction and management, the Philippines' Department of the Interior and Local Government (DILG) has taken decisive action. In response to the growing threat of natural disasters, the DILG has incorpo</w:t>
      </w:r>
      <w:r>
        <w:rPr>
          <w:rFonts w:ascii="Times New Roman" w:eastAsia="Times New Roman" w:hAnsi="Times New Roman" w:cs="Times New Roman"/>
          <w:color w:val="000000"/>
          <w:sz w:val="20"/>
          <w:szCs w:val="20"/>
        </w:rPr>
        <w:t>rated the principles of Republic Act 10121, known as the Philippine Disaster Risk Reduction and Management Act of 2010, into their initiatives.</w:t>
      </w:r>
    </w:p>
    <w:p w14:paraId="77A98AF0"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3E4415DF"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Aligned with the provisions of Republic Act 10121, the DILG issued Memorandum Circular No. 2015-76, titled "Ear</w:t>
      </w:r>
      <w:r>
        <w:rPr>
          <w:rFonts w:ascii="Times New Roman" w:eastAsia="Times New Roman" w:hAnsi="Times New Roman" w:cs="Times New Roman"/>
          <w:color w:val="000000"/>
          <w:sz w:val="20"/>
          <w:szCs w:val="20"/>
        </w:rPr>
        <w:t>ly Preparedness Actions to Reduce Disaster Risks," on July 21, 2015. This policy specifically focuses on early preparedness actions and serves as a comprehensive guideline for Local Government Units (LGUs) to enhance their capacity in preparing for and mit</w:t>
      </w:r>
      <w:r>
        <w:rPr>
          <w:rFonts w:ascii="Times New Roman" w:eastAsia="Times New Roman" w:hAnsi="Times New Roman" w:cs="Times New Roman"/>
          <w:color w:val="000000"/>
          <w:sz w:val="20"/>
          <w:szCs w:val="20"/>
        </w:rPr>
        <w:t xml:space="preserve">igating the impacts of disasters (DILG Memorandum Circular No. 2015-76, 2015). </w:t>
      </w:r>
      <w:bookmarkStart w:id="0" w:name="_heading=h.gjdgxs" w:colFirst="0" w:colLast="0"/>
      <w:bookmarkEnd w:id="0"/>
      <w:r>
        <w:rPr>
          <w:rFonts w:ascii="Times New Roman" w:eastAsia="Times New Roman" w:hAnsi="Times New Roman" w:cs="Times New Roman"/>
          <w:color w:val="000000"/>
          <w:sz w:val="20"/>
          <w:szCs w:val="20"/>
        </w:rPr>
        <w:t>Drawing from the principles of RA 10121, the memorandum circular highlights key aspects of effective disaster risk reduction and management. It emphasizes the importance of inst</w:t>
      </w:r>
      <w:r>
        <w:rPr>
          <w:rFonts w:ascii="Times New Roman" w:eastAsia="Times New Roman" w:hAnsi="Times New Roman" w:cs="Times New Roman"/>
          <w:color w:val="000000"/>
          <w:sz w:val="20"/>
          <w:szCs w:val="20"/>
        </w:rPr>
        <w:t>ituting disaster preparedness in LGUs by establishing structures and systems, institutionalizing plans, and policies, building competencies, and resource management.</w:t>
      </w:r>
    </w:p>
    <w:p w14:paraId="5507D49E"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28748B9D"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indicated by state policies, establishing structures and systems will enable timely ev</w:t>
      </w:r>
      <w:r>
        <w:rPr>
          <w:rFonts w:ascii="Times New Roman" w:eastAsia="Times New Roman" w:hAnsi="Times New Roman" w:cs="Times New Roman"/>
          <w:color w:val="000000"/>
          <w:sz w:val="20"/>
          <w:szCs w:val="20"/>
        </w:rPr>
        <w:t>acuation and preparedness. By integrating, for example, early warning systems into their disaster risk reduction efforts, LGUs can effectively communicate disaster-related information to the public and improve response coordination, thereby reducing the ri</w:t>
      </w:r>
      <w:r>
        <w:rPr>
          <w:rFonts w:ascii="Times New Roman" w:eastAsia="Times New Roman" w:hAnsi="Times New Roman" w:cs="Times New Roman"/>
          <w:color w:val="000000"/>
          <w:sz w:val="20"/>
          <w:szCs w:val="20"/>
        </w:rPr>
        <w:t>sks associated with disasters (</w:t>
      </w:r>
      <w:proofErr w:type="spellStart"/>
      <w:r>
        <w:rPr>
          <w:rFonts w:ascii="Times New Roman" w:eastAsia="Times New Roman" w:hAnsi="Times New Roman" w:cs="Times New Roman"/>
          <w:color w:val="000000"/>
          <w:sz w:val="20"/>
          <w:szCs w:val="20"/>
        </w:rPr>
        <w:t>Gumiran</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Daag</w:t>
      </w:r>
      <w:proofErr w:type="spellEnd"/>
      <w:r>
        <w:rPr>
          <w:rFonts w:ascii="Times New Roman" w:eastAsia="Times New Roman" w:hAnsi="Times New Roman" w:cs="Times New Roman"/>
          <w:color w:val="000000"/>
          <w:sz w:val="20"/>
          <w:szCs w:val="20"/>
        </w:rPr>
        <w:t xml:space="preserve"> 2021). The memorandum circular also underscores the significance of institutionalizing plans and policies which involves developing strategies and procedures to address potential disaster scenarios. By adopti</w:t>
      </w:r>
      <w:r>
        <w:rPr>
          <w:rFonts w:ascii="Times New Roman" w:eastAsia="Times New Roman" w:hAnsi="Times New Roman" w:cs="Times New Roman"/>
          <w:color w:val="000000"/>
          <w:sz w:val="20"/>
          <w:szCs w:val="20"/>
        </w:rPr>
        <w:t>ng this approach, local governments can anticipate and prepare for various risks, ensuring a more effective and timely response when disasters strike (Inam 2013).</w:t>
      </w:r>
    </w:p>
    <w:p w14:paraId="1A1CD430"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5F04FA38"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addition, the memorandum circular stresses the need for building LGU competencies for con</w:t>
      </w:r>
      <w:r>
        <w:rPr>
          <w:rFonts w:ascii="Times New Roman" w:eastAsia="Times New Roman" w:hAnsi="Times New Roman" w:cs="Times New Roman"/>
          <w:color w:val="000000"/>
          <w:sz w:val="20"/>
          <w:szCs w:val="20"/>
        </w:rPr>
        <w:t>fronting disasters. Enhancing competencies enables local governments to address vulnerabilities within their respective areas and prioritize mitigation efforts accordingly. This approach facilitates targeted and proactive measures to reduce the risks posed</w:t>
      </w:r>
      <w:r>
        <w:rPr>
          <w:rFonts w:ascii="Times New Roman" w:eastAsia="Times New Roman" w:hAnsi="Times New Roman" w:cs="Times New Roman"/>
          <w:color w:val="000000"/>
          <w:sz w:val="20"/>
          <w:szCs w:val="20"/>
        </w:rPr>
        <w:t xml:space="preserve"> by disasters (Gil‐Rivas and Kilmer 2016). Significantly, the memorandum circular also recognizes resource management as a vital component of disaster risk reduction efforts. It acknowledges, for instance, that prepositioning of equipment and supplies are </w:t>
      </w:r>
      <w:r>
        <w:rPr>
          <w:rFonts w:ascii="Times New Roman" w:eastAsia="Times New Roman" w:hAnsi="Times New Roman" w:cs="Times New Roman"/>
          <w:color w:val="000000"/>
          <w:sz w:val="20"/>
          <w:szCs w:val="20"/>
        </w:rPr>
        <w:t>essential for successful outcomes in disaster risk reduction. Through this initiative, local governments can initiate early preparedness action thereby enhancing the overall resilience of communities in the face of disasters (Rodríguez-Espíndola, Albores e</w:t>
      </w:r>
      <w:r>
        <w:rPr>
          <w:rFonts w:ascii="Times New Roman" w:eastAsia="Times New Roman" w:hAnsi="Times New Roman" w:cs="Times New Roman"/>
          <w:color w:val="000000"/>
          <w:sz w:val="20"/>
          <w:szCs w:val="20"/>
        </w:rPr>
        <w:t>t al. 2018).</w:t>
      </w:r>
    </w:p>
    <w:p w14:paraId="5D002CCE"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6AC3BB57" w14:textId="77777777" w:rsidR="00804A73" w:rsidRDefault="00541332">
      <w:pPr>
        <w:spacing w:after="0" w:line="30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By incorporating the principles of RA 10121 into their policies and guidelines, such as Memorandum Circular No. 2015-76, the DILG empowers LGUs to adopt a proactive and comprehensive approach to disaster risk reduction and management. This in</w:t>
      </w:r>
      <w:r>
        <w:rPr>
          <w:rFonts w:ascii="Times New Roman" w:eastAsia="Times New Roman" w:hAnsi="Times New Roman" w:cs="Times New Roman"/>
          <w:color w:val="000000"/>
          <w:sz w:val="20"/>
          <w:szCs w:val="20"/>
        </w:rPr>
        <w:t>tegration ensures that LGUs prioritize early preparedness actions and, by doing so, the DILG strengthens the country's resilience to natural disasters and fosters a culture of safety and preparedness across the Philippines.</w:t>
      </w:r>
    </w:p>
    <w:p w14:paraId="71F6F702" w14:textId="77777777" w:rsidR="00804A73" w:rsidRDefault="00804A73" w:rsidP="00772364">
      <w:pPr>
        <w:spacing w:before="54" w:after="0" w:line="276" w:lineRule="auto"/>
        <w:jc w:val="both"/>
        <w:rPr>
          <w:rFonts w:ascii="Times New Roman" w:hAnsi="Times New Roman" w:cs="Times New Roman"/>
          <w:color w:val="000000" w:themeColor="text1"/>
          <w:sz w:val="20"/>
          <w:szCs w:val="20"/>
        </w:rPr>
      </w:pPr>
    </w:p>
    <w:p w14:paraId="2A6EF1FA" w14:textId="77777777" w:rsidR="00804A73" w:rsidRDefault="00541332">
      <w:pP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OBJECTIVES</w:t>
      </w:r>
    </w:p>
    <w:p w14:paraId="7D45CD2C"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research aims </w:t>
      </w:r>
      <w:r>
        <w:rPr>
          <w:rFonts w:ascii="Times New Roman" w:eastAsia="Times New Roman" w:hAnsi="Times New Roman" w:cs="Times New Roman"/>
          <w:color w:val="000000"/>
          <w:sz w:val="20"/>
          <w:szCs w:val="20"/>
        </w:rPr>
        <w:t>to accomplish the following goals:</w:t>
      </w:r>
    </w:p>
    <w:p w14:paraId="79DD0A84" w14:textId="77777777" w:rsidR="00804A73" w:rsidRDefault="00541332">
      <w:pPr>
        <w:numPr>
          <w:ilvl w:val="0"/>
          <w:numId w:val="2"/>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Evaluate the existing disaster preparedness structures and systems within the local government of Malita to identify any gaps or deficiencies.</w:t>
      </w:r>
    </w:p>
    <w:p w14:paraId="2FE95BC5" w14:textId="77777777" w:rsidR="00804A73" w:rsidRDefault="00541332">
      <w:pPr>
        <w:numPr>
          <w:ilvl w:val="0"/>
          <w:numId w:val="2"/>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Assess the extent to which the local government of Malita has institutionalize</w:t>
      </w:r>
      <w:r>
        <w:rPr>
          <w:rFonts w:ascii="Times New Roman" w:eastAsia="Times New Roman" w:hAnsi="Times New Roman" w:cs="Times New Roman"/>
          <w:color w:val="000000"/>
          <w:sz w:val="20"/>
          <w:szCs w:val="20"/>
        </w:rPr>
        <w:t>d its plans and policies in preparing for disasters to reduce risks.</w:t>
      </w:r>
    </w:p>
    <w:p w14:paraId="26726B1C" w14:textId="77777777" w:rsidR="00804A73" w:rsidRDefault="00541332">
      <w:pPr>
        <w:numPr>
          <w:ilvl w:val="0"/>
          <w:numId w:val="2"/>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Identify gaps in knowledge, skills, and capacities necessary for effective LGU preparedness to reduce disaster risk.</w:t>
      </w:r>
    </w:p>
    <w:p w14:paraId="0E83E326" w14:textId="77777777" w:rsidR="00804A73" w:rsidRDefault="00541332">
      <w:pPr>
        <w:numPr>
          <w:ilvl w:val="0"/>
          <w:numId w:val="2"/>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Examine the local government of Malita's resource management practices</w:t>
      </w:r>
      <w:r>
        <w:rPr>
          <w:rFonts w:ascii="Times New Roman" w:eastAsia="Times New Roman" w:hAnsi="Times New Roman" w:cs="Times New Roman"/>
          <w:color w:val="000000"/>
          <w:sz w:val="20"/>
          <w:szCs w:val="20"/>
        </w:rPr>
        <w:t xml:space="preserve"> concerning allocation, utilization, and optimization of relief and technical resources to identify any inefficiencies or challenges.</w:t>
      </w:r>
    </w:p>
    <w:p w14:paraId="74ADD157"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4B44DAB6" w14:textId="77777777" w:rsidR="00804A73" w:rsidRDefault="00541332">
      <w:pP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THEORETICAL BASIS</w:t>
      </w:r>
    </w:p>
    <w:p w14:paraId="2B87455F"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study utilizes the Health Belief Model (HBM) as the theoretical reference in examining policy comp</w:t>
      </w:r>
      <w:r>
        <w:rPr>
          <w:rFonts w:ascii="Times New Roman" w:eastAsia="Times New Roman" w:hAnsi="Times New Roman" w:cs="Times New Roman"/>
          <w:color w:val="000000"/>
          <w:sz w:val="20"/>
          <w:szCs w:val="20"/>
        </w:rPr>
        <w:t>liance. HBM is a well-established and widely known theoretical framework that explains health behaviors. It has a long history and is commonly used to understand how people behave in relation to their health. Additionally, the HBM can be utilized in disast</w:t>
      </w:r>
      <w:r>
        <w:rPr>
          <w:rFonts w:ascii="Times New Roman" w:eastAsia="Times New Roman" w:hAnsi="Times New Roman" w:cs="Times New Roman"/>
          <w:color w:val="000000"/>
          <w:sz w:val="20"/>
          <w:szCs w:val="20"/>
        </w:rPr>
        <w:t xml:space="preserve">er preparedness initiatives that primarily center </w:t>
      </w:r>
      <w:proofErr w:type="gramStart"/>
      <w:r>
        <w:rPr>
          <w:rFonts w:ascii="Times New Roman" w:eastAsia="Times New Roman" w:hAnsi="Times New Roman" w:cs="Times New Roman"/>
          <w:color w:val="000000"/>
          <w:sz w:val="20"/>
          <w:szCs w:val="20"/>
        </w:rPr>
        <w:t>around</w:t>
      </w:r>
      <w:proofErr w:type="gramEnd"/>
      <w:r>
        <w:rPr>
          <w:rFonts w:ascii="Times New Roman" w:eastAsia="Times New Roman" w:hAnsi="Times New Roman" w:cs="Times New Roman"/>
          <w:color w:val="000000"/>
          <w:sz w:val="20"/>
          <w:szCs w:val="20"/>
        </w:rPr>
        <w:t xml:space="preserve"> human behavior (Ebru, Altintas et al. 2018).</w:t>
      </w:r>
    </w:p>
    <w:p w14:paraId="7F7D0B66"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7B2B499A"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HBM is based on the following key components (Skinner, Tiro et al. 2015):</w:t>
      </w:r>
    </w:p>
    <w:p w14:paraId="46B39B65"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735D54AB"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Perceived Susceptibility: This refers to an individual's belief in their s</w:t>
      </w:r>
      <w:r>
        <w:rPr>
          <w:rFonts w:ascii="Times New Roman" w:eastAsia="Times New Roman" w:hAnsi="Times New Roman" w:cs="Times New Roman"/>
          <w:color w:val="000000"/>
          <w:sz w:val="20"/>
          <w:szCs w:val="20"/>
        </w:rPr>
        <w:t>usceptibility to a particular health condition or disease. People are more likely to take preventive measures if they perceive themselves to be at risk.</w:t>
      </w:r>
    </w:p>
    <w:p w14:paraId="5E86224C"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5ADEB951"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Perceived Severity: This component reflects an individual's perception of the seriousness or severity </w:t>
      </w:r>
      <w:r>
        <w:rPr>
          <w:rFonts w:ascii="Times New Roman" w:eastAsia="Times New Roman" w:hAnsi="Times New Roman" w:cs="Times New Roman"/>
          <w:color w:val="000000"/>
          <w:sz w:val="20"/>
          <w:szCs w:val="20"/>
        </w:rPr>
        <w:t>of a health condition or disease. The perception of a severe health threat increases the likelihood of taking preventive or protective actions.</w:t>
      </w:r>
    </w:p>
    <w:p w14:paraId="2D782DFF"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768953BE"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Perceived Benefits: The HBM suggests that individuals are more likely to adopt health-related behaviors if they</w:t>
      </w:r>
      <w:r>
        <w:rPr>
          <w:rFonts w:ascii="Times New Roman" w:eastAsia="Times New Roman" w:hAnsi="Times New Roman" w:cs="Times New Roman"/>
          <w:color w:val="000000"/>
          <w:sz w:val="20"/>
          <w:szCs w:val="20"/>
        </w:rPr>
        <w:t xml:space="preserve"> believe that the recommended action will result in significant benefits, such as reducing the risk of illness or improving overall well-being.</w:t>
      </w:r>
    </w:p>
    <w:p w14:paraId="0D5EA480"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02D97B60"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Perceived Barriers: This component refers to the perceived obstacles or barriers that individuals may face in a</w:t>
      </w:r>
      <w:r>
        <w:rPr>
          <w:rFonts w:ascii="Times New Roman" w:eastAsia="Times New Roman" w:hAnsi="Times New Roman" w:cs="Times New Roman"/>
          <w:color w:val="000000"/>
          <w:sz w:val="20"/>
          <w:szCs w:val="20"/>
        </w:rPr>
        <w:t>dopting health behaviors. Perceived barriers can include factors such as cost, inconvenience, or fear of side effects. Higher perceived barriers may reduce the likelihood of adopting health-related actions.</w:t>
      </w:r>
    </w:p>
    <w:p w14:paraId="6C5EC02E"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09FF884C"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Cues to Action: The HBM proposes that certain tr</w:t>
      </w:r>
      <w:r>
        <w:rPr>
          <w:rFonts w:ascii="Times New Roman" w:eastAsia="Times New Roman" w:hAnsi="Times New Roman" w:cs="Times New Roman"/>
          <w:color w:val="000000"/>
          <w:sz w:val="20"/>
          <w:szCs w:val="20"/>
        </w:rPr>
        <w:t>iggers or cues can prompt individuals to take action. These cues can be internal (e.g., experiencing symptoms) or external (e.g., advice from a healthcare professional, media campaigns) and play a role in motivating individuals to adopt health behaviors.</w:t>
      </w:r>
    </w:p>
    <w:p w14:paraId="2B1C7F16"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7F4440A9"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Self-efficacy: Self-efficacy refers to an individual's belief in their ability to successfully perform the recommended health behavior. Higher self-efficacy is associated with a greater likelihood of engaging in health-related actions.</w:t>
      </w:r>
    </w:p>
    <w:p w14:paraId="78719325"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08DE0B7E" w14:textId="75101824" w:rsidR="00804A73" w:rsidRPr="00187E26"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Health Belief </w:t>
      </w:r>
      <w:r>
        <w:rPr>
          <w:rFonts w:ascii="Times New Roman" w:eastAsia="Times New Roman" w:hAnsi="Times New Roman" w:cs="Times New Roman"/>
          <w:color w:val="000000"/>
          <w:sz w:val="20"/>
          <w:szCs w:val="20"/>
        </w:rPr>
        <w:t>Model suggests that individuals weigh these factors and make rational decisions about whether or not to adopt health beneficial behaviors (Skinner, Tiro et al. 2015).</w:t>
      </w:r>
    </w:p>
    <w:p w14:paraId="496B8BC8"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3DDE5B89" w14:textId="77777777" w:rsidR="00804A73" w:rsidRDefault="00541332">
      <w:pPr>
        <w:spacing w:after="0" w:line="300" w:lineRule="auto"/>
        <w:jc w:val="both"/>
        <w:rPr>
          <w:rFonts w:ascii="Times New Roman" w:eastAsia="Times New Roman" w:hAnsi="Times New Roman" w:cs="Times New Roman"/>
          <w:color w:val="000000"/>
          <w:sz w:val="20"/>
          <w:szCs w:val="20"/>
        </w:rPr>
      </w:pPr>
      <w:r>
        <w:rPr>
          <w:noProof/>
          <w:lang w:val="en-PH" w:eastAsia="en-PH"/>
        </w:rPr>
        <w:drawing>
          <wp:anchor distT="0" distB="0" distL="114300" distR="114300" simplePos="0" relativeHeight="251659264" behindDoc="0" locked="0" layoutInCell="1" allowOverlap="1" wp14:anchorId="2BD07FB0" wp14:editId="78BF4732">
            <wp:simplePos x="0" y="0"/>
            <wp:positionH relativeFrom="column">
              <wp:posOffset>-163830</wp:posOffset>
            </wp:positionH>
            <wp:positionV relativeFrom="paragraph">
              <wp:posOffset>141605</wp:posOffset>
            </wp:positionV>
            <wp:extent cx="6614160" cy="5317490"/>
            <wp:effectExtent l="0" t="0" r="15240" b="16510"/>
            <wp:wrapNone/>
            <wp:docPr id="435339250" name="image1.png"/>
            <wp:cNvGraphicFramePr/>
            <a:graphic xmlns:a="http://schemas.openxmlformats.org/drawingml/2006/main">
              <a:graphicData uri="http://schemas.openxmlformats.org/drawingml/2006/picture">
                <pic:pic xmlns:pic="http://schemas.openxmlformats.org/drawingml/2006/picture">
                  <pic:nvPicPr>
                    <pic:cNvPr id="435339250" name="image1.png"/>
                    <pic:cNvPicPr preferRelativeResize="0"/>
                  </pic:nvPicPr>
                  <pic:blipFill>
                    <a:blip r:embed="rId8"/>
                    <a:srcRect l="23975" t="4103" r="25256" b="9971"/>
                    <a:stretch>
                      <a:fillRect/>
                    </a:stretch>
                  </pic:blipFill>
                  <pic:spPr>
                    <a:xfrm>
                      <a:off x="0" y="0"/>
                      <a:ext cx="6614160" cy="5317490"/>
                    </a:xfrm>
                    <a:prstGeom prst="rect">
                      <a:avLst/>
                    </a:prstGeom>
                  </pic:spPr>
                </pic:pic>
              </a:graphicData>
            </a:graphic>
          </wp:anchor>
        </w:drawing>
      </w:r>
      <w:r>
        <w:rPr>
          <w:rFonts w:ascii="Times New Roman" w:eastAsia="Times New Roman" w:hAnsi="Times New Roman" w:cs="Times New Roman"/>
          <w:b/>
          <w:color w:val="000000"/>
          <w:sz w:val="24"/>
          <w:szCs w:val="24"/>
        </w:rPr>
        <w:t>CONCEPTUAL FRAMEWORK</w:t>
      </w:r>
    </w:p>
    <w:p w14:paraId="166A757B"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0D29B9F1"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14CF0641"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652FABD3"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70DFB10A"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5097C258"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69079198"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62695613"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7E17F948"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78C32BF3"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7279FF96"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4D4F1680"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6E1F13D3"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39487200"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2B4A36A7"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591F778A"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2739BEED"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6D5E631C"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590D2148"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67C2A796"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31A41CEE"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7FF69E77"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332A2A6D"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73AA605A"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6A3F44D8" w14:textId="77777777" w:rsidR="00804A73" w:rsidRDefault="00541332">
      <w:pPr>
        <w:spacing w:after="0" w:line="30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Figure 1: Health Benefit Model in Disaster</w:t>
      </w:r>
      <w:r>
        <w:rPr>
          <w:rFonts w:ascii="Times New Roman" w:eastAsia="Times New Roman" w:hAnsi="Times New Roman" w:cs="Times New Roman"/>
          <w:i/>
          <w:iCs/>
          <w:color w:val="000000"/>
          <w:sz w:val="20"/>
          <w:szCs w:val="20"/>
        </w:rPr>
        <w:t xml:space="preserve"> Preparedness</w:t>
      </w:r>
    </w:p>
    <w:p w14:paraId="1840FEE5" w14:textId="77777777" w:rsidR="00804A73" w:rsidRDefault="00804A73">
      <w:pPr>
        <w:spacing w:after="0" w:line="300" w:lineRule="auto"/>
        <w:jc w:val="center"/>
        <w:rPr>
          <w:rFonts w:ascii="Times New Roman" w:eastAsia="Times New Roman" w:hAnsi="Times New Roman" w:cs="Times New Roman"/>
          <w:i/>
          <w:iCs/>
          <w:color w:val="000000"/>
          <w:sz w:val="20"/>
          <w:szCs w:val="20"/>
        </w:rPr>
      </w:pPr>
    </w:p>
    <w:p w14:paraId="107F444D" w14:textId="77777777" w:rsidR="00804A73" w:rsidRDefault="00541332">
      <w:pP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ASSUMPTIONS</w:t>
      </w:r>
    </w:p>
    <w:p w14:paraId="7D6BFEC8"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Individuals within the local government of Malita are rational decision-makers who weigh the perceived susceptibility to and severity of potential disasters in relation to compliance with DILG Memorandum Circular 2015-76</w:t>
      </w:r>
      <w:r>
        <w:rPr>
          <w:rFonts w:ascii="Times New Roman" w:eastAsia="Times New Roman" w:hAnsi="Times New Roman" w:cs="Times New Roman"/>
          <w:color w:val="000000"/>
          <w:sz w:val="20"/>
          <w:szCs w:val="20"/>
        </w:rPr>
        <w:t>, thereby being compliant with the said policy.</w:t>
      </w:r>
    </w:p>
    <w:p w14:paraId="331A436E"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1199A7B5"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perceived benefits of complying with DILG Memorandum Circular 2015-76 also influences the likelihood of compliance of the local government of Malita, thus being compliant with the said policy. Cues to ac</w:t>
      </w:r>
      <w:r>
        <w:rPr>
          <w:rFonts w:ascii="Times New Roman" w:eastAsia="Times New Roman" w:hAnsi="Times New Roman" w:cs="Times New Roman"/>
          <w:color w:val="000000"/>
          <w:sz w:val="20"/>
          <w:szCs w:val="20"/>
        </w:rPr>
        <w:t>tion will prompt the local government of Malita to act and improve their compliance with DILG Memorandum Circular 2015-76, hence the LGU will be compliant with the said policy.</w:t>
      </w:r>
    </w:p>
    <w:p w14:paraId="4EC38EF0"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3F4F7244"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The perceived barriers to compliance with DILG MC 2015-76, on the other hand, </w:t>
      </w:r>
      <w:r>
        <w:rPr>
          <w:rFonts w:ascii="Times New Roman" w:eastAsia="Times New Roman" w:hAnsi="Times New Roman" w:cs="Times New Roman"/>
          <w:color w:val="000000"/>
          <w:sz w:val="20"/>
          <w:szCs w:val="20"/>
        </w:rPr>
        <w:t>will negatively impact the level of compliance of the local government of Malita, in that way the LGU will not be compliant with the said policy.</w:t>
      </w:r>
    </w:p>
    <w:p w14:paraId="65DF75D0"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48B7A7F8"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These theoretical assumptions draw upon the Health Belief Model (HBM) as a framework to understand the motiva</w:t>
      </w:r>
      <w:r>
        <w:rPr>
          <w:rFonts w:ascii="Times New Roman" w:eastAsia="Times New Roman" w:hAnsi="Times New Roman" w:cs="Times New Roman"/>
          <w:color w:val="000000"/>
          <w:sz w:val="20"/>
          <w:szCs w:val="20"/>
        </w:rPr>
        <w:t>tions, perceptions, and behaviors of the local government of Malita regarding compliance with DILG Memorandum Circular 2015-76. The HBM provides a direction through which to examine the LGU’s compliance and guides the overall design of this research.</w:t>
      </w:r>
    </w:p>
    <w:p w14:paraId="10678DDB" w14:textId="77777777" w:rsidR="00187E26" w:rsidRDefault="00187E26">
      <w:pPr>
        <w:spacing w:after="0" w:line="300" w:lineRule="auto"/>
        <w:jc w:val="both"/>
        <w:rPr>
          <w:rFonts w:ascii="Times New Roman" w:eastAsia="Times New Roman" w:hAnsi="Times New Roman" w:cs="Times New Roman"/>
          <w:b/>
          <w:color w:val="000000"/>
          <w:sz w:val="24"/>
          <w:szCs w:val="24"/>
        </w:rPr>
      </w:pPr>
    </w:p>
    <w:p w14:paraId="44434ADD" w14:textId="55DC0747" w:rsidR="00187E26" w:rsidRDefault="00541332">
      <w:pPr>
        <w:spacing w:after="0" w:line="30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w:t>
      </w:r>
      <w:r>
        <w:rPr>
          <w:rFonts w:ascii="Times New Roman" w:eastAsia="Times New Roman" w:hAnsi="Times New Roman" w:cs="Times New Roman"/>
          <w:b/>
          <w:color w:val="000000"/>
          <w:sz w:val="24"/>
          <w:szCs w:val="24"/>
        </w:rPr>
        <w:t>ODOLOGY</w:t>
      </w:r>
    </w:p>
    <w:p w14:paraId="31396DC3"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research employs descriptive statistics. In particular, percentages and proportions are used to express compliance rates or the extent of adherence of LGU-Malita to DILG Memorandum Circular 2015-76. This statistical method provides a clear rep</w:t>
      </w:r>
      <w:r>
        <w:rPr>
          <w:rFonts w:ascii="Times New Roman" w:eastAsia="Times New Roman" w:hAnsi="Times New Roman" w:cs="Times New Roman"/>
          <w:color w:val="000000"/>
          <w:sz w:val="20"/>
          <w:szCs w:val="20"/>
        </w:rPr>
        <w:t>resentation of the compliance index in terms of the proportion of conformity of LGU-Malita with regards to the said policy.</w:t>
      </w:r>
    </w:p>
    <w:p w14:paraId="0334AE75"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17155F1A"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Percentages and proportions provide a clear representation of the compliance index in terms of the proportion of conformity with re</w:t>
      </w:r>
      <w:r>
        <w:rPr>
          <w:rFonts w:ascii="Times New Roman" w:eastAsia="Times New Roman" w:hAnsi="Times New Roman" w:cs="Times New Roman"/>
          <w:color w:val="000000"/>
          <w:sz w:val="20"/>
          <w:szCs w:val="20"/>
        </w:rPr>
        <w:t>gards to a particular policy.</w:t>
      </w:r>
    </w:p>
    <w:p w14:paraId="29EE1C73"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2EC63481"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variables that are indicative of compliance with the memorandum circular were also identified. These variables include the indicators as specified in the memorandum under the following components: a) Establishing Structur</w:t>
      </w:r>
      <w:r>
        <w:rPr>
          <w:rFonts w:ascii="Times New Roman" w:eastAsia="Times New Roman" w:hAnsi="Times New Roman" w:cs="Times New Roman"/>
          <w:color w:val="000000"/>
          <w:sz w:val="20"/>
          <w:szCs w:val="20"/>
        </w:rPr>
        <w:t>es and Systems, b) Institutionalizing Plans and Policies, c) Building Competencies, and d) Resource Management.</w:t>
      </w:r>
    </w:p>
    <w:p w14:paraId="04D912B5"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16AF5511"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Relevant data were then collected from the LGU regarding their compliance with the DILG memorandum circular. This involves reviewing documents </w:t>
      </w:r>
      <w:r>
        <w:rPr>
          <w:rFonts w:ascii="Times New Roman" w:eastAsia="Times New Roman" w:hAnsi="Times New Roman" w:cs="Times New Roman"/>
          <w:color w:val="000000"/>
          <w:sz w:val="20"/>
          <w:szCs w:val="20"/>
        </w:rPr>
        <w:t>related to the said policy, reports, and records, as well as conducting interviews with key stakeholders, officials, and employees.</w:t>
      </w:r>
    </w:p>
    <w:p w14:paraId="5F5F2033"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5F63391D"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Finally, to determine the compliance rates or proportions of the LGU to the memorandum, the percentage of the complied vs. </w:t>
      </w:r>
      <w:r>
        <w:rPr>
          <w:rFonts w:ascii="Times New Roman" w:eastAsia="Times New Roman" w:hAnsi="Times New Roman" w:cs="Times New Roman"/>
          <w:color w:val="000000"/>
          <w:sz w:val="20"/>
          <w:szCs w:val="20"/>
        </w:rPr>
        <w:t xml:space="preserve">not complied indicators were computed. A score of 1 is given if the LGU is compliant with a certain indicator and 0 if the LGU is not compliant. The compliance rate or percentage was then computed. These methods have provided a clear representation of the </w:t>
      </w:r>
      <w:r>
        <w:rPr>
          <w:rFonts w:ascii="Times New Roman" w:eastAsia="Times New Roman" w:hAnsi="Times New Roman" w:cs="Times New Roman"/>
          <w:color w:val="000000"/>
          <w:sz w:val="20"/>
          <w:szCs w:val="20"/>
        </w:rPr>
        <w:t>compliance index in terms of proportions or percentages. Patterns, trends, or variations in compliance levels across different variables or dimensions were then identified.</w:t>
      </w:r>
    </w:p>
    <w:p w14:paraId="7C92FFA6"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2E6675A6"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For the purpose of this research, the following compliance index categories will a</w:t>
      </w:r>
      <w:r>
        <w:rPr>
          <w:rFonts w:ascii="Times New Roman" w:eastAsia="Times New Roman" w:hAnsi="Times New Roman" w:cs="Times New Roman"/>
          <w:color w:val="000000"/>
          <w:sz w:val="20"/>
          <w:szCs w:val="20"/>
        </w:rPr>
        <w:t>lso be used to describe the policy compliance level of LGU-Malita. Although these categories do not have standardized reference, they are still use for the purpose of describing the level of compliance in this study.</w:t>
      </w:r>
    </w:p>
    <w:p w14:paraId="2BBC1BFA"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6A8A01E9"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 zero compliance</w:t>
      </w:r>
    </w:p>
    <w:p w14:paraId="4B783B69"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 – 20.99% - ver</w:t>
      </w:r>
      <w:r>
        <w:rPr>
          <w:rFonts w:ascii="Times New Roman" w:eastAsia="Times New Roman" w:hAnsi="Times New Roman" w:cs="Times New Roman"/>
          <w:color w:val="000000"/>
          <w:sz w:val="20"/>
          <w:szCs w:val="20"/>
        </w:rPr>
        <w:t>y poor compliance</w:t>
      </w:r>
    </w:p>
    <w:p w14:paraId="5E8BF6F8"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 - 40.99% - poor compliance</w:t>
      </w:r>
    </w:p>
    <w:p w14:paraId="3A8E8167"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 - 60.99% - satisfactory compliance</w:t>
      </w:r>
    </w:p>
    <w:p w14:paraId="0807292F"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 - 80.99% - good compliance</w:t>
      </w:r>
    </w:p>
    <w:p w14:paraId="15C39E9C"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 - 100% - excellent compliance</w:t>
      </w:r>
    </w:p>
    <w:p w14:paraId="0CA8726F"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353AC2CC" w14:textId="77777777" w:rsidR="00804A73" w:rsidRDefault="00541332">
      <w:pPr>
        <w:spacing w:after="0" w:line="30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RESULTS AND DISCUSSION</w:t>
      </w:r>
    </w:p>
    <w:p w14:paraId="2A4FE7F9"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Based on the data collected, compiled, and summarized, the following results </w:t>
      </w:r>
      <w:r>
        <w:rPr>
          <w:rFonts w:ascii="Times New Roman" w:eastAsia="Times New Roman" w:hAnsi="Times New Roman" w:cs="Times New Roman"/>
          <w:color w:val="000000"/>
          <w:sz w:val="20"/>
          <w:szCs w:val="20"/>
        </w:rPr>
        <w:t>have been obtained:</w:t>
      </w:r>
    </w:p>
    <w:p w14:paraId="56830975"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7C0EAAB6" w14:textId="77777777" w:rsidR="00804A73" w:rsidRDefault="00541332">
      <w:pPr>
        <w:pStyle w:val="ListParagraph"/>
        <w:spacing w:after="0" w:line="30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Compliance Index of LGU-Malita on Disaster Preparedness Systems and Structures</w:t>
      </w:r>
    </w:p>
    <w:p w14:paraId="59B806D2"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03EA8620"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1 shows that the local government of Malita, Davao Occidental has complied with 2 out of 3 indicators or 66.67% compliance rate for disaster prepa</w:t>
      </w:r>
      <w:r>
        <w:rPr>
          <w:rFonts w:ascii="Times New Roman" w:eastAsia="Times New Roman" w:hAnsi="Times New Roman" w:cs="Times New Roman"/>
          <w:color w:val="000000"/>
          <w:sz w:val="20"/>
          <w:szCs w:val="20"/>
        </w:rPr>
        <w:t xml:space="preserve">redness systems and structures. This means that the LGU is “satisfactorily compliant” in terms of systems and structures related to disaster preparedness. Specifically, based on the reviewed documents and interviews </w:t>
      </w:r>
      <w:r>
        <w:rPr>
          <w:rFonts w:ascii="Times New Roman" w:eastAsia="Times New Roman" w:hAnsi="Times New Roman" w:cs="Times New Roman"/>
          <w:color w:val="000000"/>
          <w:sz w:val="20"/>
          <w:szCs w:val="20"/>
        </w:rPr>
        <w:lastRenderedPageBreak/>
        <w:t>with stakeholders, the LGU has issued an</w:t>
      </w:r>
      <w:r>
        <w:rPr>
          <w:rFonts w:ascii="Times New Roman" w:eastAsia="Times New Roman" w:hAnsi="Times New Roman" w:cs="Times New Roman"/>
          <w:color w:val="000000"/>
          <w:sz w:val="20"/>
          <w:szCs w:val="20"/>
        </w:rPr>
        <w:t xml:space="preserve"> Executive Order Establishing the Incident Command System. However, with regards to the filling up of positions in the Municipal DRRM office pursuant to Joint Memorandum Circular 2014-1 of DILG, Dept of Budget and Management (DBM), and National Disaster Ri</w:t>
      </w:r>
      <w:r>
        <w:rPr>
          <w:rFonts w:ascii="Times New Roman" w:eastAsia="Times New Roman" w:hAnsi="Times New Roman" w:cs="Times New Roman"/>
          <w:color w:val="000000"/>
          <w:sz w:val="20"/>
          <w:szCs w:val="20"/>
        </w:rPr>
        <w:t>sk Reduction and Management Council (NDRRMC), only 1 out of 2 indicators was complied. The LGU has filled up its MDRRM Officer position but has not completed the filling up of 3 MDRRM staff positions (NDRRMC, DILG, DBM, CSC JMC 2014-1, 2014).</w:t>
      </w:r>
    </w:p>
    <w:p w14:paraId="57283950" w14:textId="77777777" w:rsidR="00804A73" w:rsidRDefault="00804A73">
      <w:pPr>
        <w:spacing w:after="0" w:line="300" w:lineRule="auto"/>
        <w:jc w:val="both"/>
        <w:rPr>
          <w:rFonts w:ascii="Times New Roman" w:eastAsia="Times New Roman" w:hAnsi="Times New Roman" w:cs="Times New Roman"/>
          <w:color w:val="000000"/>
          <w:sz w:val="20"/>
          <w:szCs w:val="20"/>
        </w:rPr>
      </w:pPr>
    </w:p>
    <w:tbl>
      <w:tblPr>
        <w:tblW w:w="10112" w:type="dxa"/>
        <w:tblLook w:val="04A0" w:firstRow="1" w:lastRow="0" w:firstColumn="1" w:lastColumn="0" w:noHBand="0" w:noVBand="1"/>
      </w:tblPr>
      <w:tblGrid>
        <w:gridCol w:w="336"/>
        <w:gridCol w:w="7036"/>
        <w:gridCol w:w="2740"/>
      </w:tblGrid>
      <w:tr w:rsidR="00804A73" w14:paraId="4CE79477" w14:textId="77777777">
        <w:trPr>
          <w:trHeight w:val="324"/>
        </w:trPr>
        <w:tc>
          <w:tcPr>
            <w:tcW w:w="10112" w:type="dxa"/>
            <w:gridSpan w:val="3"/>
            <w:tcBorders>
              <w:top w:val="nil"/>
              <w:left w:val="nil"/>
              <w:bottom w:val="single" w:sz="8" w:space="0" w:color="auto"/>
              <w:right w:val="nil"/>
            </w:tcBorders>
            <w:shd w:val="clear" w:color="auto" w:fill="auto"/>
            <w:noWrap/>
            <w:vAlign w:val="bottom"/>
          </w:tcPr>
          <w:p w14:paraId="3D2B9B0A" w14:textId="77777777" w:rsidR="00804A73" w:rsidRDefault="0054133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0"/>
                <w:szCs w:val="20"/>
              </w:rPr>
              <w:t>Table 1: Ear</w:t>
            </w:r>
            <w:r>
              <w:rPr>
                <w:rFonts w:ascii="Times New Roman" w:eastAsia="Times New Roman" w:hAnsi="Times New Roman" w:cs="Times New Roman"/>
                <w:b/>
                <w:bCs/>
                <w:color w:val="000000"/>
                <w:sz w:val="20"/>
                <w:szCs w:val="20"/>
              </w:rPr>
              <w:t>ly Preparedness Index of LGU-Malita to Reduce Disaster Risk in Terms of Systems and Structures.</w:t>
            </w:r>
          </w:p>
        </w:tc>
      </w:tr>
      <w:tr w:rsidR="00804A73" w14:paraId="5822A8B4" w14:textId="77777777">
        <w:trPr>
          <w:trHeight w:val="324"/>
        </w:trPr>
        <w:tc>
          <w:tcPr>
            <w:tcW w:w="336" w:type="dxa"/>
            <w:tcBorders>
              <w:top w:val="nil"/>
              <w:left w:val="single" w:sz="8" w:space="0" w:color="auto"/>
              <w:bottom w:val="single" w:sz="8" w:space="0" w:color="auto"/>
              <w:right w:val="single" w:sz="8" w:space="0" w:color="auto"/>
            </w:tcBorders>
            <w:shd w:val="clear" w:color="auto" w:fill="auto"/>
            <w:noWrap/>
            <w:vAlign w:val="center"/>
          </w:tcPr>
          <w:p w14:paraId="6B377E28" w14:textId="77777777" w:rsidR="00804A73" w:rsidRDefault="005413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36" w:type="dxa"/>
            <w:tcBorders>
              <w:top w:val="nil"/>
              <w:left w:val="nil"/>
              <w:bottom w:val="single" w:sz="8" w:space="0" w:color="auto"/>
              <w:right w:val="single" w:sz="8" w:space="0" w:color="auto"/>
            </w:tcBorders>
            <w:shd w:val="clear" w:color="auto" w:fill="auto"/>
            <w:noWrap/>
            <w:vAlign w:val="center"/>
          </w:tcPr>
          <w:p w14:paraId="4AEFB812"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INDICATORS</w:t>
            </w:r>
          </w:p>
        </w:tc>
        <w:tc>
          <w:tcPr>
            <w:tcW w:w="2740" w:type="dxa"/>
            <w:tcBorders>
              <w:top w:val="nil"/>
              <w:left w:val="nil"/>
              <w:bottom w:val="single" w:sz="8" w:space="0" w:color="auto"/>
              <w:right w:val="single" w:sz="8" w:space="0" w:color="auto"/>
            </w:tcBorders>
            <w:shd w:val="clear" w:color="auto" w:fill="auto"/>
            <w:noWrap/>
            <w:vAlign w:val="center"/>
          </w:tcPr>
          <w:p w14:paraId="697567F9"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COMPLIANCE</w:t>
            </w:r>
          </w:p>
        </w:tc>
      </w:tr>
      <w:tr w:rsidR="00804A73" w14:paraId="22DBAA52" w14:textId="77777777">
        <w:trPr>
          <w:trHeight w:val="324"/>
        </w:trPr>
        <w:tc>
          <w:tcPr>
            <w:tcW w:w="336" w:type="dxa"/>
            <w:tcBorders>
              <w:top w:val="nil"/>
              <w:left w:val="single" w:sz="8" w:space="0" w:color="auto"/>
              <w:bottom w:val="single" w:sz="8" w:space="0" w:color="auto"/>
              <w:right w:val="single" w:sz="8" w:space="0" w:color="auto"/>
            </w:tcBorders>
            <w:shd w:val="clear" w:color="auto" w:fill="auto"/>
            <w:noWrap/>
            <w:vAlign w:val="center"/>
          </w:tcPr>
          <w:p w14:paraId="44AED4C9" w14:textId="77777777" w:rsidR="00804A73" w:rsidRDefault="005413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36" w:type="dxa"/>
            <w:tcBorders>
              <w:top w:val="nil"/>
              <w:left w:val="nil"/>
              <w:bottom w:val="single" w:sz="8" w:space="0" w:color="auto"/>
              <w:right w:val="single" w:sz="8" w:space="0" w:color="auto"/>
            </w:tcBorders>
            <w:shd w:val="clear" w:color="auto" w:fill="auto"/>
            <w:noWrap/>
            <w:vAlign w:val="center"/>
          </w:tcPr>
          <w:p w14:paraId="0226033B" w14:textId="77777777" w:rsidR="00804A73" w:rsidRDefault="00541332">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Issuance of Executive Order Establishing the Incident Command System</w:t>
            </w:r>
          </w:p>
        </w:tc>
        <w:tc>
          <w:tcPr>
            <w:tcW w:w="2740" w:type="dxa"/>
            <w:tcBorders>
              <w:top w:val="nil"/>
              <w:left w:val="nil"/>
              <w:bottom w:val="single" w:sz="8" w:space="0" w:color="auto"/>
              <w:right w:val="single" w:sz="8" w:space="0" w:color="auto"/>
            </w:tcBorders>
            <w:shd w:val="clear" w:color="auto" w:fill="auto"/>
            <w:noWrap/>
            <w:vAlign w:val="center"/>
          </w:tcPr>
          <w:p w14:paraId="0756AA9B"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color w:val="000000"/>
                <w:sz w:val="20"/>
                <w:szCs w:val="20"/>
              </w:rPr>
              <w:t> 1</w:t>
            </w:r>
          </w:p>
        </w:tc>
      </w:tr>
      <w:tr w:rsidR="00804A73" w14:paraId="7D0D4861" w14:textId="77777777">
        <w:trPr>
          <w:trHeight w:val="324"/>
        </w:trPr>
        <w:tc>
          <w:tcPr>
            <w:tcW w:w="336" w:type="dxa"/>
            <w:tcBorders>
              <w:top w:val="nil"/>
              <w:left w:val="single" w:sz="8" w:space="0" w:color="auto"/>
              <w:bottom w:val="single" w:sz="8" w:space="0" w:color="auto"/>
              <w:right w:val="single" w:sz="8" w:space="0" w:color="auto"/>
            </w:tcBorders>
            <w:shd w:val="clear" w:color="auto" w:fill="auto"/>
            <w:noWrap/>
            <w:vAlign w:val="center"/>
          </w:tcPr>
          <w:p w14:paraId="6021C420" w14:textId="77777777" w:rsidR="00804A73" w:rsidRDefault="005413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036" w:type="dxa"/>
            <w:tcBorders>
              <w:top w:val="nil"/>
              <w:left w:val="nil"/>
              <w:bottom w:val="single" w:sz="8" w:space="0" w:color="auto"/>
              <w:right w:val="single" w:sz="8" w:space="0" w:color="auto"/>
            </w:tcBorders>
            <w:shd w:val="clear" w:color="auto" w:fill="auto"/>
            <w:noWrap/>
            <w:vAlign w:val="center"/>
          </w:tcPr>
          <w:p w14:paraId="0A6DE0FF"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t xml:space="preserve">Filling up of Plantilla Positions of MDRRM Office </w:t>
            </w:r>
            <w:r>
              <w:rPr>
                <w:rFonts w:ascii="Times New Roman" w:eastAsia="Times New Roman" w:hAnsi="Times New Roman" w:cs="Times New Roman"/>
                <w:i/>
                <w:iCs/>
                <w:color w:val="000000"/>
                <w:sz w:val="20"/>
                <w:szCs w:val="20"/>
              </w:rPr>
              <w:t>Pursuant to JMC 2014-1:</w:t>
            </w:r>
          </w:p>
        </w:tc>
        <w:tc>
          <w:tcPr>
            <w:tcW w:w="2740" w:type="dxa"/>
            <w:tcBorders>
              <w:top w:val="nil"/>
              <w:left w:val="nil"/>
              <w:bottom w:val="single" w:sz="8" w:space="0" w:color="auto"/>
              <w:right w:val="single" w:sz="8" w:space="0" w:color="auto"/>
            </w:tcBorders>
            <w:shd w:val="clear" w:color="auto" w:fill="auto"/>
            <w:noWrap/>
            <w:vAlign w:val="center"/>
          </w:tcPr>
          <w:p w14:paraId="345D5EDE"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04A73" w14:paraId="4A10222E" w14:textId="77777777">
        <w:trPr>
          <w:trHeight w:val="660"/>
        </w:trPr>
        <w:tc>
          <w:tcPr>
            <w:tcW w:w="336" w:type="dxa"/>
            <w:tcBorders>
              <w:top w:val="nil"/>
              <w:left w:val="single" w:sz="8" w:space="0" w:color="auto"/>
              <w:bottom w:val="single" w:sz="8" w:space="0" w:color="auto"/>
              <w:right w:val="single" w:sz="8" w:space="0" w:color="auto"/>
            </w:tcBorders>
            <w:shd w:val="clear" w:color="auto" w:fill="auto"/>
            <w:noWrap/>
            <w:vAlign w:val="center"/>
          </w:tcPr>
          <w:p w14:paraId="019EBA5C" w14:textId="77777777" w:rsidR="00804A73" w:rsidRDefault="0054133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36" w:type="dxa"/>
            <w:tcBorders>
              <w:top w:val="nil"/>
              <w:left w:val="nil"/>
              <w:bottom w:val="single" w:sz="8" w:space="0" w:color="auto"/>
              <w:right w:val="single" w:sz="8" w:space="0" w:color="auto"/>
            </w:tcBorders>
            <w:shd w:val="clear" w:color="auto" w:fill="auto"/>
            <w:vAlign w:val="center"/>
          </w:tcPr>
          <w:p w14:paraId="41601E7C" w14:textId="77777777" w:rsidR="00804A73" w:rsidRDefault="00541332">
            <w:pPr>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color w:val="000000"/>
                <w:sz w:val="20"/>
                <w:szCs w:val="20"/>
              </w:rPr>
              <w:t>1 DRRM Officer</w:t>
            </w:r>
          </w:p>
        </w:tc>
        <w:tc>
          <w:tcPr>
            <w:tcW w:w="2740" w:type="dxa"/>
            <w:tcBorders>
              <w:top w:val="nil"/>
              <w:left w:val="nil"/>
              <w:bottom w:val="single" w:sz="8" w:space="0" w:color="auto"/>
              <w:right w:val="single" w:sz="8" w:space="0" w:color="auto"/>
            </w:tcBorders>
            <w:shd w:val="clear" w:color="auto" w:fill="auto"/>
            <w:noWrap/>
            <w:vAlign w:val="center"/>
          </w:tcPr>
          <w:p w14:paraId="1F7E4455"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16CA344B" w14:textId="77777777">
        <w:trPr>
          <w:trHeight w:val="324"/>
        </w:trPr>
        <w:tc>
          <w:tcPr>
            <w:tcW w:w="336" w:type="dxa"/>
            <w:tcBorders>
              <w:top w:val="nil"/>
              <w:left w:val="single" w:sz="8" w:space="0" w:color="auto"/>
              <w:bottom w:val="single" w:sz="8" w:space="0" w:color="auto"/>
              <w:right w:val="single" w:sz="8" w:space="0" w:color="auto"/>
            </w:tcBorders>
            <w:shd w:val="clear" w:color="auto" w:fill="auto"/>
            <w:noWrap/>
            <w:vAlign w:val="center"/>
          </w:tcPr>
          <w:p w14:paraId="67FC2C7B" w14:textId="77777777" w:rsidR="00804A73" w:rsidRDefault="005413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36" w:type="dxa"/>
            <w:tcBorders>
              <w:top w:val="nil"/>
              <w:left w:val="nil"/>
              <w:bottom w:val="single" w:sz="8" w:space="0" w:color="auto"/>
              <w:right w:val="single" w:sz="8" w:space="0" w:color="auto"/>
            </w:tcBorders>
            <w:shd w:val="clear" w:color="auto" w:fill="auto"/>
            <w:noWrap/>
            <w:vAlign w:val="center"/>
          </w:tcPr>
          <w:p w14:paraId="5043487E"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DRRM Staff</w:t>
            </w:r>
          </w:p>
        </w:tc>
        <w:tc>
          <w:tcPr>
            <w:tcW w:w="2740" w:type="dxa"/>
            <w:tcBorders>
              <w:top w:val="nil"/>
              <w:left w:val="nil"/>
              <w:bottom w:val="single" w:sz="8" w:space="0" w:color="auto"/>
              <w:right w:val="single" w:sz="8" w:space="0" w:color="auto"/>
            </w:tcBorders>
            <w:shd w:val="clear" w:color="auto" w:fill="auto"/>
            <w:noWrap/>
            <w:vAlign w:val="center"/>
          </w:tcPr>
          <w:p w14:paraId="4040F37F"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r>
      <w:tr w:rsidR="00804A73" w14:paraId="06FB6199" w14:textId="77777777">
        <w:trPr>
          <w:trHeight w:val="324"/>
        </w:trPr>
        <w:tc>
          <w:tcPr>
            <w:tcW w:w="336" w:type="dxa"/>
            <w:tcBorders>
              <w:top w:val="nil"/>
              <w:left w:val="single" w:sz="8" w:space="0" w:color="auto"/>
              <w:bottom w:val="single" w:sz="8" w:space="0" w:color="auto"/>
              <w:right w:val="single" w:sz="8" w:space="0" w:color="auto"/>
            </w:tcBorders>
            <w:shd w:val="clear" w:color="auto" w:fill="auto"/>
            <w:noWrap/>
            <w:vAlign w:val="center"/>
          </w:tcPr>
          <w:p w14:paraId="6644DCF6" w14:textId="77777777" w:rsidR="00804A73" w:rsidRDefault="00804A73">
            <w:pPr>
              <w:spacing w:after="0" w:line="240" w:lineRule="auto"/>
              <w:jc w:val="center"/>
              <w:rPr>
                <w:rFonts w:ascii="Times New Roman" w:eastAsia="Times New Roman" w:hAnsi="Times New Roman" w:cs="Times New Roman"/>
                <w:b/>
                <w:bCs/>
                <w:color w:val="000000"/>
                <w:sz w:val="24"/>
                <w:szCs w:val="24"/>
              </w:rPr>
            </w:pPr>
          </w:p>
        </w:tc>
        <w:tc>
          <w:tcPr>
            <w:tcW w:w="7036" w:type="dxa"/>
            <w:tcBorders>
              <w:top w:val="nil"/>
              <w:left w:val="nil"/>
              <w:bottom w:val="single" w:sz="8" w:space="0" w:color="auto"/>
              <w:right w:val="single" w:sz="8" w:space="0" w:color="auto"/>
            </w:tcBorders>
            <w:shd w:val="clear" w:color="auto" w:fill="auto"/>
            <w:noWrap/>
            <w:vAlign w:val="center"/>
          </w:tcPr>
          <w:p w14:paraId="7ADDC0A6"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w:t>
            </w:r>
          </w:p>
        </w:tc>
        <w:tc>
          <w:tcPr>
            <w:tcW w:w="2740" w:type="dxa"/>
            <w:tcBorders>
              <w:top w:val="nil"/>
              <w:left w:val="nil"/>
              <w:bottom w:val="single" w:sz="8" w:space="0" w:color="auto"/>
              <w:right w:val="single" w:sz="8" w:space="0" w:color="auto"/>
            </w:tcBorders>
            <w:shd w:val="clear" w:color="auto" w:fill="auto"/>
            <w:noWrap/>
            <w:vAlign w:val="center"/>
          </w:tcPr>
          <w:p w14:paraId="2834A71A"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w:t>
            </w:r>
          </w:p>
        </w:tc>
      </w:tr>
    </w:tbl>
    <w:p w14:paraId="74DBD331" w14:textId="77777777" w:rsidR="00804A73" w:rsidRDefault="00804A73">
      <w:pPr>
        <w:spacing w:after="0" w:line="300" w:lineRule="auto"/>
        <w:jc w:val="center"/>
        <w:rPr>
          <w:rFonts w:ascii="Times New Roman" w:eastAsia="Times New Roman" w:hAnsi="Times New Roman" w:cs="Times New Roman"/>
          <w:i/>
          <w:iCs/>
          <w:color w:val="000000"/>
          <w:sz w:val="20"/>
          <w:szCs w:val="20"/>
        </w:rPr>
      </w:pPr>
    </w:p>
    <w:p w14:paraId="3041E9E0" w14:textId="77777777" w:rsidR="00804A73" w:rsidRDefault="00541332">
      <w:pPr>
        <w:pStyle w:val="ListParagraph"/>
        <w:numPr>
          <w:ilvl w:val="0"/>
          <w:numId w:val="3"/>
        </w:num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Compliance Index of LGU-Malita on Disaster Preparedness in terms of Institutionalizing Policies and Plans </w:t>
      </w:r>
    </w:p>
    <w:p w14:paraId="6BB5FF94"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401ABC5D"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terms of Institutionalizing Policies and Plans, as shown in Table 2, the local government of Malita has complied with 11 out of 19 indicators or 57.90% compliance rate. This means that the LGU is “satisfactory” in compliance with Institutionalizing Poli</w:t>
      </w:r>
      <w:r>
        <w:rPr>
          <w:rFonts w:ascii="Times New Roman" w:eastAsia="Times New Roman" w:hAnsi="Times New Roman" w:cs="Times New Roman"/>
          <w:color w:val="000000"/>
          <w:sz w:val="20"/>
          <w:szCs w:val="20"/>
        </w:rPr>
        <w:t>cies and Plans related to disaster preparedness. The component “Institutionalizing Policies and Plans” is composed of 4 major indicators, viz. Formulated a Contingency Plan, Institutionalized Preemptive and Forced Evacuation, Forge Memorandum of Agreement,</w:t>
      </w:r>
      <w:r>
        <w:rPr>
          <w:rFonts w:ascii="Times New Roman" w:eastAsia="Times New Roman" w:hAnsi="Times New Roman" w:cs="Times New Roman"/>
          <w:color w:val="000000"/>
          <w:sz w:val="20"/>
          <w:szCs w:val="20"/>
        </w:rPr>
        <w:t xml:space="preserve"> and Establish Partnership with other LGUs. </w:t>
      </w:r>
    </w:p>
    <w:p w14:paraId="5CB90F54"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428DF7A9"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 regards to the indicator “Formulated a Contingency Plan”, the LGU has scored 4 out of 8 or 50% compliance rate. This component was assessed based on the integration of 1) Activation scheme on Early Warning</w:t>
      </w:r>
      <w:r>
        <w:rPr>
          <w:rFonts w:ascii="Times New Roman" w:eastAsia="Times New Roman" w:hAnsi="Times New Roman" w:cs="Times New Roman"/>
          <w:color w:val="000000"/>
          <w:sz w:val="20"/>
          <w:szCs w:val="20"/>
        </w:rPr>
        <w:t xml:space="preserve"> System (EWS), 2) Activation system on pre-designated evacuation centers, 3) Evacuation route/map system, 4) Search and Rescue procedures, 5) Emergency Response procedures, 6) Methods on medical and counseling services, 7) System on distribution of relief </w:t>
      </w:r>
      <w:r>
        <w:rPr>
          <w:rFonts w:ascii="Times New Roman" w:eastAsia="Times New Roman" w:hAnsi="Times New Roman" w:cs="Times New Roman"/>
          <w:color w:val="000000"/>
          <w:sz w:val="20"/>
          <w:szCs w:val="20"/>
        </w:rPr>
        <w:t>goods, and 8) Evacuation center management system, in the DRRM Contingency Plan.</w:t>
      </w:r>
    </w:p>
    <w:p w14:paraId="5B62E8AF"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7C8556B0"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Moreover, the local government of Malita has an existing Preemptive and Forced Evacuation policy. With regards to this area, the LGU scored 1 out of 1 or 100% compliance </w:t>
      </w:r>
      <w:r>
        <w:rPr>
          <w:rFonts w:ascii="Times New Roman" w:eastAsia="Times New Roman" w:hAnsi="Times New Roman" w:cs="Times New Roman"/>
          <w:color w:val="000000"/>
          <w:sz w:val="20"/>
          <w:szCs w:val="20"/>
        </w:rPr>
        <w:t>rate.</w:t>
      </w:r>
    </w:p>
    <w:p w14:paraId="225BAB54"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31C88611"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indicator “Forge Memorandum of Agreement (MOA)” was evaluated based on the existence of MOA with 1) Supermarkets, 2) Pharmacies, 3) Hospitals, 4) Volunteer groups/Transportation groups, 5) Telecommunications company, 6) Local construction compan</w:t>
      </w:r>
      <w:r>
        <w:rPr>
          <w:rFonts w:ascii="Times New Roman" w:eastAsia="Times New Roman" w:hAnsi="Times New Roman" w:cs="Times New Roman"/>
          <w:color w:val="000000"/>
          <w:sz w:val="20"/>
          <w:szCs w:val="20"/>
        </w:rPr>
        <w:t>ies, 7) Humanitarian organizations, 8) Faith-based organizations, 9) Funeral parlors. In this area, the LGU has forged MOA with 6 out of 9 specified establishments or 66.67% compliance rate.</w:t>
      </w:r>
    </w:p>
    <w:p w14:paraId="74CBF7C4"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4FECFFE1"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Finally, LGU-Malita does not have an established partnership wit</w:t>
      </w:r>
      <w:r>
        <w:rPr>
          <w:rFonts w:ascii="Times New Roman" w:eastAsia="Times New Roman" w:hAnsi="Times New Roman" w:cs="Times New Roman"/>
          <w:color w:val="000000"/>
          <w:sz w:val="20"/>
          <w:szCs w:val="20"/>
        </w:rPr>
        <w:t>h other LGUs for DRRM and emergency response initiatives. With this, the LGU scored 0 out of 1 or zero compliance.</w:t>
      </w:r>
    </w:p>
    <w:p w14:paraId="5221474F"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61B9831B"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24E781BF"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6069352E"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3F2A19C6"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4D2BA8A1"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511AA157"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05AC62FF" w14:textId="77777777" w:rsidR="00804A73" w:rsidRDefault="00804A73">
      <w:pPr>
        <w:spacing w:after="0" w:line="300" w:lineRule="auto"/>
        <w:jc w:val="both"/>
        <w:rPr>
          <w:rFonts w:ascii="Times New Roman" w:eastAsia="Times New Roman" w:hAnsi="Times New Roman" w:cs="Times New Roman"/>
          <w:b/>
          <w:color w:val="000000"/>
          <w:sz w:val="20"/>
          <w:szCs w:val="20"/>
        </w:rPr>
      </w:pPr>
    </w:p>
    <w:tbl>
      <w:tblPr>
        <w:tblW w:w="10180" w:type="dxa"/>
        <w:tblLayout w:type="fixed"/>
        <w:tblLook w:val="04A0" w:firstRow="1" w:lastRow="0" w:firstColumn="1" w:lastColumn="0" w:noHBand="0" w:noVBand="1"/>
      </w:tblPr>
      <w:tblGrid>
        <w:gridCol w:w="416"/>
        <w:gridCol w:w="7841"/>
        <w:gridCol w:w="1923"/>
      </w:tblGrid>
      <w:tr w:rsidR="00804A73" w14:paraId="61C880AA" w14:textId="77777777">
        <w:trPr>
          <w:trHeight w:val="324"/>
        </w:trPr>
        <w:tc>
          <w:tcPr>
            <w:tcW w:w="10180" w:type="dxa"/>
            <w:gridSpan w:val="3"/>
            <w:tcBorders>
              <w:top w:val="nil"/>
              <w:left w:val="nil"/>
              <w:bottom w:val="single" w:sz="8" w:space="0" w:color="auto"/>
              <w:right w:val="nil"/>
            </w:tcBorders>
            <w:shd w:val="clear" w:color="auto" w:fill="auto"/>
            <w:noWrap/>
            <w:vAlign w:val="center"/>
          </w:tcPr>
          <w:p w14:paraId="415E82B0" w14:textId="77777777" w:rsidR="00804A73" w:rsidRDefault="00541332">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0"/>
                <w:szCs w:val="20"/>
              </w:rPr>
              <w:lastRenderedPageBreak/>
              <w:t>Table 2: Early Preparedness Index of LGU-Malita to Reduce Disaster Risk in Terms of Institutionalizing Policies and Plans</w:t>
            </w:r>
          </w:p>
        </w:tc>
      </w:tr>
      <w:tr w:rsidR="00804A73" w14:paraId="140098A2"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63FCD4B8" w14:textId="77777777" w:rsidR="00804A73" w:rsidRDefault="005413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841" w:type="dxa"/>
            <w:tcBorders>
              <w:top w:val="nil"/>
              <w:left w:val="nil"/>
              <w:bottom w:val="single" w:sz="8" w:space="0" w:color="auto"/>
              <w:right w:val="single" w:sz="8" w:space="0" w:color="auto"/>
            </w:tcBorders>
            <w:shd w:val="clear" w:color="auto" w:fill="auto"/>
            <w:noWrap/>
            <w:vAlign w:val="center"/>
          </w:tcPr>
          <w:p w14:paraId="75798450"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INDICATO</w:t>
            </w:r>
            <w:r>
              <w:rPr>
                <w:rFonts w:ascii="Times New Roman" w:eastAsia="Times New Roman" w:hAnsi="Times New Roman" w:cs="Times New Roman"/>
                <w:b/>
                <w:bCs/>
                <w:color w:val="000000"/>
                <w:sz w:val="20"/>
                <w:szCs w:val="20"/>
              </w:rPr>
              <w:t>RS</w:t>
            </w:r>
          </w:p>
        </w:tc>
        <w:tc>
          <w:tcPr>
            <w:tcW w:w="1923" w:type="dxa"/>
            <w:tcBorders>
              <w:top w:val="nil"/>
              <w:left w:val="nil"/>
              <w:bottom w:val="single" w:sz="8" w:space="0" w:color="auto"/>
              <w:right w:val="single" w:sz="8" w:space="0" w:color="auto"/>
            </w:tcBorders>
            <w:shd w:val="clear" w:color="auto" w:fill="auto"/>
            <w:noWrap/>
            <w:vAlign w:val="center"/>
          </w:tcPr>
          <w:p w14:paraId="51D5D95D"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COMPLIANCE</w:t>
            </w:r>
          </w:p>
        </w:tc>
      </w:tr>
      <w:tr w:rsidR="00804A73" w14:paraId="4667C1AD"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75EC3C24" w14:textId="77777777" w:rsidR="00804A73" w:rsidRDefault="0054133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7841" w:type="dxa"/>
            <w:tcBorders>
              <w:top w:val="nil"/>
              <w:left w:val="nil"/>
              <w:bottom w:val="single" w:sz="8" w:space="0" w:color="auto"/>
              <w:right w:val="single" w:sz="8" w:space="0" w:color="auto"/>
            </w:tcBorders>
            <w:shd w:val="clear" w:color="auto" w:fill="auto"/>
            <w:noWrap/>
            <w:vAlign w:val="center"/>
          </w:tcPr>
          <w:p w14:paraId="02CC2140" w14:textId="77777777" w:rsidR="00804A73" w:rsidRDefault="00541332">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Formulated a Contingency Plan with:</w:t>
            </w:r>
          </w:p>
        </w:tc>
        <w:tc>
          <w:tcPr>
            <w:tcW w:w="1923" w:type="dxa"/>
            <w:tcBorders>
              <w:top w:val="nil"/>
              <w:left w:val="nil"/>
              <w:bottom w:val="single" w:sz="8" w:space="0" w:color="auto"/>
              <w:right w:val="single" w:sz="8" w:space="0" w:color="auto"/>
            </w:tcBorders>
            <w:shd w:val="clear" w:color="auto" w:fill="auto"/>
            <w:noWrap/>
            <w:vAlign w:val="center"/>
          </w:tcPr>
          <w:p w14:paraId="6C244494"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r w:rsidR="00804A73" w14:paraId="31147895"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157DE796"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841" w:type="dxa"/>
            <w:tcBorders>
              <w:top w:val="nil"/>
              <w:left w:val="nil"/>
              <w:bottom w:val="single" w:sz="8" w:space="0" w:color="auto"/>
              <w:right w:val="single" w:sz="8" w:space="0" w:color="auto"/>
            </w:tcBorders>
            <w:shd w:val="clear" w:color="auto" w:fill="auto"/>
            <w:noWrap/>
            <w:vAlign w:val="center"/>
          </w:tcPr>
          <w:p w14:paraId="1A2A21E3"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Activation scheme on EWS</w:t>
            </w:r>
          </w:p>
        </w:tc>
        <w:tc>
          <w:tcPr>
            <w:tcW w:w="1923" w:type="dxa"/>
            <w:tcBorders>
              <w:top w:val="nil"/>
              <w:left w:val="nil"/>
              <w:bottom w:val="single" w:sz="8" w:space="0" w:color="auto"/>
              <w:right w:val="single" w:sz="8" w:space="0" w:color="auto"/>
            </w:tcBorders>
            <w:shd w:val="clear" w:color="auto" w:fill="auto"/>
            <w:noWrap/>
            <w:vAlign w:val="center"/>
          </w:tcPr>
          <w:p w14:paraId="5D62C460"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0 </w:t>
            </w:r>
          </w:p>
        </w:tc>
      </w:tr>
      <w:tr w:rsidR="00804A73" w14:paraId="3DBC0A96"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7962C092"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841" w:type="dxa"/>
            <w:tcBorders>
              <w:top w:val="nil"/>
              <w:left w:val="nil"/>
              <w:bottom w:val="single" w:sz="8" w:space="0" w:color="auto"/>
              <w:right w:val="single" w:sz="8" w:space="0" w:color="auto"/>
            </w:tcBorders>
            <w:shd w:val="clear" w:color="auto" w:fill="auto"/>
            <w:noWrap/>
            <w:vAlign w:val="center"/>
          </w:tcPr>
          <w:p w14:paraId="5C829613"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Activation system on pre-designated evacuation centers</w:t>
            </w:r>
          </w:p>
        </w:tc>
        <w:tc>
          <w:tcPr>
            <w:tcW w:w="1923" w:type="dxa"/>
            <w:tcBorders>
              <w:top w:val="nil"/>
              <w:left w:val="nil"/>
              <w:bottom w:val="single" w:sz="8" w:space="0" w:color="auto"/>
              <w:right w:val="single" w:sz="8" w:space="0" w:color="auto"/>
            </w:tcBorders>
            <w:shd w:val="clear" w:color="auto" w:fill="auto"/>
            <w:noWrap/>
            <w:vAlign w:val="center"/>
          </w:tcPr>
          <w:p w14:paraId="18C44C9E"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7285D62C"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71EEF761"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841" w:type="dxa"/>
            <w:tcBorders>
              <w:top w:val="nil"/>
              <w:left w:val="nil"/>
              <w:bottom w:val="single" w:sz="8" w:space="0" w:color="auto"/>
              <w:right w:val="single" w:sz="8" w:space="0" w:color="auto"/>
            </w:tcBorders>
            <w:shd w:val="clear" w:color="auto" w:fill="auto"/>
            <w:noWrap/>
            <w:vAlign w:val="center"/>
          </w:tcPr>
          <w:p w14:paraId="77952ABD"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Evacuation route/map system</w:t>
            </w:r>
          </w:p>
        </w:tc>
        <w:tc>
          <w:tcPr>
            <w:tcW w:w="1923" w:type="dxa"/>
            <w:tcBorders>
              <w:top w:val="nil"/>
              <w:left w:val="nil"/>
              <w:bottom w:val="single" w:sz="8" w:space="0" w:color="auto"/>
              <w:right w:val="single" w:sz="8" w:space="0" w:color="auto"/>
            </w:tcBorders>
            <w:shd w:val="clear" w:color="auto" w:fill="auto"/>
            <w:noWrap/>
            <w:vAlign w:val="center"/>
          </w:tcPr>
          <w:p w14:paraId="30958115"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r>
      <w:tr w:rsidR="00804A73" w14:paraId="3617BD74"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13764422"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841" w:type="dxa"/>
            <w:tcBorders>
              <w:top w:val="nil"/>
              <w:left w:val="nil"/>
              <w:bottom w:val="single" w:sz="8" w:space="0" w:color="auto"/>
              <w:right w:val="single" w:sz="8" w:space="0" w:color="auto"/>
            </w:tcBorders>
            <w:shd w:val="clear" w:color="auto" w:fill="auto"/>
            <w:noWrap/>
            <w:vAlign w:val="center"/>
          </w:tcPr>
          <w:p w14:paraId="3B20806D"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Search and Rescue procedures</w:t>
            </w:r>
          </w:p>
        </w:tc>
        <w:tc>
          <w:tcPr>
            <w:tcW w:w="1923" w:type="dxa"/>
            <w:tcBorders>
              <w:top w:val="nil"/>
              <w:left w:val="nil"/>
              <w:bottom w:val="single" w:sz="8" w:space="0" w:color="auto"/>
              <w:right w:val="single" w:sz="8" w:space="0" w:color="auto"/>
            </w:tcBorders>
            <w:shd w:val="clear" w:color="auto" w:fill="auto"/>
            <w:noWrap/>
            <w:vAlign w:val="center"/>
          </w:tcPr>
          <w:p w14:paraId="68EBB8A7"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0BA5C556"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47CBDC5D"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7841" w:type="dxa"/>
            <w:tcBorders>
              <w:top w:val="nil"/>
              <w:left w:val="nil"/>
              <w:bottom w:val="single" w:sz="8" w:space="0" w:color="auto"/>
              <w:right w:val="single" w:sz="8" w:space="0" w:color="auto"/>
            </w:tcBorders>
            <w:shd w:val="clear" w:color="auto" w:fill="auto"/>
            <w:noWrap/>
            <w:vAlign w:val="center"/>
          </w:tcPr>
          <w:p w14:paraId="72D1B1BA"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Emergency Response procedures</w:t>
            </w:r>
          </w:p>
        </w:tc>
        <w:tc>
          <w:tcPr>
            <w:tcW w:w="1923" w:type="dxa"/>
            <w:tcBorders>
              <w:top w:val="nil"/>
              <w:left w:val="nil"/>
              <w:bottom w:val="single" w:sz="8" w:space="0" w:color="auto"/>
              <w:right w:val="single" w:sz="8" w:space="0" w:color="auto"/>
            </w:tcBorders>
            <w:shd w:val="clear" w:color="auto" w:fill="auto"/>
            <w:noWrap/>
            <w:vAlign w:val="center"/>
          </w:tcPr>
          <w:p w14:paraId="719C1385"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325C7B86"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71903CFF"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7841" w:type="dxa"/>
            <w:tcBorders>
              <w:top w:val="nil"/>
              <w:left w:val="nil"/>
              <w:bottom w:val="single" w:sz="8" w:space="0" w:color="auto"/>
              <w:right w:val="single" w:sz="8" w:space="0" w:color="auto"/>
            </w:tcBorders>
            <w:shd w:val="clear" w:color="auto" w:fill="auto"/>
            <w:noWrap/>
            <w:vAlign w:val="center"/>
          </w:tcPr>
          <w:p w14:paraId="4580EAC9"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Methods on medical and counseling service</w:t>
            </w:r>
          </w:p>
        </w:tc>
        <w:tc>
          <w:tcPr>
            <w:tcW w:w="1923" w:type="dxa"/>
            <w:tcBorders>
              <w:top w:val="nil"/>
              <w:left w:val="nil"/>
              <w:bottom w:val="single" w:sz="8" w:space="0" w:color="auto"/>
              <w:right w:val="single" w:sz="8" w:space="0" w:color="auto"/>
            </w:tcBorders>
            <w:shd w:val="clear" w:color="auto" w:fill="auto"/>
            <w:noWrap/>
            <w:vAlign w:val="center"/>
          </w:tcPr>
          <w:p w14:paraId="7DBC0D70"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r>
      <w:tr w:rsidR="00804A73" w14:paraId="57CE33F4" w14:textId="77777777">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tcPr>
          <w:p w14:paraId="20FB84A5"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7841" w:type="dxa"/>
            <w:tcBorders>
              <w:top w:val="nil"/>
              <w:left w:val="nil"/>
              <w:bottom w:val="single" w:sz="8" w:space="0" w:color="auto"/>
              <w:right w:val="single" w:sz="8" w:space="0" w:color="auto"/>
            </w:tcBorders>
            <w:shd w:val="clear" w:color="auto" w:fill="auto"/>
            <w:noWrap/>
            <w:vAlign w:val="center"/>
          </w:tcPr>
          <w:p w14:paraId="6C1C73EC"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 on distribution of relief goods</w:t>
            </w:r>
          </w:p>
        </w:tc>
        <w:tc>
          <w:tcPr>
            <w:tcW w:w="1923" w:type="dxa"/>
            <w:tcBorders>
              <w:top w:val="nil"/>
              <w:left w:val="nil"/>
              <w:bottom w:val="single" w:sz="8" w:space="0" w:color="auto"/>
              <w:right w:val="single" w:sz="8" w:space="0" w:color="auto"/>
            </w:tcBorders>
            <w:shd w:val="clear" w:color="auto" w:fill="auto"/>
            <w:noWrap/>
            <w:vAlign w:val="center"/>
          </w:tcPr>
          <w:p w14:paraId="1A98179A"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r>
      <w:tr w:rsidR="00804A73" w14:paraId="71FCB936" w14:textId="77777777">
        <w:trPr>
          <w:trHeight w:val="324"/>
        </w:trPr>
        <w:tc>
          <w:tcPr>
            <w:tcW w:w="416" w:type="dxa"/>
            <w:tcBorders>
              <w:top w:val="nil"/>
              <w:left w:val="single" w:sz="8" w:space="0" w:color="auto"/>
              <w:bottom w:val="single" w:sz="4" w:space="0" w:color="auto"/>
              <w:right w:val="single" w:sz="8" w:space="0" w:color="auto"/>
            </w:tcBorders>
            <w:shd w:val="clear" w:color="auto" w:fill="auto"/>
            <w:noWrap/>
            <w:vAlign w:val="center"/>
          </w:tcPr>
          <w:p w14:paraId="1CABFCA5"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7841" w:type="dxa"/>
            <w:tcBorders>
              <w:top w:val="nil"/>
              <w:left w:val="nil"/>
              <w:bottom w:val="single" w:sz="4" w:space="0" w:color="auto"/>
              <w:right w:val="single" w:sz="8" w:space="0" w:color="auto"/>
            </w:tcBorders>
            <w:shd w:val="clear" w:color="auto" w:fill="auto"/>
            <w:noWrap/>
            <w:vAlign w:val="center"/>
          </w:tcPr>
          <w:p w14:paraId="0D081A17"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Evacuation center management system</w:t>
            </w:r>
          </w:p>
        </w:tc>
        <w:tc>
          <w:tcPr>
            <w:tcW w:w="1923" w:type="dxa"/>
            <w:tcBorders>
              <w:top w:val="nil"/>
              <w:left w:val="nil"/>
              <w:bottom w:val="single" w:sz="4" w:space="0" w:color="auto"/>
              <w:right w:val="single" w:sz="8" w:space="0" w:color="auto"/>
            </w:tcBorders>
            <w:shd w:val="clear" w:color="auto" w:fill="auto"/>
            <w:noWrap/>
            <w:vAlign w:val="center"/>
          </w:tcPr>
          <w:p w14:paraId="0ADD9729"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642F9709" w14:textId="77777777">
        <w:trPr>
          <w:trHeight w:val="324"/>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5A4B1A"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784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DFFC8F0"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Institutionalized Preemptive and Forced Evacuation</w:t>
            </w:r>
          </w:p>
        </w:tc>
        <w:tc>
          <w:tcPr>
            <w:tcW w:w="1923" w:type="dxa"/>
            <w:tcBorders>
              <w:top w:val="single" w:sz="4" w:space="0" w:color="auto"/>
              <w:left w:val="nil"/>
              <w:bottom w:val="single" w:sz="4" w:space="0" w:color="auto"/>
              <w:right w:val="single" w:sz="4" w:space="0" w:color="auto"/>
            </w:tcBorders>
            <w:shd w:val="clear" w:color="auto" w:fill="auto"/>
            <w:noWrap/>
            <w:vAlign w:val="center"/>
          </w:tcPr>
          <w:p w14:paraId="48CC6445"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1EA4BF67"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0C22AA9"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03EB4893"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Supermarkets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744BE533"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5FD6A59B"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14F9F38"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569C0826"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Pharmacies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3AF18DB8"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29FA2434"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9C1C60"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27F96C63"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Hospitals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26BFDFD1"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024EB9C4"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C4B991B"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7B3DA62D"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Volunteer groups/Transportation groups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071D18D8"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08E44BDE"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1393686"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2AED6D81"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Telecommunications company</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718EA888"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r>
      <w:tr w:rsidR="00804A73" w14:paraId="29F6EDF9" w14:textId="77777777">
        <w:trPr>
          <w:trHeight w:val="327"/>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93F2AD6"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475B2D82"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Local construction companies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0FED9EEF"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r>
      <w:tr w:rsidR="00804A73" w14:paraId="2817D742"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1143750"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7F9AA0F8"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Humanitarian organizations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6A1E510A"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r>
      <w:tr w:rsidR="00804A73" w14:paraId="1CF47924"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5A9C4A9"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4CEA5E63"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Faith-based organizations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5633D162"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2CCEC13D"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69D81A11"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226CDCAA"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Funeral parlors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455A1B1B"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3111EA37" w14:textId="77777777">
        <w:trPr>
          <w:trHeight w:val="324"/>
        </w:trPr>
        <w:tc>
          <w:tcPr>
            <w:tcW w:w="416"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D80041"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7841" w:type="dxa"/>
            <w:tcBorders>
              <w:top w:val="single" w:sz="4" w:space="0" w:color="auto"/>
              <w:left w:val="nil"/>
              <w:bottom w:val="single" w:sz="4" w:space="0" w:color="auto"/>
              <w:right w:val="single" w:sz="8" w:space="0" w:color="auto"/>
            </w:tcBorders>
            <w:shd w:val="clear" w:color="auto" w:fill="auto"/>
            <w:noWrap/>
            <w:vAlign w:val="center"/>
          </w:tcPr>
          <w:p w14:paraId="038E6ED8"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Establish partnership with other LGUs for DRRM and</w:t>
            </w:r>
            <w:r>
              <w:rPr>
                <w:rFonts w:ascii="Times New Roman" w:eastAsia="Times New Roman" w:hAnsi="Times New Roman" w:cs="Times New Roman"/>
                <w:color w:val="000000"/>
                <w:sz w:val="20"/>
                <w:szCs w:val="20"/>
              </w:rPr>
              <w:t xml:space="preserve"> Emergency Response initiatives</w:t>
            </w:r>
          </w:p>
        </w:tc>
        <w:tc>
          <w:tcPr>
            <w:tcW w:w="1923" w:type="dxa"/>
            <w:tcBorders>
              <w:top w:val="single" w:sz="4" w:space="0" w:color="auto"/>
              <w:left w:val="nil"/>
              <w:bottom w:val="single" w:sz="4" w:space="0" w:color="auto"/>
              <w:right w:val="single" w:sz="8" w:space="0" w:color="auto"/>
            </w:tcBorders>
            <w:shd w:val="clear" w:color="auto" w:fill="auto"/>
            <w:noWrap/>
            <w:vAlign w:val="center"/>
          </w:tcPr>
          <w:p w14:paraId="0A3F14E9"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w:t>
            </w:r>
          </w:p>
        </w:tc>
      </w:tr>
      <w:tr w:rsidR="00804A73" w14:paraId="69233EDB" w14:textId="77777777">
        <w:trPr>
          <w:trHeight w:val="324"/>
        </w:trPr>
        <w:tc>
          <w:tcPr>
            <w:tcW w:w="41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75302F8" w14:textId="77777777" w:rsidR="00804A73" w:rsidRDefault="00804A73">
            <w:pPr>
              <w:spacing w:after="0" w:line="240" w:lineRule="auto"/>
              <w:jc w:val="center"/>
              <w:rPr>
                <w:rFonts w:ascii="Times New Roman" w:eastAsia="Times New Roman" w:hAnsi="Times New Roman" w:cs="Times New Roman"/>
                <w:color w:val="000000"/>
                <w:sz w:val="20"/>
                <w:szCs w:val="20"/>
              </w:rPr>
            </w:pPr>
          </w:p>
        </w:tc>
        <w:tc>
          <w:tcPr>
            <w:tcW w:w="7841" w:type="dxa"/>
            <w:tcBorders>
              <w:top w:val="single" w:sz="4" w:space="0" w:color="auto"/>
              <w:left w:val="nil"/>
              <w:bottom w:val="single" w:sz="8" w:space="0" w:color="auto"/>
              <w:right w:val="single" w:sz="8" w:space="0" w:color="auto"/>
            </w:tcBorders>
            <w:shd w:val="clear" w:color="auto" w:fill="auto"/>
            <w:noWrap/>
            <w:vAlign w:val="center"/>
          </w:tcPr>
          <w:p w14:paraId="66A5A667"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TOTAL</w:t>
            </w:r>
          </w:p>
        </w:tc>
        <w:tc>
          <w:tcPr>
            <w:tcW w:w="1923" w:type="dxa"/>
            <w:tcBorders>
              <w:top w:val="single" w:sz="4" w:space="0" w:color="auto"/>
              <w:left w:val="nil"/>
              <w:bottom w:val="single" w:sz="8" w:space="0" w:color="auto"/>
              <w:right w:val="single" w:sz="8" w:space="0" w:color="auto"/>
            </w:tcBorders>
            <w:shd w:val="clear" w:color="auto" w:fill="auto"/>
            <w:noWrap/>
            <w:vAlign w:val="center"/>
          </w:tcPr>
          <w:p w14:paraId="7BEDB41A"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11/19</w:t>
            </w:r>
          </w:p>
        </w:tc>
      </w:tr>
    </w:tbl>
    <w:p w14:paraId="082F49AE"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192A3DD4" w14:textId="77777777" w:rsidR="00804A73" w:rsidRDefault="00541332">
      <w:pPr>
        <w:pStyle w:val="ListParagraph"/>
        <w:numPr>
          <w:ilvl w:val="0"/>
          <w:numId w:val="3"/>
        </w:num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Compliance Index of LGU-Malita on Disaster Preparedness in terms of Building Competencies</w:t>
      </w:r>
    </w:p>
    <w:p w14:paraId="0492A88A" w14:textId="77777777" w:rsidR="00804A73" w:rsidRDefault="00804A73">
      <w:pPr>
        <w:spacing w:after="0" w:line="300" w:lineRule="auto"/>
        <w:ind w:left="360"/>
        <w:jc w:val="both"/>
        <w:rPr>
          <w:rFonts w:ascii="Times New Roman" w:eastAsia="Times New Roman" w:hAnsi="Times New Roman" w:cs="Times New Roman"/>
          <w:b/>
          <w:bCs/>
          <w:color w:val="000000"/>
          <w:sz w:val="20"/>
          <w:szCs w:val="20"/>
        </w:rPr>
      </w:pPr>
    </w:p>
    <w:p w14:paraId="0958644B"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demonstrated in Table 3, the LGU-Malita has met one of two indicators in establishing competencies, with a </w:t>
      </w:r>
      <w:r>
        <w:rPr>
          <w:rFonts w:ascii="Times New Roman" w:eastAsia="Times New Roman" w:hAnsi="Times New Roman" w:cs="Times New Roman"/>
          <w:color w:val="000000"/>
          <w:sz w:val="20"/>
          <w:szCs w:val="20"/>
        </w:rPr>
        <w:t>compliance rate of 50%. This signifies that the LGU has "satisfactory compliance" in developing disaster preparedness competencies among the populations it serves. The component "Building Competencies" has two (2) primary indicators: (1) CBDRRM training fa</w:t>
      </w:r>
      <w:r>
        <w:rPr>
          <w:rFonts w:ascii="Times New Roman" w:eastAsia="Times New Roman" w:hAnsi="Times New Roman" w:cs="Times New Roman"/>
          <w:color w:val="000000"/>
          <w:sz w:val="20"/>
          <w:szCs w:val="20"/>
        </w:rPr>
        <w:t>cilitation to all Barangays, and (2) deployment of critical information on various hazards and relative actions to be undertaken for every family. In this area, only the facilitation of CBDRRM Training has been complied by the LGU of the two indicators.</w:t>
      </w:r>
    </w:p>
    <w:p w14:paraId="1F0C4087" w14:textId="77777777" w:rsidR="00804A73" w:rsidRDefault="00804A73">
      <w:pPr>
        <w:spacing w:after="0" w:line="300" w:lineRule="auto"/>
        <w:jc w:val="both"/>
        <w:rPr>
          <w:rFonts w:ascii="Times New Roman" w:eastAsia="Times New Roman" w:hAnsi="Times New Roman" w:cs="Times New Roman"/>
          <w:b/>
          <w:color w:val="000000"/>
          <w:sz w:val="20"/>
          <w:szCs w:val="20"/>
        </w:rPr>
      </w:pPr>
    </w:p>
    <w:tbl>
      <w:tblPr>
        <w:tblW w:w="10166" w:type="dxa"/>
        <w:tblLayout w:type="fixed"/>
        <w:tblLook w:val="04A0" w:firstRow="1" w:lastRow="0" w:firstColumn="1" w:lastColumn="0" w:noHBand="0" w:noVBand="1"/>
      </w:tblPr>
      <w:tblGrid>
        <w:gridCol w:w="707"/>
        <w:gridCol w:w="7536"/>
        <w:gridCol w:w="1923"/>
      </w:tblGrid>
      <w:tr w:rsidR="00804A73" w14:paraId="08D2ED41" w14:textId="77777777">
        <w:trPr>
          <w:trHeight w:val="324"/>
        </w:trPr>
        <w:tc>
          <w:tcPr>
            <w:tcW w:w="10166" w:type="dxa"/>
            <w:gridSpan w:val="3"/>
            <w:tcBorders>
              <w:top w:val="nil"/>
              <w:left w:val="nil"/>
              <w:bottom w:val="single" w:sz="8" w:space="0" w:color="auto"/>
              <w:right w:val="nil"/>
            </w:tcBorders>
            <w:shd w:val="clear" w:color="auto" w:fill="auto"/>
            <w:noWrap/>
            <w:vAlign w:val="bottom"/>
          </w:tcPr>
          <w:p w14:paraId="3414461F"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w:t>
            </w:r>
            <w:r>
              <w:rPr>
                <w:rFonts w:ascii="Times New Roman" w:eastAsia="Times New Roman" w:hAnsi="Times New Roman" w:cs="Times New Roman"/>
                <w:b/>
                <w:bCs/>
                <w:color w:val="000000"/>
                <w:sz w:val="20"/>
                <w:szCs w:val="20"/>
              </w:rPr>
              <w:t>able 3: Early Preparedness Index of LGU-Malita to Reduce Disaster Risk in Terms of Building Competencies</w:t>
            </w:r>
          </w:p>
        </w:tc>
      </w:tr>
      <w:tr w:rsidR="00804A73" w14:paraId="5F6F05A9" w14:textId="77777777">
        <w:trPr>
          <w:trHeight w:val="324"/>
        </w:trPr>
        <w:tc>
          <w:tcPr>
            <w:tcW w:w="707" w:type="dxa"/>
            <w:tcBorders>
              <w:top w:val="nil"/>
              <w:left w:val="single" w:sz="8" w:space="0" w:color="auto"/>
              <w:bottom w:val="single" w:sz="8" w:space="0" w:color="auto"/>
              <w:right w:val="single" w:sz="8" w:space="0" w:color="auto"/>
            </w:tcBorders>
            <w:shd w:val="clear" w:color="auto" w:fill="auto"/>
            <w:noWrap/>
            <w:vAlign w:val="center"/>
          </w:tcPr>
          <w:p w14:paraId="1EE48FDC"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536" w:type="dxa"/>
            <w:tcBorders>
              <w:top w:val="nil"/>
              <w:left w:val="nil"/>
              <w:bottom w:val="single" w:sz="8" w:space="0" w:color="auto"/>
              <w:right w:val="single" w:sz="8" w:space="0" w:color="auto"/>
            </w:tcBorders>
            <w:shd w:val="clear" w:color="auto" w:fill="auto"/>
            <w:noWrap/>
            <w:vAlign w:val="center"/>
          </w:tcPr>
          <w:p w14:paraId="416FBC12"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INDICATORS</w:t>
            </w:r>
          </w:p>
        </w:tc>
        <w:tc>
          <w:tcPr>
            <w:tcW w:w="1923" w:type="dxa"/>
            <w:tcBorders>
              <w:top w:val="nil"/>
              <w:left w:val="nil"/>
              <w:bottom w:val="single" w:sz="8" w:space="0" w:color="auto"/>
              <w:right w:val="single" w:sz="8" w:space="0" w:color="auto"/>
            </w:tcBorders>
            <w:shd w:val="clear" w:color="auto" w:fill="auto"/>
            <w:noWrap/>
            <w:vAlign w:val="center"/>
          </w:tcPr>
          <w:p w14:paraId="768ECD83"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COMPLIANCE</w:t>
            </w:r>
          </w:p>
        </w:tc>
      </w:tr>
      <w:tr w:rsidR="00804A73" w14:paraId="3ACFED93" w14:textId="77777777">
        <w:trPr>
          <w:trHeight w:val="324"/>
        </w:trPr>
        <w:tc>
          <w:tcPr>
            <w:tcW w:w="707" w:type="dxa"/>
            <w:tcBorders>
              <w:top w:val="nil"/>
              <w:left w:val="single" w:sz="8" w:space="0" w:color="auto"/>
              <w:bottom w:val="single" w:sz="8" w:space="0" w:color="auto"/>
              <w:right w:val="single" w:sz="8" w:space="0" w:color="auto"/>
            </w:tcBorders>
            <w:shd w:val="clear" w:color="auto" w:fill="auto"/>
            <w:noWrap/>
            <w:vAlign w:val="center"/>
          </w:tcPr>
          <w:p w14:paraId="413913F7"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7536" w:type="dxa"/>
            <w:tcBorders>
              <w:top w:val="nil"/>
              <w:left w:val="nil"/>
              <w:bottom w:val="single" w:sz="8" w:space="0" w:color="auto"/>
              <w:right w:val="single" w:sz="8" w:space="0" w:color="auto"/>
            </w:tcBorders>
            <w:shd w:val="clear" w:color="auto" w:fill="auto"/>
            <w:noWrap/>
            <w:vAlign w:val="center"/>
          </w:tcPr>
          <w:p w14:paraId="45BFAFF7"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CBDRRM Training to all Barangays</w:t>
            </w:r>
          </w:p>
        </w:tc>
        <w:tc>
          <w:tcPr>
            <w:tcW w:w="1923" w:type="dxa"/>
            <w:tcBorders>
              <w:top w:val="nil"/>
              <w:left w:val="nil"/>
              <w:bottom w:val="single" w:sz="8" w:space="0" w:color="auto"/>
              <w:right w:val="single" w:sz="8" w:space="0" w:color="auto"/>
            </w:tcBorders>
            <w:shd w:val="clear" w:color="auto" w:fill="auto"/>
            <w:noWrap/>
            <w:vAlign w:val="center"/>
          </w:tcPr>
          <w:p w14:paraId="65CE6A46"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0BD37008" w14:textId="77777777">
        <w:trPr>
          <w:trHeight w:val="336"/>
        </w:trPr>
        <w:tc>
          <w:tcPr>
            <w:tcW w:w="707" w:type="dxa"/>
            <w:tcBorders>
              <w:top w:val="nil"/>
              <w:left w:val="single" w:sz="8" w:space="0" w:color="auto"/>
              <w:bottom w:val="single" w:sz="8" w:space="0" w:color="auto"/>
              <w:right w:val="single" w:sz="8" w:space="0" w:color="auto"/>
            </w:tcBorders>
            <w:shd w:val="clear" w:color="auto" w:fill="auto"/>
            <w:noWrap/>
            <w:vAlign w:val="center"/>
          </w:tcPr>
          <w:p w14:paraId="55D9FAB1"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536" w:type="dxa"/>
            <w:tcBorders>
              <w:top w:val="nil"/>
              <w:left w:val="nil"/>
              <w:bottom w:val="single" w:sz="8" w:space="0" w:color="auto"/>
              <w:right w:val="single" w:sz="8" w:space="0" w:color="auto"/>
            </w:tcBorders>
            <w:shd w:val="clear" w:color="auto" w:fill="auto"/>
            <w:noWrap/>
            <w:vAlign w:val="center"/>
          </w:tcPr>
          <w:p w14:paraId="26732D6C" w14:textId="77777777" w:rsidR="00804A73" w:rsidRDefault="00541332">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 xml:space="preserve">Important information on different hazards and actions to be undertaken pre, </w:t>
            </w:r>
            <w:r>
              <w:rPr>
                <w:rFonts w:ascii="Times New Roman" w:eastAsia="Times New Roman" w:hAnsi="Times New Roman" w:cs="Times New Roman"/>
                <w:color w:val="000000"/>
                <w:sz w:val="20"/>
                <w:szCs w:val="20"/>
              </w:rPr>
              <w:t>during, and post-calamity is disseminated to every family</w:t>
            </w:r>
          </w:p>
        </w:tc>
        <w:tc>
          <w:tcPr>
            <w:tcW w:w="1923" w:type="dxa"/>
            <w:tcBorders>
              <w:top w:val="nil"/>
              <w:left w:val="nil"/>
              <w:bottom w:val="single" w:sz="8" w:space="0" w:color="auto"/>
              <w:right w:val="single" w:sz="8" w:space="0" w:color="auto"/>
            </w:tcBorders>
            <w:shd w:val="clear" w:color="auto" w:fill="auto"/>
            <w:noWrap/>
            <w:vAlign w:val="center"/>
          </w:tcPr>
          <w:p w14:paraId="2BA248E6"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0 </w:t>
            </w:r>
          </w:p>
        </w:tc>
      </w:tr>
      <w:tr w:rsidR="00804A73" w14:paraId="7868E41A" w14:textId="77777777">
        <w:trPr>
          <w:trHeight w:val="347"/>
        </w:trPr>
        <w:tc>
          <w:tcPr>
            <w:tcW w:w="707" w:type="dxa"/>
            <w:tcBorders>
              <w:top w:val="nil"/>
              <w:left w:val="single" w:sz="8" w:space="0" w:color="auto"/>
              <w:bottom w:val="single" w:sz="8" w:space="0" w:color="auto"/>
              <w:right w:val="single" w:sz="8" w:space="0" w:color="auto"/>
            </w:tcBorders>
            <w:shd w:val="clear" w:color="auto" w:fill="auto"/>
            <w:noWrap/>
            <w:vAlign w:val="center"/>
          </w:tcPr>
          <w:p w14:paraId="497D9987" w14:textId="77777777" w:rsidR="00804A73" w:rsidRDefault="00804A73">
            <w:pPr>
              <w:spacing w:after="0" w:line="240" w:lineRule="auto"/>
              <w:jc w:val="center"/>
              <w:rPr>
                <w:rFonts w:ascii="Times New Roman" w:eastAsia="Times New Roman" w:hAnsi="Times New Roman" w:cs="Times New Roman"/>
                <w:b/>
                <w:bCs/>
                <w:color w:val="000000"/>
                <w:sz w:val="20"/>
                <w:szCs w:val="20"/>
              </w:rPr>
            </w:pPr>
          </w:p>
        </w:tc>
        <w:tc>
          <w:tcPr>
            <w:tcW w:w="7536" w:type="dxa"/>
            <w:tcBorders>
              <w:top w:val="nil"/>
              <w:left w:val="nil"/>
              <w:bottom w:val="single" w:sz="8" w:space="0" w:color="auto"/>
              <w:right w:val="single" w:sz="8" w:space="0" w:color="auto"/>
            </w:tcBorders>
            <w:shd w:val="clear" w:color="auto" w:fill="auto"/>
            <w:vAlign w:val="center"/>
          </w:tcPr>
          <w:p w14:paraId="7277B9D7"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w:t>
            </w:r>
          </w:p>
        </w:tc>
        <w:tc>
          <w:tcPr>
            <w:tcW w:w="1923" w:type="dxa"/>
            <w:tcBorders>
              <w:top w:val="nil"/>
              <w:left w:val="nil"/>
              <w:bottom w:val="single" w:sz="8" w:space="0" w:color="auto"/>
              <w:right w:val="single" w:sz="8" w:space="0" w:color="auto"/>
            </w:tcBorders>
            <w:shd w:val="clear" w:color="auto" w:fill="auto"/>
            <w:noWrap/>
            <w:vAlign w:val="center"/>
          </w:tcPr>
          <w:p w14:paraId="76215939"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1</w:t>
            </w:r>
          </w:p>
        </w:tc>
      </w:tr>
    </w:tbl>
    <w:p w14:paraId="6B03B826"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62E8A920" w14:textId="77777777" w:rsidR="00804A73" w:rsidRDefault="00541332">
      <w:pPr>
        <w:pStyle w:val="ListParagraph"/>
        <w:numPr>
          <w:ilvl w:val="0"/>
          <w:numId w:val="3"/>
        </w:num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Compliance Index of LGU-</w:t>
      </w:r>
      <w:proofErr w:type="spellStart"/>
      <w:r>
        <w:rPr>
          <w:rFonts w:ascii="Times New Roman" w:eastAsia="Times New Roman" w:hAnsi="Times New Roman" w:cs="Times New Roman"/>
          <w:color w:val="000000"/>
          <w:sz w:val="20"/>
          <w:szCs w:val="20"/>
        </w:rPr>
        <w:t>Malita</w:t>
      </w:r>
      <w:proofErr w:type="spellEnd"/>
      <w:r>
        <w:rPr>
          <w:rFonts w:ascii="Times New Roman" w:eastAsia="Times New Roman" w:hAnsi="Times New Roman" w:cs="Times New Roman"/>
          <w:color w:val="000000"/>
          <w:sz w:val="20"/>
          <w:szCs w:val="20"/>
        </w:rPr>
        <w:t xml:space="preserve"> on Disaster Preparedness in terms of Resource Management</w:t>
      </w:r>
    </w:p>
    <w:p w14:paraId="12AD20A6" w14:textId="77777777" w:rsidR="00804A73" w:rsidRDefault="00804A73">
      <w:pPr>
        <w:spacing w:after="0" w:line="300" w:lineRule="auto"/>
        <w:jc w:val="both"/>
        <w:rPr>
          <w:rFonts w:ascii="Times New Roman" w:eastAsia="Times New Roman" w:hAnsi="Times New Roman" w:cs="Times New Roman"/>
          <w:b/>
          <w:bCs/>
          <w:color w:val="000000"/>
          <w:sz w:val="20"/>
          <w:szCs w:val="20"/>
        </w:rPr>
      </w:pPr>
    </w:p>
    <w:p w14:paraId="16CA39A1"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According to Table 4, the LGU-Malita has exhibited compliance with three (3) of its </w:t>
      </w:r>
      <w:r>
        <w:rPr>
          <w:rFonts w:ascii="Times New Roman" w:eastAsia="Times New Roman" w:hAnsi="Times New Roman" w:cs="Times New Roman"/>
          <w:color w:val="000000"/>
          <w:sz w:val="20"/>
          <w:szCs w:val="20"/>
        </w:rPr>
        <w:t>four (4) indicators, or a 75% compliance rate, indicating a "good compliance" rating in terms of resource prepositioning. The assessment made for this category was based on the availability, installation, and maintenance of (1) a stockpile of basic emergen</w:t>
      </w:r>
      <w:r>
        <w:rPr>
          <w:rFonts w:ascii="Times New Roman" w:eastAsia="Times New Roman" w:hAnsi="Times New Roman" w:cs="Times New Roman"/>
          <w:color w:val="000000"/>
          <w:sz w:val="20"/>
          <w:szCs w:val="20"/>
        </w:rPr>
        <w:t xml:space="preserve">cy equipment and supplies, (2) </w:t>
      </w:r>
      <w:r>
        <w:rPr>
          <w:rFonts w:ascii="Times New Roman" w:eastAsia="Times New Roman" w:hAnsi="Times New Roman" w:cs="Times New Roman"/>
          <w:color w:val="000000"/>
          <w:sz w:val="20"/>
          <w:szCs w:val="20"/>
        </w:rPr>
        <w:lastRenderedPageBreak/>
        <w:t>signages in identified hazard zones, (3) water level markers, and (4) rain gauge systems. For this area, the local government of Malita is compliant with the first three indicators.</w:t>
      </w:r>
    </w:p>
    <w:p w14:paraId="6711873D" w14:textId="77777777" w:rsidR="00804A73" w:rsidRDefault="00804A73">
      <w:pPr>
        <w:spacing w:after="0" w:line="300" w:lineRule="auto"/>
        <w:jc w:val="both"/>
        <w:rPr>
          <w:rFonts w:ascii="Times New Roman" w:eastAsia="Times New Roman" w:hAnsi="Times New Roman" w:cs="Times New Roman"/>
          <w:b/>
          <w:color w:val="000000"/>
          <w:sz w:val="20"/>
          <w:szCs w:val="20"/>
        </w:rPr>
      </w:pPr>
    </w:p>
    <w:tbl>
      <w:tblPr>
        <w:tblW w:w="10180" w:type="dxa"/>
        <w:tblLayout w:type="fixed"/>
        <w:tblLook w:val="04A0" w:firstRow="1" w:lastRow="0" w:firstColumn="1" w:lastColumn="0" w:noHBand="0" w:noVBand="1"/>
      </w:tblPr>
      <w:tblGrid>
        <w:gridCol w:w="707"/>
        <w:gridCol w:w="7605"/>
        <w:gridCol w:w="1868"/>
      </w:tblGrid>
      <w:tr w:rsidR="00804A73" w14:paraId="4FACEE52" w14:textId="77777777">
        <w:trPr>
          <w:trHeight w:val="324"/>
        </w:trPr>
        <w:tc>
          <w:tcPr>
            <w:tcW w:w="10180" w:type="dxa"/>
            <w:gridSpan w:val="3"/>
            <w:tcBorders>
              <w:top w:val="nil"/>
              <w:left w:val="nil"/>
              <w:bottom w:val="single" w:sz="8" w:space="0" w:color="auto"/>
              <w:right w:val="nil"/>
            </w:tcBorders>
            <w:shd w:val="clear" w:color="auto" w:fill="auto"/>
            <w:noWrap/>
            <w:vAlign w:val="bottom"/>
          </w:tcPr>
          <w:p w14:paraId="267E2061"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4: Early Preparedness Index of LGU-M</w:t>
            </w:r>
            <w:r>
              <w:rPr>
                <w:rFonts w:ascii="Times New Roman" w:eastAsia="Times New Roman" w:hAnsi="Times New Roman" w:cs="Times New Roman"/>
                <w:b/>
                <w:bCs/>
                <w:color w:val="000000"/>
                <w:sz w:val="20"/>
                <w:szCs w:val="20"/>
              </w:rPr>
              <w:t>alita to Reduce Disaster Risk in Terms of Resource Management</w:t>
            </w:r>
          </w:p>
        </w:tc>
      </w:tr>
      <w:tr w:rsidR="00804A73" w14:paraId="6947D4E3" w14:textId="77777777">
        <w:trPr>
          <w:trHeight w:val="324"/>
        </w:trPr>
        <w:tc>
          <w:tcPr>
            <w:tcW w:w="707" w:type="dxa"/>
            <w:tcBorders>
              <w:top w:val="nil"/>
              <w:left w:val="single" w:sz="8" w:space="0" w:color="auto"/>
              <w:bottom w:val="single" w:sz="8" w:space="0" w:color="auto"/>
              <w:right w:val="single" w:sz="8" w:space="0" w:color="auto"/>
            </w:tcBorders>
            <w:shd w:val="clear" w:color="auto" w:fill="auto"/>
            <w:noWrap/>
            <w:vAlign w:val="center"/>
          </w:tcPr>
          <w:p w14:paraId="383FABC3"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605" w:type="dxa"/>
            <w:tcBorders>
              <w:top w:val="nil"/>
              <w:left w:val="nil"/>
              <w:bottom w:val="single" w:sz="8" w:space="0" w:color="auto"/>
              <w:right w:val="single" w:sz="8" w:space="0" w:color="auto"/>
            </w:tcBorders>
            <w:shd w:val="clear" w:color="auto" w:fill="auto"/>
            <w:noWrap/>
            <w:vAlign w:val="center"/>
          </w:tcPr>
          <w:p w14:paraId="7DAD27DC"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INDICATORS</w:t>
            </w:r>
          </w:p>
        </w:tc>
        <w:tc>
          <w:tcPr>
            <w:tcW w:w="1868" w:type="dxa"/>
            <w:tcBorders>
              <w:top w:val="nil"/>
              <w:left w:val="nil"/>
              <w:bottom w:val="single" w:sz="8" w:space="0" w:color="auto"/>
              <w:right w:val="single" w:sz="8" w:space="0" w:color="auto"/>
            </w:tcBorders>
            <w:shd w:val="clear" w:color="auto" w:fill="auto"/>
            <w:noWrap/>
            <w:vAlign w:val="center"/>
          </w:tcPr>
          <w:p w14:paraId="76DF22D2"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COMPLIANCE</w:t>
            </w:r>
          </w:p>
        </w:tc>
      </w:tr>
      <w:tr w:rsidR="00804A73" w14:paraId="2FCF1594" w14:textId="77777777">
        <w:trPr>
          <w:trHeight w:val="324"/>
        </w:trPr>
        <w:tc>
          <w:tcPr>
            <w:tcW w:w="707" w:type="dxa"/>
            <w:tcBorders>
              <w:top w:val="nil"/>
              <w:left w:val="single" w:sz="8" w:space="0" w:color="auto"/>
              <w:bottom w:val="single" w:sz="8" w:space="0" w:color="auto"/>
              <w:right w:val="single" w:sz="8" w:space="0" w:color="auto"/>
            </w:tcBorders>
            <w:shd w:val="clear" w:color="auto" w:fill="auto"/>
            <w:noWrap/>
            <w:vAlign w:val="center"/>
          </w:tcPr>
          <w:p w14:paraId="03BEF963"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7605" w:type="dxa"/>
            <w:tcBorders>
              <w:top w:val="nil"/>
              <w:left w:val="nil"/>
              <w:bottom w:val="single" w:sz="8" w:space="0" w:color="auto"/>
              <w:right w:val="single" w:sz="8" w:space="0" w:color="auto"/>
            </w:tcBorders>
            <w:shd w:val="clear" w:color="auto" w:fill="auto"/>
            <w:noWrap/>
            <w:vAlign w:val="center"/>
          </w:tcPr>
          <w:p w14:paraId="5071F42D"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Stockpile of basic emergency equipment and supplies</w:t>
            </w:r>
          </w:p>
        </w:tc>
        <w:tc>
          <w:tcPr>
            <w:tcW w:w="1868" w:type="dxa"/>
            <w:tcBorders>
              <w:top w:val="nil"/>
              <w:left w:val="nil"/>
              <w:bottom w:val="single" w:sz="8" w:space="0" w:color="auto"/>
              <w:right w:val="single" w:sz="8" w:space="0" w:color="auto"/>
            </w:tcBorders>
            <w:shd w:val="clear" w:color="auto" w:fill="auto"/>
            <w:noWrap/>
            <w:vAlign w:val="center"/>
          </w:tcPr>
          <w:p w14:paraId="3EB13871"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r>
      <w:tr w:rsidR="00804A73" w14:paraId="044ADC20" w14:textId="77777777">
        <w:trPr>
          <w:trHeight w:val="336"/>
        </w:trPr>
        <w:tc>
          <w:tcPr>
            <w:tcW w:w="707" w:type="dxa"/>
            <w:tcBorders>
              <w:top w:val="nil"/>
              <w:left w:val="single" w:sz="8" w:space="0" w:color="auto"/>
              <w:bottom w:val="single" w:sz="8" w:space="0" w:color="auto"/>
              <w:right w:val="single" w:sz="8" w:space="0" w:color="auto"/>
            </w:tcBorders>
            <w:shd w:val="clear" w:color="auto" w:fill="auto"/>
            <w:noWrap/>
            <w:vAlign w:val="center"/>
          </w:tcPr>
          <w:p w14:paraId="367B9007"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605" w:type="dxa"/>
            <w:tcBorders>
              <w:top w:val="nil"/>
              <w:left w:val="nil"/>
              <w:bottom w:val="single" w:sz="8" w:space="0" w:color="auto"/>
              <w:right w:val="single" w:sz="8" w:space="0" w:color="auto"/>
            </w:tcBorders>
            <w:shd w:val="clear" w:color="auto" w:fill="auto"/>
            <w:noWrap/>
            <w:vAlign w:val="center"/>
          </w:tcPr>
          <w:p w14:paraId="3D513E66" w14:textId="77777777" w:rsidR="00804A73" w:rsidRDefault="00541332">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Installation of signages in identified hazard zones</w:t>
            </w:r>
          </w:p>
        </w:tc>
        <w:tc>
          <w:tcPr>
            <w:tcW w:w="1868" w:type="dxa"/>
            <w:tcBorders>
              <w:top w:val="nil"/>
              <w:left w:val="nil"/>
              <w:bottom w:val="single" w:sz="8" w:space="0" w:color="auto"/>
              <w:right w:val="single" w:sz="8" w:space="0" w:color="auto"/>
            </w:tcBorders>
            <w:shd w:val="clear" w:color="auto" w:fill="auto"/>
            <w:noWrap/>
            <w:vAlign w:val="center"/>
          </w:tcPr>
          <w:p w14:paraId="70D3B16F"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w:t>
            </w:r>
          </w:p>
        </w:tc>
      </w:tr>
      <w:tr w:rsidR="00804A73" w14:paraId="6F874857" w14:textId="77777777">
        <w:trPr>
          <w:trHeight w:val="336"/>
        </w:trPr>
        <w:tc>
          <w:tcPr>
            <w:tcW w:w="707" w:type="dxa"/>
            <w:tcBorders>
              <w:top w:val="nil"/>
              <w:left w:val="single" w:sz="8" w:space="0" w:color="auto"/>
              <w:bottom w:val="single" w:sz="8" w:space="0" w:color="auto"/>
              <w:right w:val="single" w:sz="8" w:space="0" w:color="auto"/>
            </w:tcBorders>
            <w:shd w:val="clear" w:color="auto" w:fill="auto"/>
            <w:noWrap/>
            <w:vAlign w:val="center"/>
          </w:tcPr>
          <w:p w14:paraId="46EB6136"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05" w:type="dxa"/>
            <w:tcBorders>
              <w:top w:val="nil"/>
              <w:left w:val="nil"/>
              <w:bottom w:val="single" w:sz="8" w:space="0" w:color="auto"/>
              <w:right w:val="single" w:sz="8" w:space="0" w:color="auto"/>
            </w:tcBorders>
            <w:shd w:val="clear" w:color="auto" w:fill="auto"/>
            <w:noWrap/>
            <w:vAlign w:val="center"/>
          </w:tcPr>
          <w:p w14:paraId="4EFD2730"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Install and maintain water level markers</w:t>
            </w:r>
          </w:p>
        </w:tc>
        <w:tc>
          <w:tcPr>
            <w:tcW w:w="1868" w:type="dxa"/>
            <w:tcBorders>
              <w:top w:val="nil"/>
              <w:left w:val="nil"/>
              <w:bottom w:val="single" w:sz="8" w:space="0" w:color="auto"/>
              <w:right w:val="single" w:sz="8" w:space="0" w:color="auto"/>
            </w:tcBorders>
            <w:shd w:val="clear" w:color="auto" w:fill="auto"/>
            <w:noWrap/>
            <w:vAlign w:val="center"/>
          </w:tcPr>
          <w:p w14:paraId="60D53CB8"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w:t>
            </w:r>
          </w:p>
        </w:tc>
      </w:tr>
      <w:tr w:rsidR="00804A73" w14:paraId="427E3CBB" w14:textId="77777777">
        <w:trPr>
          <w:trHeight w:val="336"/>
        </w:trPr>
        <w:tc>
          <w:tcPr>
            <w:tcW w:w="707" w:type="dxa"/>
            <w:tcBorders>
              <w:top w:val="nil"/>
              <w:left w:val="single" w:sz="8" w:space="0" w:color="auto"/>
              <w:bottom w:val="single" w:sz="8" w:space="0" w:color="auto"/>
              <w:right w:val="single" w:sz="8" w:space="0" w:color="auto"/>
            </w:tcBorders>
            <w:shd w:val="clear" w:color="auto" w:fill="auto"/>
            <w:noWrap/>
            <w:vAlign w:val="center"/>
          </w:tcPr>
          <w:p w14:paraId="33EF2838"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05" w:type="dxa"/>
            <w:tcBorders>
              <w:top w:val="nil"/>
              <w:left w:val="nil"/>
              <w:bottom w:val="single" w:sz="8" w:space="0" w:color="auto"/>
              <w:right w:val="single" w:sz="8" w:space="0" w:color="auto"/>
            </w:tcBorders>
            <w:shd w:val="clear" w:color="auto" w:fill="auto"/>
            <w:noWrap/>
            <w:vAlign w:val="center"/>
          </w:tcPr>
          <w:p w14:paraId="78E6B47F"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Install and maintain rain gauge systems</w:t>
            </w:r>
          </w:p>
        </w:tc>
        <w:tc>
          <w:tcPr>
            <w:tcW w:w="1868" w:type="dxa"/>
            <w:tcBorders>
              <w:top w:val="nil"/>
              <w:left w:val="nil"/>
              <w:bottom w:val="single" w:sz="8" w:space="0" w:color="auto"/>
              <w:right w:val="single" w:sz="8" w:space="0" w:color="auto"/>
            </w:tcBorders>
            <w:shd w:val="clear" w:color="auto" w:fill="auto"/>
            <w:noWrap/>
            <w:vAlign w:val="center"/>
          </w:tcPr>
          <w:p w14:paraId="45A76944"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w:t>
            </w:r>
          </w:p>
        </w:tc>
      </w:tr>
      <w:tr w:rsidR="00804A73" w14:paraId="7BF0FCFD" w14:textId="77777777">
        <w:trPr>
          <w:trHeight w:val="347"/>
        </w:trPr>
        <w:tc>
          <w:tcPr>
            <w:tcW w:w="707" w:type="dxa"/>
            <w:tcBorders>
              <w:top w:val="nil"/>
              <w:left w:val="single" w:sz="8" w:space="0" w:color="auto"/>
              <w:bottom w:val="single" w:sz="8" w:space="0" w:color="auto"/>
              <w:right w:val="single" w:sz="8" w:space="0" w:color="auto"/>
            </w:tcBorders>
            <w:shd w:val="clear" w:color="auto" w:fill="auto"/>
            <w:noWrap/>
            <w:vAlign w:val="center"/>
          </w:tcPr>
          <w:p w14:paraId="7FECA267" w14:textId="77777777" w:rsidR="00804A73" w:rsidRDefault="00804A73">
            <w:pPr>
              <w:spacing w:after="0" w:line="240" w:lineRule="auto"/>
              <w:jc w:val="center"/>
              <w:rPr>
                <w:rFonts w:ascii="Times New Roman" w:eastAsia="Times New Roman" w:hAnsi="Times New Roman" w:cs="Times New Roman"/>
                <w:b/>
                <w:bCs/>
                <w:color w:val="000000"/>
                <w:sz w:val="20"/>
                <w:szCs w:val="20"/>
              </w:rPr>
            </w:pPr>
          </w:p>
        </w:tc>
        <w:tc>
          <w:tcPr>
            <w:tcW w:w="7605" w:type="dxa"/>
            <w:tcBorders>
              <w:top w:val="nil"/>
              <w:left w:val="nil"/>
              <w:bottom w:val="single" w:sz="8" w:space="0" w:color="auto"/>
              <w:right w:val="single" w:sz="8" w:space="0" w:color="auto"/>
            </w:tcBorders>
            <w:shd w:val="clear" w:color="auto" w:fill="auto"/>
            <w:vAlign w:val="center"/>
          </w:tcPr>
          <w:p w14:paraId="341F4CC5"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w:t>
            </w:r>
          </w:p>
        </w:tc>
        <w:tc>
          <w:tcPr>
            <w:tcW w:w="1868" w:type="dxa"/>
            <w:tcBorders>
              <w:top w:val="nil"/>
              <w:left w:val="nil"/>
              <w:bottom w:val="single" w:sz="8" w:space="0" w:color="auto"/>
              <w:right w:val="single" w:sz="8" w:space="0" w:color="auto"/>
            </w:tcBorders>
            <w:shd w:val="clear" w:color="auto" w:fill="auto"/>
            <w:noWrap/>
            <w:vAlign w:val="center"/>
          </w:tcPr>
          <w:p w14:paraId="2FD0E514"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3/4</w:t>
            </w:r>
          </w:p>
        </w:tc>
      </w:tr>
    </w:tbl>
    <w:p w14:paraId="6726761C"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498E0848" w14:textId="77777777" w:rsidR="00804A73" w:rsidRDefault="00541332">
      <w:pPr>
        <w:pStyle w:val="ListParagraph"/>
        <w:numPr>
          <w:ilvl w:val="0"/>
          <w:numId w:val="3"/>
        </w:num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Overall Disaster Preparedness compliance of LGU-Malita</w:t>
      </w:r>
    </w:p>
    <w:p w14:paraId="68E09283" w14:textId="77777777" w:rsidR="00804A73" w:rsidRDefault="00804A73">
      <w:pPr>
        <w:spacing w:after="0" w:line="300" w:lineRule="auto"/>
        <w:jc w:val="both"/>
        <w:rPr>
          <w:rFonts w:ascii="Times New Roman" w:eastAsia="Times New Roman" w:hAnsi="Times New Roman" w:cs="Times New Roman"/>
          <w:b/>
          <w:bCs/>
          <w:color w:val="000000"/>
          <w:sz w:val="20"/>
          <w:szCs w:val="20"/>
        </w:rPr>
      </w:pPr>
    </w:p>
    <w:p w14:paraId="0A619C10"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5 shows that the local government of Malita's overall level of compliance in disaster preparedness is "satisfactory" based on the issued</w:t>
      </w:r>
      <w:r>
        <w:rPr>
          <w:rFonts w:ascii="Times New Roman" w:eastAsia="Times New Roman" w:hAnsi="Times New Roman" w:cs="Times New Roman"/>
          <w:color w:val="000000"/>
          <w:sz w:val="20"/>
          <w:szCs w:val="20"/>
        </w:rPr>
        <w:t xml:space="preserve"> memorandum circular by the DILG. The LGU has scored 17 out of the 28 indicators stated in the provisions, with an equivalent of 60.71% compliance rate. Furthermore, of the four major indicators, the LGU’s level of compliance is highest in terms of the pre</w:t>
      </w:r>
      <w:r>
        <w:rPr>
          <w:rFonts w:ascii="Times New Roman" w:eastAsia="Times New Roman" w:hAnsi="Times New Roman" w:cs="Times New Roman"/>
          <w:color w:val="000000"/>
          <w:sz w:val="20"/>
          <w:szCs w:val="20"/>
        </w:rPr>
        <w:t>positioning of resources, and lowest in terms of building competencies (Fig.5). The figure below suggests that the LGU has a lot to work to achieve excellent compliance on its disaster preparedness requirements, with a greater emphasis on the complete esta</w:t>
      </w:r>
      <w:r>
        <w:rPr>
          <w:rFonts w:ascii="Times New Roman" w:eastAsia="Times New Roman" w:hAnsi="Times New Roman" w:cs="Times New Roman"/>
          <w:color w:val="000000"/>
          <w:sz w:val="20"/>
          <w:szCs w:val="20"/>
        </w:rPr>
        <w:t>blishment of a concrete contingency plan, coordination with other LGUs, and deployment of a comprehensive IEC plan in vulnerable areas to raise disaster awareness.</w:t>
      </w:r>
    </w:p>
    <w:p w14:paraId="5DACB793" w14:textId="77777777" w:rsidR="00804A73" w:rsidRDefault="00804A73">
      <w:pPr>
        <w:spacing w:after="0" w:line="300" w:lineRule="auto"/>
        <w:jc w:val="both"/>
        <w:rPr>
          <w:rFonts w:ascii="Times New Roman" w:eastAsia="Times New Roman" w:hAnsi="Times New Roman" w:cs="Times New Roman"/>
          <w:b/>
          <w:color w:val="000000"/>
          <w:sz w:val="20"/>
          <w:szCs w:val="20"/>
        </w:rPr>
      </w:pPr>
    </w:p>
    <w:tbl>
      <w:tblPr>
        <w:tblW w:w="10180" w:type="dxa"/>
        <w:tblLayout w:type="fixed"/>
        <w:tblLook w:val="04A0" w:firstRow="1" w:lastRow="0" w:firstColumn="1" w:lastColumn="0" w:noHBand="0" w:noVBand="1"/>
      </w:tblPr>
      <w:tblGrid>
        <w:gridCol w:w="707"/>
        <w:gridCol w:w="7591"/>
        <w:gridCol w:w="1882"/>
      </w:tblGrid>
      <w:tr w:rsidR="00804A73" w14:paraId="400363FC" w14:textId="77777777">
        <w:trPr>
          <w:trHeight w:val="324"/>
        </w:trPr>
        <w:tc>
          <w:tcPr>
            <w:tcW w:w="10180" w:type="dxa"/>
            <w:gridSpan w:val="3"/>
            <w:tcBorders>
              <w:top w:val="nil"/>
              <w:left w:val="nil"/>
              <w:bottom w:val="single" w:sz="8" w:space="0" w:color="auto"/>
              <w:right w:val="nil"/>
            </w:tcBorders>
            <w:shd w:val="clear" w:color="auto" w:fill="auto"/>
            <w:noWrap/>
            <w:vAlign w:val="bottom"/>
          </w:tcPr>
          <w:p w14:paraId="460B7139"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Table 5: Overall Early Preparedness Index of LGU-Malita to Reduce Disaster Risk </w:t>
            </w:r>
          </w:p>
        </w:tc>
      </w:tr>
      <w:tr w:rsidR="00804A73" w14:paraId="2D9B1035" w14:textId="77777777">
        <w:trPr>
          <w:trHeight w:val="324"/>
        </w:trPr>
        <w:tc>
          <w:tcPr>
            <w:tcW w:w="707" w:type="dxa"/>
            <w:tcBorders>
              <w:top w:val="nil"/>
              <w:left w:val="single" w:sz="8" w:space="0" w:color="auto"/>
              <w:bottom w:val="single" w:sz="8" w:space="0" w:color="auto"/>
              <w:right w:val="single" w:sz="8" w:space="0" w:color="auto"/>
            </w:tcBorders>
            <w:shd w:val="clear" w:color="auto" w:fill="auto"/>
            <w:noWrap/>
            <w:vAlign w:val="center"/>
          </w:tcPr>
          <w:p w14:paraId="5D1F90F0"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7591" w:type="dxa"/>
            <w:tcBorders>
              <w:top w:val="nil"/>
              <w:left w:val="nil"/>
              <w:bottom w:val="single" w:sz="8" w:space="0" w:color="auto"/>
              <w:right w:val="single" w:sz="8" w:space="0" w:color="auto"/>
            </w:tcBorders>
            <w:shd w:val="clear" w:color="auto" w:fill="auto"/>
            <w:noWrap/>
            <w:vAlign w:val="center"/>
          </w:tcPr>
          <w:p w14:paraId="1F083197"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INDICATORS</w:t>
            </w:r>
          </w:p>
        </w:tc>
        <w:tc>
          <w:tcPr>
            <w:tcW w:w="1882" w:type="dxa"/>
            <w:tcBorders>
              <w:top w:val="nil"/>
              <w:left w:val="nil"/>
              <w:bottom w:val="single" w:sz="8" w:space="0" w:color="auto"/>
              <w:right w:val="single" w:sz="8" w:space="0" w:color="auto"/>
            </w:tcBorders>
            <w:shd w:val="clear" w:color="auto" w:fill="auto"/>
            <w:noWrap/>
            <w:vAlign w:val="center"/>
          </w:tcPr>
          <w:p w14:paraId="18631EA3"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COMPLIANCE</w:t>
            </w:r>
          </w:p>
        </w:tc>
      </w:tr>
      <w:tr w:rsidR="00804A73" w14:paraId="4C00D410" w14:textId="77777777">
        <w:trPr>
          <w:trHeight w:val="324"/>
        </w:trPr>
        <w:tc>
          <w:tcPr>
            <w:tcW w:w="707" w:type="dxa"/>
            <w:tcBorders>
              <w:top w:val="nil"/>
              <w:left w:val="single" w:sz="8" w:space="0" w:color="auto"/>
              <w:bottom w:val="single" w:sz="8" w:space="0" w:color="auto"/>
              <w:right w:val="single" w:sz="8" w:space="0" w:color="auto"/>
            </w:tcBorders>
            <w:shd w:val="clear" w:color="auto" w:fill="auto"/>
            <w:noWrap/>
            <w:vAlign w:val="center"/>
          </w:tcPr>
          <w:p w14:paraId="30C9958D"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w:t>
            </w:r>
          </w:p>
        </w:tc>
        <w:tc>
          <w:tcPr>
            <w:tcW w:w="7591" w:type="dxa"/>
            <w:tcBorders>
              <w:top w:val="nil"/>
              <w:left w:val="nil"/>
              <w:bottom w:val="single" w:sz="8" w:space="0" w:color="auto"/>
              <w:right w:val="single" w:sz="8" w:space="0" w:color="auto"/>
            </w:tcBorders>
            <w:shd w:val="clear" w:color="auto" w:fill="auto"/>
            <w:noWrap/>
            <w:vAlign w:val="center"/>
          </w:tcPr>
          <w:p w14:paraId="407B02F6"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Systems and Structures</w:t>
            </w:r>
          </w:p>
        </w:tc>
        <w:tc>
          <w:tcPr>
            <w:tcW w:w="1882" w:type="dxa"/>
            <w:tcBorders>
              <w:top w:val="nil"/>
              <w:left w:val="nil"/>
              <w:bottom w:val="single" w:sz="8" w:space="0" w:color="auto"/>
              <w:right w:val="single" w:sz="8" w:space="0" w:color="auto"/>
            </w:tcBorders>
            <w:shd w:val="clear" w:color="auto" w:fill="auto"/>
            <w:noWrap/>
            <w:vAlign w:val="center"/>
          </w:tcPr>
          <w:p w14:paraId="4A2D6ECF"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2/3</w:t>
            </w:r>
          </w:p>
        </w:tc>
      </w:tr>
      <w:tr w:rsidR="00804A73" w14:paraId="42CE5211" w14:textId="77777777">
        <w:trPr>
          <w:trHeight w:val="336"/>
        </w:trPr>
        <w:tc>
          <w:tcPr>
            <w:tcW w:w="707" w:type="dxa"/>
            <w:tcBorders>
              <w:top w:val="nil"/>
              <w:left w:val="single" w:sz="8" w:space="0" w:color="auto"/>
              <w:bottom w:val="single" w:sz="8" w:space="0" w:color="auto"/>
              <w:right w:val="single" w:sz="8" w:space="0" w:color="auto"/>
            </w:tcBorders>
            <w:shd w:val="clear" w:color="auto" w:fill="auto"/>
            <w:noWrap/>
            <w:vAlign w:val="center"/>
          </w:tcPr>
          <w:p w14:paraId="56D453FC"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7591" w:type="dxa"/>
            <w:tcBorders>
              <w:top w:val="nil"/>
              <w:left w:val="nil"/>
              <w:bottom w:val="single" w:sz="8" w:space="0" w:color="auto"/>
              <w:right w:val="single" w:sz="8" w:space="0" w:color="auto"/>
            </w:tcBorders>
            <w:shd w:val="clear" w:color="auto" w:fill="auto"/>
            <w:noWrap/>
            <w:vAlign w:val="center"/>
          </w:tcPr>
          <w:p w14:paraId="2AA6D326" w14:textId="77777777" w:rsidR="00804A73" w:rsidRDefault="00541332">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color w:val="000000"/>
                <w:sz w:val="20"/>
                <w:szCs w:val="20"/>
              </w:rPr>
              <w:t>Institutional Policies and Plans</w:t>
            </w:r>
          </w:p>
        </w:tc>
        <w:tc>
          <w:tcPr>
            <w:tcW w:w="1882" w:type="dxa"/>
            <w:tcBorders>
              <w:top w:val="nil"/>
              <w:left w:val="nil"/>
              <w:bottom w:val="single" w:sz="8" w:space="0" w:color="auto"/>
              <w:right w:val="single" w:sz="8" w:space="0" w:color="auto"/>
            </w:tcBorders>
            <w:shd w:val="clear" w:color="auto" w:fill="auto"/>
            <w:noWrap/>
            <w:vAlign w:val="center"/>
          </w:tcPr>
          <w:p w14:paraId="5CFF2228"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11/19</w:t>
            </w:r>
          </w:p>
        </w:tc>
      </w:tr>
      <w:tr w:rsidR="00804A73" w14:paraId="781392BA" w14:textId="77777777">
        <w:trPr>
          <w:trHeight w:val="336"/>
        </w:trPr>
        <w:tc>
          <w:tcPr>
            <w:tcW w:w="707" w:type="dxa"/>
            <w:tcBorders>
              <w:top w:val="nil"/>
              <w:left w:val="single" w:sz="8" w:space="0" w:color="auto"/>
              <w:bottom w:val="single" w:sz="8" w:space="0" w:color="auto"/>
              <w:right w:val="single" w:sz="8" w:space="0" w:color="auto"/>
            </w:tcBorders>
            <w:shd w:val="clear" w:color="auto" w:fill="auto"/>
            <w:noWrap/>
            <w:vAlign w:val="center"/>
          </w:tcPr>
          <w:p w14:paraId="002F217C"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591" w:type="dxa"/>
            <w:tcBorders>
              <w:top w:val="nil"/>
              <w:left w:val="nil"/>
              <w:bottom w:val="single" w:sz="8" w:space="0" w:color="auto"/>
              <w:right w:val="single" w:sz="8" w:space="0" w:color="auto"/>
            </w:tcBorders>
            <w:shd w:val="clear" w:color="auto" w:fill="auto"/>
            <w:noWrap/>
            <w:vAlign w:val="center"/>
          </w:tcPr>
          <w:p w14:paraId="2B243437"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Building Competencies</w:t>
            </w:r>
          </w:p>
        </w:tc>
        <w:tc>
          <w:tcPr>
            <w:tcW w:w="1882" w:type="dxa"/>
            <w:tcBorders>
              <w:top w:val="nil"/>
              <w:left w:val="nil"/>
              <w:bottom w:val="single" w:sz="8" w:space="0" w:color="auto"/>
              <w:right w:val="single" w:sz="8" w:space="0" w:color="auto"/>
            </w:tcBorders>
            <w:shd w:val="clear" w:color="auto" w:fill="auto"/>
            <w:noWrap/>
            <w:vAlign w:val="center"/>
          </w:tcPr>
          <w:p w14:paraId="26F3F53B"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804A73" w14:paraId="18A73F64" w14:textId="77777777">
        <w:trPr>
          <w:trHeight w:val="336"/>
        </w:trPr>
        <w:tc>
          <w:tcPr>
            <w:tcW w:w="707" w:type="dxa"/>
            <w:tcBorders>
              <w:top w:val="nil"/>
              <w:left w:val="single" w:sz="8" w:space="0" w:color="auto"/>
              <w:bottom w:val="single" w:sz="8" w:space="0" w:color="auto"/>
              <w:right w:val="single" w:sz="8" w:space="0" w:color="auto"/>
            </w:tcBorders>
            <w:shd w:val="clear" w:color="auto" w:fill="auto"/>
            <w:noWrap/>
            <w:vAlign w:val="center"/>
          </w:tcPr>
          <w:p w14:paraId="21F0CF8D"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591" w:type="dxa"/>
            <w:tcBorders>
              <w:top w:val="nil"/>
              <w:left w:val="nil"/>
              <w:bottom w:val="single" w:sz="8" w:space="0" w:color="auto"/>
              <w:right w:val="single" w:sz="8" w:space="0" w:color="auto"/>
            </w:tcBorders>
            <w:shd w:val="clear" w:color="auto" w:fill="auto"/>
            <w:noWrap/>
            <w:vAlign w:val="center"/>
          </w:tcPr>
          <w:p w14:paraId="2E570FF1" w14:textId="77777777" w:rsidR="00804A73" w:rsidRDefault="0054133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Prepositioning of Resources</w:t>
            </w:r>
          </w:p>
        </w:tc>
        <w:tc>
          <w:tcPr>
            <w:tcW w:w="1882" w:type="dxa"/>
            <w:tcBorders>
              <w:top w:val="nil"/>
              <w:left w:val="nil"/>
              <w:bottom w:val="single" w:sz="8" w:space="0" w:color="auto"/>
              <w:right w:val="single" w:sz="8" w:space="0" w:color="auto"/>
            </w:tcBorders>
            <w:shd w:val="clear" w:color="auto" w:fill="auto"/>
            <w:noWrap/>
            <w:vAlign w:val="center"/>
          </w:tcPr>
          <w:p w14:paraId="5D0B6179" w14:textId="77777777" w:rsidR="00804A73" w:rsidRDefault="00541332">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804A73" w14:paraId="6F7DC9B7" w14:textId="77777777">
        <w:trPr>
          <w:trHeight w:val="347"/>
        </w:trPr>
        <w:tc>
          <w:tcPr>
            <w:tcW w:w="707" w:type="dxa"/>
            <w:tcBorders>
              <w:top w:val="nil"/>
              <w:left w:val="single" w:sz="8" w:space="0" w:color="auto"/>
              <w:bottom w:val="single" w:sz="8" w:space="0" w:color="auto"/>
              <w:right w:val="single" w:sz="8" w:space="0" w:color="auto"/>
            </w:tcBorders>
            <w:shd w:val="clear" w:color="auto" w:fill="auto"/>
            <w:noWrap/>
            <w:vAlign w:val="center"/>
          </w:tcPr>
          <w:p w14:paraId="6337B066" w14:textId="77777777" w:rsidR="00804A73" w:rsidRDefault="00804A73">
            <w:pPr>
              <w:spacing w:after="0" w:line="240" w:lineRule="auto"/>
              <w:jc w:val="center"/>
              <w:rPr>
                <w:rFonts w:ascii="Times New Roman" w:eastAsia="Times New Roman" w:hAnsi="Times New Roman" w:cs="Times New Roman"/>
                <w:b/>
                <w:bCs/>
                <w:color w:val="000000"/>
                <w:sz w:val="20"/>
                <w:szCs w:val="20"/>
              </w:rPr>
            </w:pPr>
          </w:p>
        </w:tc>
        <w:tc>
          <w:tcPr>
            <w:tcW w:w="7591" w:type="dxa"/>
            <w:tcBorders>
              <w:top w:val="nil"/>
              <w:left w:val="nil"/>
              <w:bottom w:val="single" w:sz="8" w:space="0" w:color="auto"/>
              <w:right w:val="single" w:sz="8" w:space="0" w:color="auto"/>
            </w:tcBorders>
            <w:shd w:val="clear" w:color="auto" w:fill="auto"/>
            <w:vAlign w:val="center"/>
          </w:tcPr>
          <w:p w14:paraId="6A77276C"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TOTAL</w:t>
            </w:r>
          </w:p>
        </w:tc>
        <w:tc>
          <w:tcPr>
            <w:tcW w:w="1882" w:type="dxa"/>
            <w:tcBorders>
              <w:top w:val="nil"/>
              <w:left w:val="nil"/>
              <w:bottom w:val="single" w:sz="8" w:space="0" w:color="auto"/>
              <w:right w:val="single" w:sz="8" w:space="0" w:color="auto"/>
            </w:tcBorders>
            <w:shd w:val="clear" w:color="auto" w:fill="auto"/>
            <w:noWrap/>
            <w:vAlign w:val="center"/>
          </w:tcPr>
          <w:p w14:paraId="7830496D" w14:textId="77777777" w:rsidR="00804A73" w:rsidRDefault="0054133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17/28</w:t>
            </w:r>
          </w:p>
        </w:tc>
      </w:tr>
    </w:tbl>
    <w:p w14:paraId="47B059B5"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536E41B4"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47DB8522"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4B8F5506"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54BDA1B1"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09F0ED54"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7ACD63D0"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347B1A86"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71B5592C"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552AECA9"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6AC5FD03"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48885254" w14:textId="77777777" w:rsidR="00804A73" w:rsidRDefault="00804A73">
      <w:pPr>
        <w:spacing w:after="0" w:line="300" w:lineRule="auto"/>
        <w:jc w:val="both"/>
        <w:rPr>
          <w:rFonts w:ascii="Times New Roman" w:eastAsia="Times New Roman" w:hAnsi="Times New Roman" w:cs="Times New Roman"/>
          <w:b/>
          <w:color w:val="000000"/>
          <w:sz w:val="20"/>
          <w:szCs w:val="20"/>
        </w:rPr>
      </w:pPr>
    </w:p>
    <w:p w14:paraId="30CB2C45" w14:textId="77777777" w:rsidR="00804A73" w:rsidRDefault="00541332">
      <w:pPr>
        <w:spacing w:after="0" w:line="300" w:lineRule="auto"/>
        <w:jc w:val="both"/>
        <w:rPr>
          <w:rFonts w:ascii="Times New Roman" w:eastAsia="Times New Roman" w:hAnsi="Times New Roman" w:cs="Times New Roman"/>
          <w:b/>
          <w:color w:val="000000"/>
          <w:sz w:val="20"/>
          <w:szCs w:val="20"/>
        </w:rPr>
      </w:pPr>
      <w:r>
        <w:rPr>
          <w:noProof/>
          <w:lang w:val="en-PH" w:eastAsia="en-PH"/>
        </w:rPr>
        <w:lastRenderedPageBreak/>
        <w:drawing>
          <wp:inline distT="0" distB="0" distL="0" distR="0" wp14:anchorId="5D1B3536" wp14:editId="31A979AF">
            <wp:extent cx="6305550" cy="2778125"/>
            <wp:effectExtent l="0" t="0" r="0" b="3175"/>
            <wp:docPr id="11375721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6E1F0A" w14:textId="77777777" w:rsidR="00804A73" w:rsidRDefault="00541332">
      <w:pPr>
        <w:spacing w:after="0" w:line="300" w:lineRule="auto"/>
        <w:jc w:val="center"/>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Figure 2. LGU Malita’s Level of Compliance on Disaster </w:t>
      </w:r>
      <w:r>
        <w:rPr>
          <w:rFonts w:ascii="Times New Roman" w:eastAsia="Times New Roman" w:hAnsi="Times New Roman" w:cs="Times New Roman"/>
          <w:i/>
          <w:iCs/>
          <w:color w:val="000000"/>
          <w:sz w:val="20"/>
          <w:szCs w:val="20"/>
        </w:rPr>
        <w:t>Preparedness</w:t>
      </w:r>
    </w:p>
    <w:p w14:paraId="04A9C9E2"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00B29156" w14:textId="77777777" w:rsidR="00804A73" w:rsidRDefault="00541332">
      <w:pPr>
        <w:spacing w:after="0" w:line="30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CONLUSION</w:t>
      </w:r>
    </w:p>
    <w:p w14:paraId="5D7E467D"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local government unit (LGU) of Malita, Davao Occidental has “satisfactorily” complied with the disaster preparedness systems and structures policy. However, there is a need to complete the filling up of positions in the </w:t>
      </w:r>
      <w:r>
        <w:rPr>
          <w:rFonts w:ascii="Times New Roman" w:eastAsia="Times New Roman" w:hAnsi="Times New Roman" w:cs="Times New Roman"/>
          <w:color w:val="000000"/>
          <w:sz w:val="20"/>
          <w:szCs w:val="20"/>
        </w:rPr>
        <w:t>Municipal DRRM office to fully comply with the requirements. Regarding the institutionalization of policies and plans, the LGU is also “satisfactory” in compliance. While the LGU has formulated a contingency plan and established a preemptive and forced eva</w:t>
      </w:r>
      <w:r>
        <w:rPr>
          <w:rFonts w:ascii="Times New Roman" w:eastAsia="Times New Roman" w:hAnsi="Times New Roman" w:cs="Times New Roman"/>
          <w:color w:val="000000"/>
          <w:sz w:val="20"/>
          <w:szCs w:val="20"/>
        </w:rPr>
        <w:t>cuation policy, there is room for improvement in terms of forging memorandums of agreement with various establishments and establishing partnerships with other LGUs. In terms of building competencies, the LGU is also “satisfactory” in its compliance. Despi</w:t>
      </w:r>
      <w:r>
        <w:rPr>
          <w:rFonts w:ascii="Times New Roman" w:eastAsia="Times New Roman" w:hAnsi="Times New Roman" w:cs="Times New Roman"/>
          <w:color w:val="000000"/>
          <w:sz w:val="20"/>
          <w:szCs w:val="20"/>
        </w:rPr>
        <w:t>te this, there is still work to be done in terms of deploying critical information on hazards and relative actions to be undertaken by the community. For resource management, the LGU has demonstrated “good” compliance. This indicates that the LGU has adequ</w:t>
      </w:r>
      <w:r>
        <w:rPr>
          <w:rFonts w:ascii="Times New Roman" w:eastAsia="Times New Roman" w:hAnsi="Times New Roman" w:cs="Times New Roman"/>
          <w:color w:val="000000"/>
          <w:sz w:val="20"/>
          <w:szCs w:val="20"/>
        </w:rPr>
        <w:t>ately prepositioned resources such as emergency equipment, supplies, and hazard signage. There is, however, one indicator related to rain gauge systems maintenance where compliance is lacking.</w:t>
      </w:r>
    </w:p>
    <w:p w14:paraId="506316BB"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046BE9C4"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Overall, the LGU's level of compliance in disaster preparednes</w:t>
      </w:r>
      <w:r>
        <w:rPr>
          <w:rFonts w:ascii="Times New Roman" w:eastAsia="Times New Roman" w:hAnsi="Times New Roman" w:cs="Times New Roman"/>
          <w:color w:val="000000"/>
          <w:sz w:val="20"/>
          <w:szCs w:val="20"/>
        </w:rPr>
        <w:t>s is “satisfactory”, with a compliance rate of 60.71%. The areas that require more attention and improvement include the establishment of a concrete contingency plan, coordination with other LGUs, and the deployment of a comprehensive information, educatio</w:t>
      </w:r>
      <w:r>
        <w:rPr>
          <w:rFonts w:ascii="Times New Roman" w:eastAsia="Times New Roman" w:hAnsi="Times New Roman" w:cs="Times New Roman"/>
          <w:color w:val="000000"/>
          <w:sz w:val="20"/>
          <w:szCs w:val="20"/>
        </w:rPr>
        <w:t>n, and communication (IEC) program to raise disaster awareness in vulnerable areas.</w:t>
      </w:r>
    </w:p>
    <w:p w14:paraId="3AF3B1E9"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31FD09D8"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 is also worth mentioning that while this study uses the HBM as a theoretical basis in projecting the compliance rate of LGU-Malita with the subjected policy, the resear</w:t>
      </w:r>
      <w:r>
        <w:rPr>
          <w:rFonts w:ascii="Times New Roman" w:eastAsia="Times New Roman" w:hAnsi="Times New Roman" w:cs="Times New Roman"/>
          <w:color w:val="000000"/>
          <w:sz w:val="20"/>
          <w:szCs w:val="20"/>
        </w:rPr>
        <w:t>ch does not establish the relationship between the HBM components and the compliance behavior of the DRRM stakeholders of the municipality of Malita. The HBM only served as a reference to anchor the possibilities of complying with the particular DILG memor</w:t>
      </w:r>
      <w:r>
        <w:rPr>
          <w:rFonts w:ascii="Times New Roman" w:eastAsia="Times New Roman" w:hAnsi="Times New Roman" w:cs="Times New Roman"/>
          <w:color w:val="000000"/>
          <w:sz w:val="20"/>
          <w:szCs w:val="20"/>
        </w:rPr>
        <w:t>andum circular.</w:t>
      </w:r>
    </w:p>
    <w:p w14:paraId="536F60E9" w14:textId="77777777" w:rsidR="00804A73" w:rsidRDefault="00804A73">
      <w:pPr>
        <w:spacing w:after="0" w:line="300" w:lineRule="auto"/>
        <w:jc w:val="both"/>
        <w:rPr>
          <w:rFonts w:ascii="Times New Roman" w:eastAsia="Times New Roman" w:hAnsi="Times New Roman" w:cs="Times New Roman"/>
          <w:b/>
          <w:color w:val="000000"/>
          <w:sz w:val="24"/>
          <w:szCs w:val="24"/>
        </w:rPr>
      </w:pPr>
    </w:p>
    <w:p w14:paraId="72E5A262" w14:textId="77777777" w:rsidR="00804A73" w:rsidRDefault="00541332">
      <w:pPr>
        <w:spacing w:after="0" w:line="30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RECOMMENDATIONS</w:t>
      </w:r>
    </w:p>
    <w:p w14:paraId="6E937E56" w14:textId="77777777" w:rsidR="00804A73" w:rsidRDefault="00541332">
      <w:p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local government unit (LGU) of Malita should focus on the following areas of disaster preparedness. By implementing these recommendations, the LGU can further strengthen its disaster preparedness efforts and enhance its</w:t>
      </w:r>
      <w:r>
        <w:rPr>
          <w:rFonts w:ascii="Times New Roman" w:eastAsia="Times New Roman" w:hAnsi="Times New Roman" w:cs="Times New Roman"/>
          <w:color w:val="000000"/>
          <w:sz w:val="20"/>
          <w:szCs w:val="20"/>
        </w:rPr>
        <w:t xml:space="preserve"> overall compliance in line with the provisions set by the DILG.</w:t>
      </w:r>
    </w:p>
    <w:p w14:paraId="2B62A972"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030B4C2A" w14:textId="77777777" w:rsidR="00804A73" w:rsidRDefault="00541332">
      <w:pPr>
        <w:pStyle w:val="ListParagraph"/>
        <w:numPr>
          <w:ilvl w:val="0"/>
          <w:numId w:val="4"/>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Complete Staffing in the Municipal DRRM Office: The LGU should prioritize the filling up of the remaining vacant positions in the Municipal DRRM office as required by the Joint Memorandum Ci</w:t>
      </w:r>
      <w:r>
        <w:rPr>
          <w:rFonts w:ascii="Times New Roman" w:eastAsia="Times New Roman" w:hAnsi="Times New Roman" w:cs="Times New Roman"/>
          <w:color w:val="000000"/>
          <w:sz w:val="20"/>
          <w:szCs w:val="20"/>
        </w:rPr>
        <w:t>rcular 2014-1. This will ensure the availability of a competent and dedicated team to handle disaster preparedness and response.</w:t>
      </w:r>
    </w:p>
    <w:p w14:paraId="6375A140" w14:textId="77777777" w:rsidR="00804A73" w:rsidRDefault="00541332">
      <w:pPr>
        <w:pStyle w:val="ListParagraph"/>
        <w:numPr>
          <w:ilvl w:val="0"/>
          <w:numId w:val="4"/>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Strengthen Contingency Planning: The LGU should improve its compliance in formulating a comprehensive contingency plan. This pl</w:t>
      </w:r>
      <w:r>
        <w:rPr>
          <w:rFonts w:ascii="Times New Roman" w:eastAsia="Times New Roman" w:hAnsi="Times New Roman" w:cs="Times New Roman"/>
          <w:color w:val="000000"/>
          <w:sz w:val="20"/>
          <w:szCs w:val="20"/>
        </w:rPr>
        <w:t xml:space="preserve">an should include detailed procedures and protocols for early warning systems, systems on pre-designated evacuation centers, evacuation routes, search and rescue operations procedures, </w:t>
      </w:r>
      <w:proofErr w:type="gramStart"/>
      <w:r>
        <w:rPr>
          <w:rFonts w:ascii="Times New Roman" w:eastAsia="Times New Roman" w:hAnsi="Times New Roman" w:cs="Times New Roman"/>
          <w:color w:val="000000"/>
          <w:sz w:val="20"/>
          <w:szCs w:val="20"/>
        </w:rPr>
        <w:t>emergency</w:t>
      </w:r>
      <w:proofErr w:type="gramEnd"/>
      <w:r>
        <w:rPr>
          <w:rFonts w:ascii="Times New Roman" w:eastAsia="Times New Roman" w:hAnsi="Times New Roman" w:cs="Times New Roman"/>
          <w:color w:val="000000"/>
          <w:sz w:val="20"/>
          <w:szCs w:val="20"/>
        </w:rPr>
        <w:t xml:space="preserve"> response protocols, systems on distribution of relief goods, </w:t>
      </w:r>
      <w:r>
        <w:rPr>
          <w:rFonts w:ascii="Times New Roman" w:eastAsia="Times New Roman" w:hAnsi="Times New Roman" w:cs="Times New Roman"/>
          <w:color w:val="000000"/>
          <w:sz w:val="20"/>
          <w:szCs w:val="20"/>
        </w:rPr>
        <w:t>and evacuation center management systems and structures. A well-developed contingency plan will enhance the LGU's preparedness and response capabilities.</w:t>
      </w:r>
    </w:p>
    <w:p w14:paraId="32B804B9" w14:textId="77777777" w:rsidR="00804A73" w:rsidRDefault="00804A73">
      <w:pPr>
        <w:pStyle w:val="ListParagraph"/>
        <w:rPr>
          <w:rFonts w:ascii="Times New Roman" w:eastAsia="Times New Roman" w:hAnsi="Times New Roman" w:cs="Times New Roman"/>
          <w:color w:val="000000"/>
          <w:sz w:val="20"/>
          <w:szCs w:val="20"/>
        </w:rPr>
      </w:pPr>
    </w:p>
    <w:p w14:paraId="5899E9F9" w14:textId="77777777" w:rsidR="00804A73" w:rsidRDefault="00541332">
      <w:pPr>
        <w:pStyle w:val="ListParagraph"/>
        <w:numPr>
          <w:ilvl w:val="0"/>
          <w:numId w:val="4"/>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Establish Partnerships with Other LGUs: Collaboration and coordination with neighboring LGUs are cruc</w:t>
      </w:r>
      <w:r>
        <w:rPr>
          <w:rFonts w:ascii="Times New Roman" w:eastAsia="Times New Roman" w:hAnsi="Times New Roman" w:cs="Times New Roman"/>
          <w:color w:val="000000"/>
          <w:sz w:val="20"/>
          <w:szCs w:val="20"/>
        </w:rPr>
        <w:t>ial in disaster management. The LGU of Malita should actively seek partnerships with other local government units to foster information sharing, resource pooling, and joint response efforts. This will strengthen the overall disaster preparedness and respon</w:t>
      </w:r>
      <w:r>
        <w:rPr>
          <w:rFonts w:ascii="Times New Roman" w:eastAsia="Times New Roman" w:hAnsi="Times New Roman" w:cs="Times New Roman"/>
          <w:color w:val="000000"/>
          <w:sz w:val="20"/>
          <w:szCs w:val="20"/>
        </w:rPr>
        <w:t>se capacity in the municipality.</w:t>
      </w:r>
    </w:p>
    <w:p w14:paraId="23B1DB36" w14:textId="77777777" w:rsidR="00804A73" w:rsidRDefault="00804A73">
      <w:pPr>
        <w:pStyle w:val="ListParagraph"/>
        <w:rPr>
          <w:rFonts w:ascii="Times New Roman" w:eastAsia="Times New Roman" w:hAnsi="Times New Roman" w:cs="Times New Roman"/>
          <w:color w:val="000000"/>
          <w:sz w:val="20"/>
          <w:szCs w:val="20"/>
        </w:rPr>
      </w:pPr>
    </w:p>
    <w:p w14:paraId="793373B7" w14:textId="77777777" w:rsidR="00804A73" w:rsidRDefault="00541332">
      <w:pPr>
        <w:pStyle w:val="ListParagraph"/>
        <w:numPr>
          <w:ilvl w:val="0"/>
          <w:numId w:val="4"/>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Enhance Building Competencies: The LGU should prioritize the deployment of critical information on various hazards and relative actions to be undertaken by every family. This can be achieved through community-based disaste</w:t>
      </w:r>
      <w:r>
        <w:rPr>
          <w:rFonts w:ascii="Times New Roman" w:eastAsia="Times New Roman" w:hAnsi="Times New Roman" w:cs="Times New Roman"/>
          <w:color w:val="000000"/>
          <w:sz w:val="20"/>
          <w:szCs w:val="20"/>
        </w:rPr>
        <w:t>r risk reduction and management (CBDRRM) training programs. By empowering individuals and households with the necessary knowledge and skills, the LGU can improve community resilience and response capabilities.</w:t>
      </w:r>
    </w:p>
    <w:p w14:paraId="45EB3029"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6AA37852" w14:textId="77777777" w:rsidR="00804A73" w:rsidRDefault="00541332">
      <w:pPr>
        <w:pStyle w:val="ListParagraph"/>
        <w:numPr>
          <w:ilvl w:val="0"/>
          <w:numId w:val="4"/>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Improve Rain Gauge Systems: The LGU should ad</w:t>
      </w:r>
      <w:r>
        <w:rPr>
          <w:rFonts w:ascii="Times New Roman" w:eastAsia="Times New Roman" w:hAnsi="Times New Roman" w:cs="Times New Roman"/>
          <w:color w:val="000000"/>
          <w:sz w:val="20"/>
          <w:szCs w:val="20"/>
        </w:rPr>
        <w:t>dress the lack of compliance in terms of rain gauge systems. These systems are essential for monitoring and predicting rainfall patterns, which play a significant role in assessing flood risks and implementing timely preventive measures. The installation a</w:t>
      </w:r>
      <w:r>
        <w:rPr>
          <w:rFonts w:ascii="Times New Roman" w:eastAsia="Times New Roman" w:hAnsi="Times New Roman" w:cs="Times New Roman"/>
          <w:color w:val="000000"/>
          <w:sz w:val="20"/>
          <w:szCs w:val="20"/>
        </w:rPr>
        <w:t>nd maintenance of rain gauge systems should be prioritized to enhance early warning capabilities.</w:t>
      </w:r>
    </w:p>
    <w:p w14:paraId="1C4BE36B" w14:textId="77777777" w:rsidR="00804A73" w:rsidRDefault="00804A73">
      <w:pPr>
        <w:pStyle w:val="ListParagraph"/>
        <w:rPr>
          <w:rFonts w:ascii="Times New Roman" w:eastAsia="Times New Roman" w:hAnsi="Times New Roman" w:cs="Times New Roman"/>
          <w:color w:val="000000"/>
          <w:sz w:val="20"/>
          <w:szCs w:val="20"/>
        </w:rPr>
      </w:pPr>
    </w:p>
    <w:p w14:paraId="26603C7D" w14:textId="77777777" w:rsidR="00804A73" w:rsidRDefault="00541332">
      <w:pPr>
        <w:pStyle w:val="ListParagraph"/>
        <w:numPr>
          <w:ilvl w:val="0"/>
          <w:numId w:val="4"/>
        </w:numPr>
        <w:spacing w:after="0" w:line="30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Enhance Information, Education, and Communication (IEC) Program: The LGU should develop and implement a comprehensive IEC program to raise disaster awareness</w:t>
      </w:r>
      <w:r>
        <w:rPr>
          <w:rFonts w:ascii="Times New Roman" w:eastAsia="Times New Roman" w:hAnsi="Times New Roman" w:cs="Times New Roman"/>
          <w:color w:val="000000"/>
          <w:sz w:val="20"/>
          <w:szCs w:val="20"/>
        </w:rPr>
        <w:t xml:space="preserve"> in vulnerable areas. This program should include targeted campaigns, community engagement programs, and the dissemination of educational materials on disaster preparedness, response, and mitigation measures. By improving public awareness, the LGU can fost</w:t>
      </w:r>
      <w:r>
        <w:rPr>
          <w:rFonts w:ascii="Times New Roman" w:eastAsia="Times New Roman" w:hAnsi="Times New Roman" w:cs="Times New Roman"/>
          <w:color w:val="000000"/>
          <w:sz w:val="20"/>
          <w:szCs w:val="20"/>
        </w:rPr>
        <w:t>er a culture of preparedness and proactive participation in disaster management.</w:t>
      </w:r>
    </w:p>
    <w:p w14:paraId="54FD5F3A" w14:textId="77777777" w:rsidR="00804A73" w:rsidRDefault="00804A73">
      <w:pPr>
        <w:spacing w:after="0" w:line="300" w:lineRule="auto"/>
        <w:jc w:val="both"/>
        <w:rPr>
          <w:rFonts w:ascii="Times New Roman" w:eastAsia="Times New Roman" w:hAnsi="Times New Roman" w:cs="Times New Roman"/>
          <w:color w:val="000000"/>
          <w:sz w:val="20"/>
          <w:szCs w:val="20"/>
        </w:rPr>
      </w:pPr>
    </w:p>
    <w:p w14:paraId="173B096B" w14:textId="77777777" w:rsidR="00804A73" w:rsidRDefault="00541332">
      <w:pPr>
        <w:spacing w:after="0" w:line="30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Finally, to fully understand the relationship between HBM and policy compliance behavior, a correlation study is also recommended.</w:t>
      </w:r>
    </w:p>
    <w:p w14:paraId="4EE4FD13" w14:textId="77777777" w:rsidR="00804A73" w:rsidRDefault="005413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14:paraId="4DAE0437" w14:textId="77777777" w:rsidR="00772364" w:rsidRDefault="00772364">
      <w:pPr>
        <w:spacing w:before="54" w:after="0" w:line="276" w:lineRule="auto"/>
        <w:jc w:val="both"/>
        <w:rPr>
          <w:rFonts w:ascii="Times New Roman" w:hAnsi="Times New Roman" w:cs="Times New Roman"/>
          <w:color w:val="000000" w:themeColor="text1"/>
          <w:sz w:val="20"/>
          <w:szCs w:val="20"/>
        </w:rPr>
      </w:pPr>
      <w:bookmarkStart w:id="1" w:name="_GoBack"/>
      <w:bookmarkEnd w:id="1"/>
    </w:p>
    <w:p w14:paraId="41CDAC60" w14:textId="77777777" w:rsidR="00804A73" w:rsidRDefault="00541332">
      <w:pPr>
        <w:pStyle w:val="ListParagraph"/>
        <w:spacing w:before="54" w:after="0" w:line="276"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0A5ABCFD" w14:textId="77777777" w:rsidR="00804A73" w:rsidRDefault="00541332">
      <w:pPr>
        <w:spacing w:after="0" w:line="300" w:lineRule="auto"/>
        <w:ind w:left="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DILG Memorandum Circular No. 2015-76 (2015). </w:t>
      </w:r>
      <w:hyperlink r:id="rId10">
        <w:r>
          <w:rPr>
            <w:rFonts w:ascii="Times New Roman" w:eastAsia="Times New Roman" w:hAnsi="Times New Roman" w:cs="Times New Roman"/>
            <w:color w:val="0000FF"/>
            <w:sz w:val="20"/>
            <w:szCs w:val="20"/>
            <w:u w:val="single"/>
          </w:rPr>
          <w:t>Early Preparedness Actions to Reduce Disaster Risks - Issuances - DILG</w:t>
        </w:r>
      </w:hyperlink>
      <w:r>
        <w:rPr>
          <w:rFonts w:ascii="Times New Roman" w:eastAsia="Times New Roman" w:hAnsi="Times New Roman" w:cs="Times New Roman"/>
          <w:color w:val="000000"/>
          <w:sz w:val="20"/>
          <w:szCs w:val="20"/>
        </w:rPr>
        <w:t>. Accessed 22 May 2023.</w:t>
      </w:r>
    </w:p>
    <w:p w14:paraId="5610EEC8" w14:textId="77777777" w:rsidR="00804A73" w:rsidRDefault="00541332">
      <w:p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Ebru, I., K. H. Altintas and N. Dogan (2018). "The development of a general disaster preparedness belief scale using the health belief model as a theoretical framework." </w:t>
      </w:r>
      <w:r>
        <w:rPr>
          <w:rFonts w:ascii="Times New Roman" w:eastAsia="Times New Roman" w:hAnsi="Times New Roman" w:cs="Times New Roman"/>
          <w:color w:val="000000"/>
          <w:sz w:val="20"/>
          <w:szCs w:val="20"/>
          <w:u w:val="single"/>
        </w:rPr>
        <w:t>International Journal of Assessment Tools in Education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5</w:t>
      </w:r>
      <w:r>
        <w:rPr>
          <w:rFonts w:ascii="Times New Roman" w:eastAsia="Times New Roman" w:hAnsi="Times New Roman" w:cs="Times New Roman"/>
          <w:color w:val="000000"/>
          <w:sz w:val="20"/>
          <w:szCs w:val="20"/>
        </w:rPr>
        <w:t>(1): 146-158.</w:t>
      </w:r>
    </w:p>
    <w:p w14:paraId="62A54353" w14:textId="77777777" w:rsidR="00804A73" w:rsidRDefault="00541332">
      <w:p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Gil‐Riv</w:t>
      </w:r>
      <w:r>
        <w:rPr>
          <w:rFonts w:ascii="Times New Roman" w:eastAsia="Times New Roman" w:hAnsi="Times New Roman" w:cs="Times New Roman"/>
          <w:color w:val="000000"/>
          <w:sz w:val="20"/>
          <w:szCs w:val="20"/>
        </w:rPr>
        <w:t xml:space="preserve">as, V. and R. P. Kilmer (2016). "Building community capacity and fostering disaster resilience." </w:t>
      </w:r>
      <w:r>
        <w:rPr>
          <w:rFonts w:ascii="Times New Roman" w:eastAsia="Times New Roman" w:hAnsi="Times New Roman" w:cs="Times New Roman"/>
          <w:color w:val="000000"/>
          <w:sz w:val="20"/>
          <w:szCs w:val="20"/>
          <w:u w:val="single"/>
        </w:rPr>
        <w:t>Journal of clinical psychology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72</w:t>
      </w:r>
      <w:r>
        <w:rPr>
          <w:rFonts w:ascii="Times New Roman" w:eastAsia="Times New Roman" w:hAnsi="Times New Roman" w:cs="Times New Roman"/>
          <w:color w:val="000000"/>
          <w:sz w:val="20"/>
          <w:szCs w:val="20"/>
        </w:rPr>
        <w:t>(12): 1318-1332.</w:t>
      </w:r>
    </w:p>
    <w:p w14:paraId="7914AABB" w14:textId="77777777" w:rsidR="00804A73" w:rsidRDefault="00541332">
      <w:p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Gumiran, B. A. and A. </w:t>
      </w:r>
      <w:proofErr w:type="spellStart"/>
      <w:r>
        <w:rPr>
          <w:rFonts w:ascii="Times New Roman" w:eastAsia="Times New Roman" w:hAnsi="Times New Roman" w:cs="Times New Roman"/>
          <w:color w:val="000000"/>
          <w:sz w:val="20"/>
          <w:szCs w:val="20"/>
        </w:rPr>
        <w:t>Daag</w:t>
      </w:r>
      <w:proofErr w:type="spellEnd"/>
      <w:r>
        <w:rPr>
          <w:rFonts w:ascii="Times New Roman" w:eastAsia="Times New Roman" w:hAnsi="Times New Roman" w:cs="Times New Roman"/>
          <w:color w:val="000000"/>
          <w:sz w:val="20"/>
          <w:szCs w:val="20"/>
        </w:rPr>
        <w:t xml:space="preserve"> (2021). "Negotiated participatory action research for multi-stakeholder implementation of early warning systems for landslides." </w:t>
      </w:r>
      <w:r>
        <w:rPr>
          <w:rFonts w:ascii="Times New Roman" w:eastAsia="Times New Roman" w:hAnsi="Times New Roman" w:cs="Times New Roman"/>
          <w:color w:val="000000"/>
          <w:sz w:val="20"/>
          <w:szCs w:val="20"/>
          <w:u w:val="single"/>
        </w:rPr>
        <w:t>International Journal of Disaster Risk Reduction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58</w:t>
      </w:r>
      <w:r>
        <w:rPr>
          <w:rFonts w:ascii="Times New Roman" w:eastAsia="Times New Roman" w:hAnsi="Times New Roman" w:cs="Times New Roman"/>
          <w:color w:val="000000"/>
          <w:sz w:val="20"/>
          <w:szCs w:val="20"/>
        </w:rPr>
        <w:t>: 102184.</w:t>
      </w:r>
    </w:p>
    <w:p w14:paraId="28E6B122" w14:textId="77777777" w:rsidR="00804A73" w:rsidRDefault="00541332">
      <w:p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Inam, A. (2013). </w:t>
      </w:r>
      <w:r>
        <w:rPr>
          <w:rFonts w:ascii="Times New Roman" w:eastAsia="Times New Roman" w:hAnsi="Times New Roman" w:cs="Times New Roman"/>
          <w:color w:val="000000"/>
          <w:sz w:val="20"/>
          <w:szCs w:val="20"/>
          <w:u w:val="single"/>
        </w:rPr>
        <w:t xml:space="preserve">Planning for the unplanned: Recovering from </w:t>
      </w:r>
      <w:r>
        <w:rPr>
          <w:rFonts w:ascii="Times New Roman" w:eastAsia="Times New Roman" w:hAnsi="Times New Roman" w:cs="Times New Roman"/>
          <w:color w:val="000000"/>
          <w:sz w:val="20"/>
          <w:szCs w:val="20"/>
          <w:u w:val="single"/>
        </w:rPr>
        <w:t>crises in megacities</w:t>
      </w:r>
      <w:r>
        <w:rPr>
          <w:rFonts w:ascii="Times New Roman" w:eastAsia="Times New Roman" w:hAnsi="Times New Roman" w:cs="Times New Roman"/>
          <w:color w:val="000000"/>
          <w:sz w:val="20"/>
          <w:szCs w:val="20"/>
        </w:rPr>
        <w:t>, Routledge.</w:t>
      </w:r>
    </w:p>
    <w:p w14:paraId="35264017" w14:textId="77777777" w:rsidR="00804A73" w:rsidRDefault="00541332">
      <w:p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[6] </w:t>
      </w:r>
      <w:proofErr w:type="spellStart"/>
      <w:r>
        <w:rPr>
          <w:rFonts w:ascii="Times New Roman" w:eastAsia="Times New Roman" w:hAnsi="Times New Roman" w:cs="Times New Roman"/>
          <w:color w:val="000000"/>
          <w:sz w:val="20"/>
          <w:szCs w:val="20"/>
        </w:rPr>
        <w:t>Mojtahedi</w:t>
      </w:r>
      <w:proofErr w:type="spellEnd"/>
      <w:r>
        <w:rPr>
          <w:rFonts w:ascii="Times New Roman" w:eastAsia="Times New Roman" w:hAnsi="Times New Roman" w:cs="Times New Roman"/>
          <w:color w:val="000000"/>
          <w:sz w:val="20"/>
          <w:szCs w:val="20"/>
        </w:rPr>
        <w:t xml:space="preserve">, M. and B. L. Oo (2017). "Critical attributes for proactive engagement of stakeholders in disaster risk management." </w:t>
      </w:r>
      <w:r>
        <w:rPr>
          <w:rFonts w:ascii="Times New Roman" w:eastAsia="Times New Roman" w:hAnsi="Times New Roman" w:cs="Times New Roman"/>
          <w:color w:val="000000"/>
          <w:sz w:val="20"/>
          <w:szCs w:val="20"/>
          <w:u w:val="single"/>
        </w:rPr>
        <w:t>International journal of disaster risk reduction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21</w:t>
      </w:r>
      <w:r>
        <w:rPr>
          <w:rFonts w:ascii="Times New Roman" w:eastAsia="Times New Roman" w:hAnsi="Times New Roman" w:cs="Times New Roman"/>
          <w:color w:val="000000"/>
          <w:sz w:val="20"/>
          <w:szCs w:val="20"/>
        </w:rPr>
        <w:t>: 35-43.</w:t>
      </w:r>
    </w:p>
    <w:p w14:paraId="17758AEC" w14:textId="77777777" w:rsidR="00804A73" w:rsidRDefault="00541332">
      <w:pPr>
        <w:spacing w:after="0" w:line="300" w:lineRule="auto"/>
        <w:ind w:left="35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 NDRRMC, DILG, DBM, CSC Joint</w:t>
      </w:r>
      <w:r>
        <w:rPr>
          <w:rFonts w:ascii="Times New Roman" w:eastAsia="Times New Roman" w:hAnsi="Times New Roman" w:cs="Times New Roman"/>
          <w:color w:val="000000"/>
          <w:sz w:val="20"/>
          <w:szCs w:val="20"/>
        </w:rPr>
        <w:t xml:space="preserve"> Memorandum Circular 2014-1 (2014). </w:t>
      </w:r>
      <w:hyperlink r:id="rId11" w:history="1">
        <w:r>
          <w:rPr>
            <w:rStyle w:val="Hyperlink"/>
            <w:rFonts w:ascii="Times New Roman" w:hAnsi="Times New Roman"/>
            <w:sz w:val="20"/>
            <w:szCs w:val="20"/>
          </w:rPr>
          <w:t>Guidelines_for_the_Establishment_of_LDRRMOs_or_BDRRMCs_in_LGUs-JMC2014-1.pdf</w:t>
        </w:r>
      </w:hyperlink>
      <w:r>
        <w:rPr>
          <w:rFonts w:ascii="Times New Roman" w:eastAsia="Times New Roman" w:hAnsi="Times New Roman" w:cs="Times New Roman"/>
          <w:color w:val="000000"/>
          <w:sz w:val="20"/>
          <w:szCs w:val="20"/>
        </w:rPr>
        <w:t>. Accessed 23 May 2023.</w:t>
      </w:r>
    </w:p>
    <w:p w14:paraId="135F4E0A" w14:textId="77777777" w:rsidR="00804A73" w:rsidRDefault="00541332">
      <w:pPr>
        <w:spacing w:line="300" w:lineRule="auto"/>
        <w:ind w:left="357"/>
        <w:rPr>
          <w:rFonts w:ascii="Times New Roman" w:eastAsia="Times New Roman" w:hAnsi="Times New Roman" w:cs="Times New Roman"/>
          <w:color w:val="000000"/>
          <w:sz w:val="20"/>
          <w:szCs w:val="20"/>
        </w:rPr>
      </w:pPr>
      <w:r>
        <w:rPr>
          <w:rFonts w:ascii="Times New Roman" w:eastAsia="Times New Roman" w:hAnsi="Times New Roman" w:cs="Times New Roman"/>
          <w:color w:val="0D0D0D"/>
          <w:sz w:val="20"/>
          <w:szCs w:val="20"/>
          <w:highlight w:val="white"/>
        </w:rPr>
        <w:t xml:space="preserve">[8] Philippine Disaster Risk Reduction and Management Act of 2010 (2010). </w:t>
      </w:r>
      <w:hyperlink r:id="rId12">
        <w:r>
          <w:rPr>
            <w:rFonts w:ascii="Times New Roman" w:eastAsia="Times New Roman" w:hAnsi="Times New Roman" w:cs="Times New Roman"/>
            <w:color w:val="0000FF"/>
            <w:sz w:val="20"/>
            <w:szCs w:val="20"/>
            <w:u w:val="single"/>
          </w:rPr>
          <w:t xml:space="preserve">Republic Act No. </w:t>
        </w:r>
        <w:proofErr w:type="gramStart"/>
        <w:r>
          <w:rPr>
            <w:rFonts w:ascii="Times New Roman" w:eastAsia="Times New Roman" w:hAnsi="Times New Roman" w:cs="Times New Roman"/>
            <w:color w:val="0000FF"/>
            <w:sz w:val="20"/>
            <w:szCs w:val="20"/>
            <w:u w:val="single"/>
          </w:rPr>
          <w:t>10121  Official</w:t>
        </w:r>
        <w:proofErr w:type="gramEnd"/>
        <w:r>
          <w:rPr>
            <w:rFonts w:ascii="Times New Roman" w:eastAsia="Times New Roman" w:hAnsi="Times New Roman" w:cs="Times New Roman"/>
            <w:color w:val="0000FF"/>
            <w:sz w:val="20"/>
            <w:szCs w:val="20"/>
            <w:u w:val="single"/>
          </w:rPr>
          <w:t xml:space="preserve"> Gazette of the Republic of the Philip</w:t>
        </w:r>
        <w:r>
          <w:rPr>
            <w:rFonts w:ascii="Times New Roman" w:eastAsia="Times New Roman" w:hAnsi="Times New Roman" w:cs="Times New Roman"/>
            <w:color w:val="0000FF"/>
            <w:sz w:val="20"/>
            <w:szCs w:val="20"/>
            <w:u w:val="single"/>
          </w:rPr>
          <w:t>pines</w:t>
        </w:r>
      </w:hyperlink>
      <w:r>
        <w:rPr>
          <w:rFonts w:ascii="Times New Roman" w:eastAsia="Times New Roman" w:hAnsi="Times New Roman" w:cs="Times New Roman"/>
          <w:color w:val="000000"/>
          <w:sz w:val="20"/>
          <w:szCs w:val="20"/>
        </w:rPr>
        <w:t>. Accessed 23 May 2023.</w:t>
      </w:r>
    </w:p>
    <w:p w14:paraId="4A4181FD" w14:textId="77777777" w:rsidR="00804A73" w:rsidRDefault="00541332">
      <w:p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[9] Rodríguez-Espíndola, O., P. Albores and C. Brewster (2018). "Disaster preparedness in humanitarian logistics: A collaborative approach for resource management in floods." </w:t>
      </w:r>
      <w:r>
        <w:rPr>
          <w:rFonts w:ascii="Times New Roman" w:eastAsia="Times New Roman" w:hAnsi="Times New Roman" w:cs="Times New Roman"/>
          <w:color w:val="000000"/>
          <w:sz w:val="20"/>
          <w:szCs w:val="20"/>
          <w:u w:val="single"/>
        </w:rPr>
        <w:t>European Journal of Operational Research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264</w:t>
      </w:r>
      <w:r>
        <w:rPr>
          <w:rFonts w:ascii="Times New Roman" w:eastAsia="Times New Roman" w:hAnsi="Times New Roman" w:cs="Times New Roman"/>
          <w:color w:val="000000"/>
          <w:sz w:val="20"/>
          <w:szCs w:val="20"/>
        </w:rPr>
        <w:t>(3): 978</w:t>
      </w:r>
      <w:r>
        <w:rPr>
          <w:rFonts w:ascii="Times New Roman" w:eastAsia="Times New Roman" w:hAnsi="Times New Roman" w:cs="Times New Roman"/>
          <w:color w:val="000000"/>
          <w:sz w:val="20"/>
          <w:szCs w:val="20"/>
        </w:rPr>
        <w:t>-993.</w:t>
      </w:r>
    </w:p>
    <w:p w14:paraId="4E24B521" w14:textId="77777777" w:rsidR="00804A73" w:rsidRDefault="00541332">
      <w:pPr>
        <w:spacing w:after="0"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[10] Skinner, C. S., J. Tiro and V. L. Champion (2015). "Background on the health belief model." </w:t>
      </w:r>
      <w:r>
        <w:rPr>
          <w:rFonts w:ascii="Times New Roman" w:eastAsia="Times New Roman" w:hAnsi="Times New Roman" w:cs="Times New Roman"/>
          <w:color w:val="000000"/>
          <w:sz w:val="20"/>
          <w:szCs w:val="20"/>
          <w:u w:val="single"/>
        </w:rPr>
        <w:t>Health behavior: Theory, research, and practice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75</w:t>
      </w:r>
      <w:r>
        <w:rPr>
          <w:rFonts w:ascii="Times New Roman" w:eastAsia="Times New Roman" w:hAnsi="Times New Roman" w:cs="Times New Roman"/>
          <w:color w:val="000000"/>
          <w:sz w:val="20"/>
          <w:szCs w:val="20"/>
        </w:rPr>
        <w:t>: 1-34.</w:t>
      </w:r>
    </w:p>
    <w:p w14:paraId="7145943E" w14:textId="77777777" w:rsidR="00804A73" w:rsidRDefault="00541332">
      <w:pPr>
        <w:spacing w:line="30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[11] Warren, J. F. (2016). "Typhoons and the inequalities of Philippine society and history." </w:t>
      </w:r>
      <w:r>
        <w:rPr>
          <w:rFonts w:ascii="Times New Roman" w:eastAsia="Times New Roman" w:hAnsi="Times New Roman" w:cs="Times New Roman"/>
          <w:color w:val="000000"/>
          <w:sz w:val="20"/>
          <w:szCs w:val="20"/>
          <w:u w:val="single"/>
        </w:rPr>
        <w:t>P</w:t>
      </w:r>
      <w:r>
        <w:rPr>
          <w:rFonts w:ascii="Times New Roman" w:eastAsia="Times New Roman" w:hAnsi="Times New Roman" w:cs="Times New Roman"/>
          <w:color w:val="000000"/>
          <w:sz w:val="20"/>
          <w:szCs w:val="20"/>
          <w:u w:val="single"/>
        </w:rPr>
        <w:t>hilippine Studies Historical &amp; Ethnographic Viewpoints</w:t>
      </w:r>
      <w:r>
        <w:rPr>
          <w:rFonts w:ascii="Times New Roman" w:eastAsia="Times New Roman" w:hAnsi="Times New Roman" w:cs="Times New Roman"/>
          <w:color w:val="000000"/>
          <w:sz w:val="20"/>
          <w:szCs w:val="20"/>
        </w:rPr>
        <w:t>: 455-472.</w:t>
      </w:r>
    </w:p>
    <w:p w14:paraId="155505E3" w14:textId="77777777" w:rsidR="00804A73" w:rsidRDefault="00804A73">
      <w:pPr>
        <w:pStyle w:val="ListParagraph"/>
        <w:spacing w:before="54" w:after="0" w:line="276" w:lineRule="auto"/>
        <w:ind w:left="0"/>
        <w:rPr>
          <w:rFonts w:ascii="Times New Roman" w:hAnsi="Times New Roman" w:cs="Times New Roman"/>
          <w:b/>
          <w:bCs/>
          <w:color w:val="000000" w:themeColor="text1"/>
          <w:sz w:val="20"/>
          <w:szCs w:val="20"/>
        </w:rPr>
      </w:pPr>
    </w:p>
    <w:p w14:paraId="79CF9693" w14:textId="77777777" w:rsidR="00804A73" w:rsidRDefault="00804A73">
      <w:pPr>
        <w:pStyle w:val="ListParagraph"/>
        <w:spacing w:before="54" w:after="0" w:line="276" w:lineRule="auto"/>
        <w:ind w:left="0"/>
        <w:rPr>
          <w:rFonts w:ascii="Times New Roman" w:hAnsi="Times New Roman" w:cs="Times New Roman"/>
          <w:b/>
          <w:bCs/>
          <w:color w:val="000000" w:themeColor="text1"/>
          <w:sz w:val="20"/>
          <w:szCs w:val="20"/>
        </w:rPr>
      </w:pPr>
    </w:p>
    <w:sectPr w:rsidR="00804A73">
      <w:headerReference w:type="default" r:id="rId13"/>
      <w:footerReference w:type="default" r:id="rId14"/>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C3F10" w14:textId="77777777" w:rsidR="00541332" w:rsidRDefault="00541332">
      <w:pPr>
        <w:spacing w:line="240" w:lineRule="auto"/>
      </w:pPr>
      <w:r>
        <w:separator/>
      </w:r>
    </w:p>
  </w:endnote>
  <w:endnote w:type="continuationSeparator" w:id="0">
    <w:p w14:paraId="66285787" w14:textId="77777777" w:rsidR="00541332" w:rsidRDefault="005413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altName w:val="AMGDT"/>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A22BD" w14:textId="77777777" w:rsidR="00804A73" w:rsidRDefault="00541332">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AutoText"/>
        </w:docPartObj>
      </w:sdtPr>
      <w:sdtEndPr/>
      <w:sdtContent>
        <w:r>
          <w:rPr>
            <w:b/>
            <w:bCs/>
          </w:rPr>
          <w:t xml:space="preserve">Page | </w:t>
        </w:r>
        <w:r>
          <w:rPr>
            <w:b/>
            <w:bCs/>
          </w:rPr>
          <w:fldChar w:fldCharType="begin"/>
        </w:r>
        <w:r>
          <w:rPr>
            <w:b/>
            <w:bCs/>
          </w:rPr>
          <w:instrText xml:space="preserve"> PAGE   \* MERGEFORMAT </w:instrText>
        </w:r>
        <w:r>
          <w:rPr>
            <w:b/>
            <w:bCs/>
          </w:rPr>
          <w:fldChar w:fldCharType="separate"/>
        </w:r>
        <w:r w:rsidR="00772364">
          <w:rPr>
            <w:b/>
            <w:bCs/>
            <w:noProof/>
          </w:rPr>
          <w:t>10</w:t>
        </w:r>
        <w:r>
          <w:rPr>
            <w:b/>
            <w:bCs/>
          </w:rPr>
          <w:fldChar w:fldCharType="end"/>
        </w:r>
        <w:r>
          <w:rPr>
            <w:b/>
            <w:bCs/>
          </w:rPr>
          <w:t xml:space="preserve"> </w:t>
        </w:r>
      </w:sdtContent>
    </w:sdt>
  </w:p>
  <w:p w14:paraId="1393769E" w14:textId="77777777" w:rsidR="00804A73" w:rsidRDefault="00804A7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82A4D" w14:textId="77777777" w:rsidR="00541332" w:rsidRDefault="00541332">
      <w:pPr>
        <w:spacing w:after="0"/>
      </w:pPr>
      <w:r>
        <w:separator/>
      </w:r>
    </w:p>
  </w:footnote>
  <w:footnote w:type="continuationSeparator" w:id="0">
    <w:p w14:paraId="65B17D2D" w14:textId="77777777" w:rsidR="00541332" w:rsidRDefault="0054133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804A73" w14:paraId="69DF6414" w14:textId="77777777">
      <w:trPr>
        <w:trHeight w:val="435"/>
        <w:jc w:val="center"/>
      </w:trPr>
      <w:tc>
        <w:tcPr>
          <w:tcW w:w="2405" w:type="dxa"/>
          <w:vMerge w:val="restart"/>
          <w:vAlign w:val="center"/>
        </w:tcPr>
        <w:p w14:paraId="27F63326" w14:textId="77777777" w:rsidR="00804A73" w:rsidRDefault="00541332">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noProof/>
              <w:color w:val="1F497D"/>
              <w:sz w:val="20"/>
              <w:szCs w:val="20"/>
              <w:lang w:val="en-PH" w:eastAsia="en-PH"/>
            </w:rPr>
            <w:drawing>
              <wp:inline distT="0" distB="0" distL="0" distR="0" wp14:anchorId="1970711E" wp14:editId="09B042F9">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B14F08E" w14:textId="77777777" w:rsidR="00804A73" w:rsidRDefault="00541332">
          <w:pPr>
            <w:tabs>
              <w:tab w:val="left" w:pos="4820"/>
              <w:tab w:val="right" w:pos="9360"/>
            </w:tabs>
            <w:spacing w:after="0" w:line="240" w:lineRule="auto"/>
            <w:jc w:val="center"/>
            <w:rPr>
              <w:rFonts w:ascii="Times New Roman" w:hAnsi="Times New Roman" w:cs="Times New Roman"/>
              <w:b/>
              <w:color w:val="1F497D"/>
              <w:lang w:val="fr-FR"/>
            </w:rPr>
          </w:pPr>
          <w:bookmarkStart w:id="2" w:name="_Hlk63187445"/>
          <w:r>
            <w:rPr>
              <w:rFonts w:ascii="Times New Roman" w:hAnsi="Times New Roman" w:cs="Times New Roman"/>
              <w:b/>
              <w:color w:val="1F497D"/>
              <w:lang w:val="fr-FR"/>
            </w:rPr>
            <w:t xml:space="preserve">INTERNATIONAL JOURNAL OF PROGRESSIVE RESEARCH IN ENGINEERING MANAGEMENT </w:t>
          </w:r>
        </w:p>
        <w:p w14:paraId="5D5D3074" w14:textId="77777777" w:rsidR="00804A73" w:rsidRDefault="00541332">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AND SCIENCE (IJPREMS)</w:t>
          </w:r>
        </w:p>
        <w:p w14:paraId="5B18CD2C" w14:textId="77777777" w:rsidR="00804A73" w:rsidRDefault="00804A73">
          <w:pPr>
            <w:tabs>
              <w:tab w:val="left" w:pos="4820"/>
              <w:tab w:val="right" w:pos="9360"/>
            </w:tabs>
            <w:spacing w:after="0" w:line="240" w:lineRule="auto"/>
            <w:jc w:val="center"/>
            <w:rPr>
              <w:rFonts w:ascii="Times New Roman" w:hAnsi="Times New Roman" w:cs="Times New Roman"/>
              <w:bCs/>
              <w:sz w:val="24"/>
              <w:szCs w:val="24"/>
              <w:lang w:val="fr-FR" w:eastAsia="en-IN"/>
            </w:rPr>
          </w:pPr>
        </w:p>
        <w:p w14:paraId="6183F490" w14:textId="77777777" w:rsidR="00804A73" w:rsidRDefault="00541332">
          <w:pPr>
            <w:tabs>
              <w:tab w:val="left" w:pos="4820"/>
              <w:tab w:val="right" w:pos="9360"/>
            </w:tabs>
            <w:spacing w:after="0" w:line="240" w:lineRule="auto"/>
            <w:jc w:val="center"/>
            <w:rPr>
              <w:rFonts w:ascii="Times New Roman" w:hAnsi="Times New Roman" w:cs="Times New Roman"/>
              <w:b/>
              <w:color w:val="1F497D"/>
              <w:sz w:val="24"/>
              <w:szCs w:val="24"/>
              <w:lang w:val="fr-FR"/>
            </w:rPr>
          </w:pPr>
          <w:r>
            <w:rPr>
              <w:rFonts w:ascii="Times New Roman" w:hAnsi="Times New Roman" w:cs="Times New Roman"/>
              <w:bCs/>
              <w:sz w:val="24"/>
              <w:szCs w:val="24"/>
              <w:lang w:val="fr-FR" w:eastAsia="en-IN"/>
            </w:rPr>
            <w:t xml:space="preserve">Vol. 03, Issue 08, </w:t>
          </w:r>
          <w:r>
            <w:rPr>
              <w:rFonts w:ascii="Times New Roman" w:hAnsi="Times New Roman" w:cs="Times New Roman"/>
              <w:bCs/>
              <w:sz w:val="24"/>
              <w:szCs w:val="24"/>
              <w:lang w:val="fr-FR" w:eastAsia="en-IN"/>
            </w:rPr>
            <w:t>August 2023, pp : xx-xx</w:t>
          </w:r>
        </w:p>
      </w:tc>
      <w:bookmarkEnd w:id="2"/>
      <w:tc>
        <w:tcPr>
          <w:tcW w:w="1866" w:type="dxa"/>
          <w:vAlign w:val="center"/>
        </w:tcPr>
        <w:p w14:paraId="1E4A2184" w14:textId="77777777" w:rsidR="00804A73" w:rsidRDefault="00541332">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1CF47955" w14:textId="77777777" w:rsidR="00804A73" w:rsidRDefault="00541332">
          <w:pPr>
            <w:tabs>
              <w:tab w:val="left" w:pos="4820"/>
              <w:tab w:val="right" w:pos="9360"/>
            </w:tabs>
            <w:spacing w:after="0" w:line="240" w:lineRule="auto"/>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 xml:space="preserve"> 2583-1062</w:t>
          </w:r>
        </w:p>
      </w:tc>
    </w:tr>
    <w:tr w:rsidR="00804A73" w14:paraId="732A8565" w14:textId="77777777">
      <w:trPr>
        <w:trHeight w:val="435"/>
        <w:jc w:val="center"/>
      </w:trPr>
      <w:tc>
        <w:tcPr>
          <w:tcW w:w="2405" w:type="dxa"/>
          <w:vMerge/>
          <w:vAlign w:val="center"/>
        </w:tcPr>
        <w:p w14:paraId="3A0F47EE" w14:textId="77777777" w:rsidR="00804A73" w:rsidRDefault="00804A73">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p>
      </w:tc>
      <w:tc>
        <w:tcPr>
          <w:tcW w:w="5812" w:type="dxa"/>
          <w:vMerge/>
          <w:vAlign w:val="center"/>
        </w:tcPr>
        <w:p w14:paraId="7747482E" w14:textId="77777777" w:rsidR="00804A73" w:rsidRDefault="00804A73">
          <w:pPr>
            <w:tabs>
              <w:tab w:val="left" w:pos="4820"/>
              <w:tab w:val="right" w:pos="9360"/>
            </w:tabs>
            <w:spacing w:after="0" w:line="240" w:lineRule="auto"/>
            <w:jc w:val="center"/>
            <w:rPr>
              <w:rFonts w:ascii="Times New Roman" w:hAnsi="Times New Roman" w:cs="Times New Roman"/>
              <w:b/>
              <w:color w:val="1F497D"/>
              <w:sz w:val="20"/>
              <w:szCs w:val="20"/>
              <w:lang w:val="fr-FR"/>
            </w:rPr>
          </w:pPr>
        </w:p>
      </w:tc>
      <w:tc>
        <w:tcPr>
          <w:tcW w:w="1866" w:type="dxa"/>
          <w:vMerge w:val="restart"/>
          <w:vAlign w:val="center"/>
        </w:tcPr>
        <w:p w14:paraId="04A8FAEF" w14:textId="77777777" w:rsidR="00804A73" w:rsidRDefault="00541332">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Impact</w:t>
          </w:r>
        </w:p>
        <w:p w14:paraId="61AF5DCB" w14:textId="77777777" w:rsidR="00804A73" w:rsidRDefault="00541332">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 xml:space="preserve">  Factor :</w:t>
          </w:r>
        </w:p>
        <w:p w14:paraId="1FAE0CB7" w14:textId="77777777" w:rsidR="00804A73" w:rsidRDefault="00541332">
          <w:pPr>
            <w:tabs>
              <w:tab w:val="left" w:pos="4820"/>
              <w:tab w:val="right" w:pos="9360"/>
            </w:tabs>
            <w:spacing w:after="0" w:line="240" w:lineRule="auto"/>
            <w:jc w:val="center"/>
            <w:rPr>
              <w:rFonts w:ascii="Times New Roman" w:hAnsi="Times New Roman" w:cs="Times New Roman"/>
              <w:b/>
              <w:color w:val="1F497D"/>
              <w:sz w:val="20"/>
              <w:szCs w:val="20"/>
              <w:lang w:val="fr-FR"/>
            </w:rPr>
          </w:pPr>
          <w:r>
            <w:rPr>
              <w:rFonts w:ascii="Times New Roman" w:hAnsi="Times New Roman" w:cs="Times New Roman"/>
              <w:b/>
              <w:color w:val="1F497D"/>
              <w:sz w:val="20"/>
              <w:szCs w:val="20"/>
              <w:lang w:val="fr-FR"/>
            </w:rPr>
            <w:t>5.725</w:t>
          </w:r>
        </w:p>
      </w:tc>
    </w:tr>
    <w:tr w:rsidR="00804A73" w14:paraId="722D1535" w14:textId="77777777">
      <w:trPr>
        <w:trHeight w:val="340"/>
        <w:jc w:val="center"/>
      </w:trPr>
      <w:tc>
        <w:tcPr>
          <w:tcW w:w="2405" w:type="dxa"/>
          <w:vAlign w:val="center"/>
        </w:tcPr>
        <w:p w14:paraId="414C6762" w14:textId="77777777" w:rsidR="00804A73" w:rsidRDefault="00541332">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www.ijprems.com</w:t>
          </w:r>
        </w:p>
      </w:tc>
      <w:tc>
        <w:tcPr>
          <w:tcW w:w="5812" w:type="dxa"/>
          <w:vMerge/>
        </w:tcPr>
        <w:p w14:paraId="2B26DF76" w14:textId="77777777" w:rsidR="00804A73" w:rsidRDefault="00804A73">
          <w:pPr>
            <w:tabs>
              <w:tab w:val="left" w:pos="4820"/>
              <w:tab w:val="right" w:pos="9360"/>
            </w:tabs>
            <w:spacing w:after="0" w:line="240" w:lineRule="auto"/>
            <w:jc w:val="center"/>
            <w:rPr>
              <w:rFonts w:ascii="Times New Roman" w:hAnsi="Times New Roman" w:cs="Times New Roman"/>
              <w:b/>
              <w:color w:val="1F497D"/>
              <w:sz w:val="12"/>
              <w:szCs w:val="12"/>
              <w:lang w:val="fr-FR"/>
            </w:rPr>
          </w:pPr>
        </w:p>
      </w:tc>
      <w:tc>
        <w:tcPr>
          <w:tcW w:w="1866" w:type="dxa"/>
          <w:vMerge/>
          <w:vAlign w:val="center"/>
        </w:tcPr>
        <w:p w14:paraId="0D5788F0" w14:textId="77777777" w:rsidR="00804A73" w:rsidRDefault="00804A73">
          <w:pPr>
            <w:tabs>
              <w:tab w:val="left" w:pos="4820"/>
              <w:tab w:val="right" w:pos="9360"/>
            </w:tabs>
            <w:spacing w:after="0" w:line="240" w:lineRule="auto"/>
            <w:jc w:val="center"/>
            <w:rPr>
              <w:rFonts w:ascii="Times New Roman" w:hAnsi="Times New Roman" w:cs="Times New Roman"/>
              <w:b/>
              <w:color w:val="1F497D"/>
              <w:sz w:val="12"/>
              <w:szCs w:val="12"/>
              <w:lang w:val="fr-FR"/>
            </w:rPr>
          </w:pPr>
        </w:p>
      </w:tc>
    </w:tr>
    <w:tr w:rsidR="00804A73" w14:paraId="753F8C08" w14:textId="77777777">
      <w:trPr>
        <w:trHeight w:val="113"/>
        <w:jc w:val="center"/>
      </w:trPr>
      <w:tc>
        <w:tcPr>
          <w:tcW w:w="2405" w:type="dxa"/>
          <w:vAlign w:val="center"/>
        </w:tcPr>
        <w:p w14:paraId="46939108" w14:textId="77777777" w:rsidR="00804A73" w:rsidRDefault="00541332">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editor@ijprems.com</w:t>
          </w:r>
        </w:p>
      </w:tc>
      <w:tc>
        <w:tcPr>
          <w:tcW w:w="5812" w:type="dxa"/>
          <w:vMerge/>
        </w:tcPr>
        <w:p w14:paraId="262FC6A3" w14:textId="77777777" w:rsidR="00804A73" w:rsidRDefault="00804A73">
          <w:pPr>
            <w:tabs>
              <w:tab w:val="left" w:pos="4820"/>
              <w:tab w:val="right" w:pos="9360"/>
            </w:tabs>
            <w:spacing w:after="0" w:line="240" w:lineRule="auto"/>
            <w:jc w:val="center"/>
            <w:rPr>
              <w:rFonts w:ascii="Times New Roman" w:hAnsi="Times New Roman" w:cs="Times New Roman"/>
              <w:b/>
              <w:color w:val="1F497D"/>
              <w:sz w:val="12"/>
              <w:szCs w:val="12"/>
              <w:lang w:val="fr-FR"/>
            </w:rPr>
          </w:pPr>
        </w:p>
      </w:tc>
      <w:tc>
        <w:tcPr>
          <w:tcW w:w="1866" w:type="dxa"/>
          <w:vMerge/>
        </w:tcPr>
        <w:p w14:paraId="11E40FD1" w14:textId="77777777" w:rsidR="00804A73" w:rsidRDefault="00804A73">
          <w:pPr>
            <w:tabs>
              <w:tab w:val="left" w:pos="4820"/>
              <w:tab w:val="right" w:pos="9360"/>
            </w:tabs>
            <w:spacing w:after="0" w:line="240" w:lineRule="auto"/>
            <w:jc w:val="center"/>
            <w:rPr>
              <w:rFonts w:ascii="Times New Roman" w:hAnsi="Times New Roman" w:cs="Times New Roman"/>
              <w:b/>
              <w:color w:val="1F497D"/>
              <w:sz w:val="12"/>
              <w:szCs w:val="12"/>
              <w:lang w:val="fr-FR"/>
            </w:rPr>
          </w:pPr>
        </w:p>
      </w:tc>
    </w:tr>
  </w:tbl>
  <w:p w14:paraId="21EBF735" w14:textId="77777777" w:rsidR="00804A73" w:rsidRDefault="00804A73">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CE7909B"/>
    <w:multiLevelType w:val="singleLevel"/>
    <w:tmpl w:val="CCE7909B"/>
    <w:lvl w:ilvl="0">
      <w:start w:val="1"/>
      <w:numFmt w:val="decimal"/>
      <w:suff w:val="space"/>
      <w:lvlText w:val="%1."/>
      <w:lvlJc w:val="left"/>
    </w:lvl>
  </w:abstractNum>
  <w:abstractNum w:abstractNumId="1">
    <w:nsid w:val="2C78771E"/>
    <w:multiLevelType w:val="singleLevel"/>
    <w:tmpl w:val="2C78771E"/>
    <w:lvl w:ilvl="0">
      <w:start w:val="2"/>
      <w:numFmt w:val="decimal"/>
      <w:suff w:val="space"/>
      <w:lvlText w:val="%1."/>
      <w:lvlJc w:val="left"/>
    </w:lvl>
  </w:abstractNum>
  <w:abstractNum w:abstractNumId="2">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51D80147"/>
    <w:multiLevelType w:val="multilevel"/>
    <w:tmpl w:val="51D80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87E26"/>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8402D"/>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41332"/>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72364"/>
    <w:rsid w:val="0079243B"/>
    <w:rsid w:val="007B170D"/>
    <w:rsid w:val="007D5C9A"/>
    <w:rsid w:val="007E75BA"/>
    <w:rsid w:val="007E79D6"/>
    <w:rsid w:val="007F4C35"/>
    <w:rsid w:val="007F6CE4"/>
    <w:rsid w:val="00804A73"/>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27D7"/>
    <w:rsid w:val="00A4475A"/>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62BD"/>
    <w:rsid w:val="00BA6D24"/>
    <w:rsid w:val="00BC087A"/>
    <w:rsid w:val="00BC37A0"/>
    <w:rsid w:val="00BC4F0F"/>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0609"/>
    <w:rsid w:val="00CE4576"/>
    <w:rsid w:val="00CE4A54"/>
    <w:rsid w:val="00CE5A19"/>
    <w:rsid w:val="00D25854"/>
    <w:rsid w:val="00D3084A"/>
    <w:rsid w:val="00D6468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87AB0"/>
    <w:rsid w:val="00FC7701"/>
    <w:rsid w:val="00FD543B"/>
    <w:rsid w:val="00FE3C38"/>
    <w:rsid w:val="00FF3465"/>
    <w:rsid w:val="00FF754F"/>
    <w:rsid w:val="17DB69C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24B4009"/>
  <w15:docId w15:val="{AA7590D8-E3EC-4B01-B0F0-37F832F4A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qFormat/>
    <w:rPr>
      <w:rFonts w:cs="Times New Roman"/>
      <w:color w:val="0000FF"/>
      <w:u w:val="single"/>
    </w:rPr>
  </w:style>
  <w:style w:type="table" w:styleId="TableGrid">
    <w:name w:val="Table Grid"/>
    <w:basedOn w:val="TableNormal"/>
    <w:uiPriority w:val="39"/>
    <w:qFormat/>
    <w:rPr>
      <w:rFonts w:ascii="Calibri" w:eastAsia="Calibri" w:hAnsi="Calibri" w:cs="Kartika"/>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qFormat/>
    <w:rPr>
      <w:rFonts w:ascii="Times New Roman" w:eastAsia="PMingLiU" w:hAnsi="Times New Roman" w:cs="Times New Roman"/>
      <w:sz w:val="18"/>
      <w:szCs w:val="18"/>
    </w:rPr>
  </w:style>
  <w:style w:type="paragraph" w:customStyle="1" w:styleId="Affiliation">
    <w:name w:val="Affiliation"/>
    <w:qFormat/>
    <w:pPr>
      <w:jc w:val="center"/>
    </w:pPr>
    <w:rPr>
      <w:rFonts w:ascii="Times New Roman" w:eastAsia="SimSun" w:hAnsi="Times New Roman" w:cs="Times New Roman"/>
      <w:lang w:val="en-US" w:eastAsia="en-US"/>
    </w:rPr>
  </w:style>
  <w:style w:type="paragraph" w:customStyle="1" w:styleId="Abstract">
    <w:name w:val="Abstract"/>
    <w:qFormat/>
    <w:pPr>
      <w:suppressAutoHyphens/>
      <w:spacing w:after="200"/>
      <w:ind w:firstLine="170"/>
      <w:jc w:val="both"/>
    </w:pPr>
    <w:rPr>
      <w:rFonts w:ascii="Times New Roman" w:eastAsia="SimSun" w:hAnsi="Times New Roman" w:cs="Times New Roman"/>
      <w:b/>
      <w:bCs/>
      <w:sz w:val="18"/>
      <w:szCs w:val="18"/>
      <w:lang w:val="en-US" w:eastAsia="zh-CN"/>
    </w:rPr>
  </w:style>
  <w:style w:type="paragraph" w:customStyle="1" w:styleId="keywords">
    <w:name w:val="key words"/>
    <w:qFormat/>
    <w:pPr>
      <w:suppressAutoHyphens/>
      <w:spacing w:after="120"/>
      <w:ind w:firstLine="288"/>
      <w:jc w:val="both"/>
    </w:pPr>
    <w:rPr>
      <w:rFonts w:ascii="Times New Roman" w:eastAsia="SimSun" w:hAnsi="Times New Roman" w:cs="Times New Roman"/>
      <w:b/>
      <w:bCs/>
      <w:iCs/>
      <w:sz w:val="18"/>
      <w:szCs w:val="18"/>
      <w:lang w:val="en-US" w:eastAsia="en-US"/>
    </w:rPr>
  </w:style>
  <w:style w:type="paragraph" w:customStyle="1" w:styleId="IEEEHeading2">
    <w:name w:val="IEEE Heading 2"/>
    <w:basedOn w:val="Normal"/>
    <w:next w:val="IEEEParagraph"/>
    <w:qFormat/>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fficialgazette.gov.ph/2010/05/27/republic-act-no-1012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nsbir\Desktop\POLICIES\DRRM\Guidelines_for_the_Establishment_of_LDRRMOs_or_BDRRMCs_in_LGUs-JMC2014-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lg.gov.ph/issuances/mc/Early-Preparedness-Actions-to-Reduce-Disaster-Risks-/2164"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Sheet1!$E$5</c:f>
              <c:strCache>
                <c:ptCount val="1"/>
                <c:pt idx="0">
                  <c:v>Level of Compliance</c:v>
                </c:pt>
              </c:strCache>
            </c:strRef>
          </c:tx>
          <c:spPr>
            <a:solidFill>
              <a:schemeClr val="accent1"/>
            </a:solidFill>
            <a:ln>
              <a:noFill/>
            </a:ln>
            <a:effectLst/>
          </c:spPr>
          <c:invertIfNegative val="0"/>
          <c:cat>
            <c:strRef>
              <c:f>Sheet1!$D$6:$D$9</c:f>
              <c:strCache>
                <c:ptCount val="4"/>
                <c:pt idx="0">
                  <c:v>Prepositioning of Resources</c:v>
                </c:pt>
                <c:pt idx="1">
                  <c:v>Systems and Structures</c:v>
                </c:pt>
                <c:pt idx="2">
                  <c:v>Institutional  Policies and Plans</c:v>
                </c:pt>
                <c:pt idx="3">
                  <c:v>Building Competencies</c:v>
                </c:pt>
              </c:strCache>
            </c:strRef>
          </c:cat>
          <c:val>
            <c:numRef>
              <c:f>Sheet1!$E$6:$E$9</c:f>
              <c:numCache>
                <c:formatCode>0.00%</c:formatCode>
                <c:ptCount val="4"/>
                <c:pt idx="0">
                  <c:v>0.75</c:v>
                </c:pt>
                <c:pt idx="1">
                  <c:v>0.66666666666666696</c:v>
                </c:pt>
                <c:pt idx="2">
                  <c:v>0.57894736842105299</c:v>
                </c:pt>
                <c:pt idx="3">
                  <c:v>0.5</c:v>
                </c:pt>
              </c:numCache>
            </c:numRef>
          </c:val>
          <c:extLst xmlns:c16r2="http://schemas.microsoft.com/office/drawing/2015/06/chart">
            <c:ext xmlns:c16="http://schemas.microsoft.com/office/drawing/2014/chart" uri="{C3380CC4-5D6E-409C-BE32-E72D297353CC}">
              <c16:uniqueId val="{00000000-FDB5-4FD9-8460-53342CB7C0E7}"/>
            </c:ext>
          </c:extLst>
        </c:ser>
        <c:dLbls>
          <c:showLegendKey val="0"/>
          <c:showVal val="0"/>
          <c:showCatName val="0"/>
          <c:showSerName val="0"/>
          <c:showPercent val="0"/>
          <c:showBubbleSize val="0"/>
        </c:dLbls>
        <c:gapWidth val="219"/>
        <c:overlap val="-27"/>
        <c:axId val="1099616960"/>
        <c:axId val="1099618048"/>
      </c:barChart>
      <c:catAx>
        <c:axId val="109961696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Disaster</a:t>
                </a:r>
                <a:r>
                  <a:rPr lang="en-US" baseline="0"/>
                  <a:t> Preparedness' </a:t>
                </a:r>
                <a:r>
                  <a:rPr lang="en-US"/>
                  <a:t>Components</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9618048"/>
        <c:crosses val="autoZero"/>
        <c:auto val="1"/>
        <c:lblAlgn val="ctr"/>
        <c:lblOffset val="100"/>
        <c:noMultiLvlLbl val="0"/>
      </c:catAx>
      <c:valAx>
        <c:axId val="1099618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Compliance</a:t>
                </a:r>
                <a:r>
                  <a:rPr lang="en-US" baseline="0"/>
                  <a:t> Rate, %</a:t>
                </a:r>
                <a:endParaRPr lang="en-US"/>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9616960"/>
        <c:crosses val="autoZero"/>
        <c:crossBetween val="between"/>
      </c:valAx>
      <c:spPr>
        <a:noFill/>
        <a:ln>
          <a:solidFill>
            <a:schemeClr val="tx1"/>
          </a:solid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F9B12-CC73-4BC9-840A-6B6541F3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Alferez MM</cp:lastModifiedBy>
  <cp:revision>12</cp:revision>
  <cp:lastPrinted>2021-02-22T14:39:00Z</cp:lastPrinted>
  <dcterms:created xsi:type="dcterms:W3CDTF">2022-12-17T05:38:00Z</dcterms:created>
  <dcterms:modified xsi:type="dcterms:W3CDTF">2023-12-08T11:50:00Z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B88B16998BFF4D54944070A57B376D46_12</vt:lpwstr>
  </property>
</Properties>
</file>