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DB848" w14:textId="77777777" w:rsidR="00BD3F0B" w:rsidRPr="007B53E4" w:rsidRDefault="00BD3F0B" w:rsidP="00BD3F0B">
      <w:pPr>
        <w:pStyle w:val="NormalWeb"/>
        <w:shd w:val="clear" w:color="auto" w:fill="FFFFFF"/>
        <w:spacing w:before="0" w:beforeAutospacing="0" w:after="150" w:afterAutospacing="0" w:line="360" w:lineRule="auto"/>
        <w:rPr>
          <w:rFonts w:ascii="Arial" w:hAnsi="Arial" w:cs="Arial"/>
          <w:color w:val="333333"/>
          <w:sz w:val="20"/>
          <w:szCs w:val="20"/>
          <w:lang w:val="en-GB"/>
        </w:rPr>
      </w:pPr>
      <w:r w:rsidRPr="007B53E4">
        <w:rPr>
          <w:rStyle w:val="Strong"/>
          <w:rFonts w:ascii="Arial" w:hAnsi="Arial" w:cs="Arial"/>
          <w:b w:val="0"/>
          <w:bCs w:val="0"/>
          <w:color w:val="333333"/>
          <w:sz w:val="20"/>
          <w:szCs w:val="20"/>
          <w:lang w:val="en-GB"/>
        </w:rPr>
        <w:t>Title</w:t>
      </w:r>
      <w:r>
        <w:rPr>
          <w:rStyle w:val="Strong"/>
          <w:rFonts w:ascii="Arial" w:hAnsi="Arial" w:cs="Arial"/>
          <w:b w:val="0"/>
          <w:bCs w:val="0"/>
          <w:color w:val="333333"/>
          <w:sz w:val="20"/>
          <w:szCs w:val="20"/>
          <w:lang w:val="en-GB"/>
        </w:rPr>
        <w:t xml:space="preserve"> Page</w:t>
      </w:r>
    </w:p>
    <w:p w14:paraId="63634838" w14:textId="77777777" w:rsidR="00BD3F0B" w:rsidRPr="007B53E4" w:rsidRDefault="00BD3F0B" w:rsidP="00BD3F0B">
      <w:pPr>
        <w:keepNext/>
        <w:numPr>
          <w:ilvl w:val="1"/>
          <w:numId w:val="0"/>
        </w:numPr>
        <w:adjustRightInd w:val="0"/>
        <w:snapToGrid w:val="0"/>
        <w:spacing w:after="0" w:line="360" w:lineRule="auto"/>
        <w:ind w:left="567" w:hanging="576"/>
        <w:outlineLvl w:val="1"/>
        <w:rPr>
          <w:rFonts w:ascii="Arial" w:hAnsi="Arial" w:cs="Arial"/>
          <w:sz w:val="20"/>
          <w:szCs w:val="20"/>
          <w:lang w:val="en-GB"/>
        </w:rPr>
      </w:pPr>
      <w:r w:rsidRPr="007B53E4">
        <w:rPr>
          <w:rFonts w:ascii="Arial" w:hAnsi="Arial" w:cs="Arial"/>
          <w:sz w:val="20"/>
          <w:szCs w:val="20"/>
          <w:lang w:val="en-GB"/>
        </w:rPr>
        <w:t xml:space="preserve">Severe Retinopathy of </w:t>
      </w:r>
      <w:proofErr w:type="gramStart"/>
      <w:r w:rsidRPr="007B53E4">
        <w:rPr>
          <w:rFonts w:ascii="Arial" w:hAnsi="Arial" w:cs="Arial"/>
          <w:sz w:val="20"/>
          <w:szCs w:val="20"/>
          <w:lang w:val="en-GB"/>
        </w:rPr>
        <w:t>Prematurity :</w:t>
      </w:r>
      <w:proofErr w:type="gramEnd"/>
      <w:r w:rsidRPr="007B53E4">
        <w:rPr>
          <w:rFonts w:ascii="Arial" w:hAnsi="Arial" w:cs="Arial"/>
          <w:sz w:val="20"/>
          <w:szCs w:val="20"/>
          <w:lang w:val="en-GB"/>
        </w:rPr>
        <w:t xml:space="preserve"> Review of Compliance to Guidelines, Demographics and Alternative Risk Factors.</w:t>
      </w:r>
    </w:p>
    <w:p w14:paraId="72D670AC" w14:textId="77777777" w:rsidR="00BD3F0B" w:rsidRPr="007B53E4" w:rsidRDefault="00BD3F0B" w:rsidP="00BD3F0B">
      <w:pPr>
        <w:keepNext/>
        <w:numPr>
          <w:ilvl w:val="1"/>
          <w:numId w:val="0"/>
        </w:numPr>
        <w:adjustRightInd w:val="0"/>
        <w:snapToGrid w:val="0"/>
        <w:spacing w:after="0" w:line="360" w:lineRule="auto"/>
        <w:ind w:left="576" w:hanging="576"/>
        <w:jc w:val="both"/>
        <w:outlineLvl w:val="1"/>
        <w:rPr>
          <w:rFonts w:ascii="Arial" w:hAnsi="Arial" w:cs="Arial"/>
          <w:sz w:val="20"/>
          <w:szCs w:val="20"/>
          <w:lang w:val="en-GB"/>
        </w:rPr>
      </w:pPr>
    </w:p>
    <w:p w14:paraId="27AD6FA5" w14:textId="77777777" w:rsidR="00BD3F0B" w:rsidRPr="007B53E4" w:rsidRDefault="00BD3F0B" w:rsidP="00BD3F0B">
      <w:pPr>
        <w:keepNext/>
        <w:numPr>
          <w:ilvl w:val="1"/>
          <w:numId w:val="0"/>
        </w:numPr>
        <w:adjustRightInd w:val="0"/>
        <w:snapToGrid w:val="0"/>
        <w:spacing w:after="0" w:line="360" w:lineRule="auto"/>
        <w:ind w:left="576" w:hanging="576"/>
        <w:jc w:val="both"/>
        <w:outlineLvl w:val="1"/>
        <w:rPr>
          <w:rFonts w:ascii="Arial" w:hAnsi="Arial" w:cs="Arial"/>
          <w:sz w:val="20"/>
          <w:szCs w:val="20"/>
          <w:lang w:val="en-GB"/>
        </w:rPr>
      </w:pPr>
      <w:r w:rsidRPr="007B53E4">
        <w:rPr>
          <w:rFonts w:ascii="Arial" w:hAnsi="Arial" w:cs="Arial"/>
          <w:sz w:val="20"/>
          <w:szCs w:val="20"/>
          <w:lang w:val="en-GB"/>
        </w:rPr>
        <w:t>Authors</w:t>
      </w:r>
    </w:p>
    <w:p w14:paraId="43A0DBD7" w14:textId="77777777" w:rsidR="00BD3F0B" w:rsidRPr="007B53E4" w:rsidRDefault="00BD3F0B" w:rsidP="00BD3F0B">
      <w:pPr>
        <w:pStyle w:val="ListParagraph"/>
        <w:keepNext/>
        <w:numPr>
          <w:ilvl w:val="0"/>
          <w:numId w:val="1"/>
        </w:numPr>
        <w:adjustRightInd w:val="0"/>
        <w:snapToGrid w:val="0"/>
        <w:spacing w:after="0" w:line="360" w:lineRule="auto"/>
        <w:jc w:val="both"/>
        <w:outlineLvl w:val="1"/>
        <w:rPr>
          <w:rFonts w:ascii="Arial" w:hAnsi="Arial" w:cs="Arial"/>
          <w:sz w:val="20"/>
          <w:szCs w:val="20"/>
          <w:lang w:val="en-GB"/>
        </w:rPr>
      </w:pPr>
      <w:r w:rsidRPr="007B53E4">
        <w:rPr>
          <w:rFonts w:ascii="Arial" w:hAnsi="Arial" w:cs="Arial"/>
          <w:sz w:val="20"/>
          <w:szCs w:val="20"/>
          <w:lang w:val="en-GB"/>
        </w:rPr>
        <w:t>Dr Athirah Aminudin</w:t>
      </w:r>
    </w:p>
    <w:p w14:paraId="0D1EAB37" w14:textId="77777777" w:rsidR="00BD3F0B" w:rsidRPr="007B53E4" w:rsidRDefault="00BD3F0B" w:rsidP="00BD3F0B">
      <w:pPr>
        <w:pStyle w:val="ListParagraph"/>
        <w:keepNext/>
        <w:adjustRightInd w:val="0"/>
        <w:snapToGrid w:val="0"/>
        <w:spacing w:after="0" w:line="360" w:lineRule="auto"/>
        <w:jc w:val="both"/>
        <w:outlineLvl w:val="1"/>
        <w:rPr>
          <w:rFonts w:ascii="Arial" w:hAnsi="Arial" w:cs="Arial"/>
          <w:sz w:val="20"/>
          <w:szCs w:val="20"/>
          <w:lang w:val="en-GB"/>
        </w:rPr>
      </w:pPr>
      <w:proofErr w:type="spellStart"/>
      <w:r w:rsidRPr="007B53E4">
        <w:rPr>
          <w:rFonts w:ascii="Arial" w:hAnsi="Arial" w:cs="Arial"/>
          <w:sz w:val="20"/>
          <w:szCs w:val="20"/>
          <w:lang w:val="en-GB"/>
        </w:rPr>
        <w:t>Universiti</w:t>
      </w:r>
      <w:proofErr w:type="spellEnd"/>
      <w:r w:rsidRPr="007B53E4">
        <w:rPr>
          <w:rFonts w:ascii="Arial" w:hAnsi="Arial" w:cs="Arial"/>
          <w:sz w:val="20"/>
          <w:szCs w:val="20"/>
          <w:lang w:val="en-GB"/>
        </w:rPr>
        <w:t xml:space="preserve"> Malaya Medical Centre, Wilayah Persekutuan Kuala Lumpur, Malaysia</w:t>
      </w:r>
    </w:p>
    <w:p w14:paraId="6C9B03DE" w14:textId="1F3DABD9" w:rsidR="00BD3F0B" w:rsidRPr="007B53E4" w:rsidRDefault="00BD3F0B" w:rsidP="00BD3F0B">
      <w:pPr>
        <w:pStyle w:val="ListParagraph"/>
        <w:keepNext/>
        <w:numPr>
          <w:ilvl w:val="0"/>
          <w:numId w:val="1"/>
        </w:numPr>
        <w:adjustRightInd w:val="0"/>
        <w:snapToGrid w:val="0"/>
        <w:spacing w:after="0" w:line="360" w:lineRule="auto"/>
        <w:jc w:val="both"/>
        <w:outlineLvl w:val="1"/>
        <w:rPr>
          <w:rFonts w:ascii="Arial" w:hAnsi="Arial" w:cs="Arial"/>
          <w:sz w:val="20"/>
          <w:szCs w:val="20"/>
          <w:lang w:val="en-GB"/>
        </w:rPr>
      </w:pPr>
      <w:r w:rsidRPr="007B53E4">
        <w:rPr>
          <w:rFonts w:ascii="Arial" w:hAnsi="Arial" w:cs="Arial"/>
          <w:sz w:val="20"/>
          <w:szCs w:val="20"/>
          <w:lang w:val="en-GB"/>
        </w:rPr>
        <w:t>Dr Tan Zhi Y</w:t>
      </w:r>
      <w:r w:rsidR="006015B8">
        <w:rPr>
          <w:rFonts w:ascii="Arial" w:hAnsi="Arial" w:cs="Arial"/>
          <w:sz w:val="20"/>
          <w:szCs w:val="20"/>
          <w:lang w:val="en-GB"/>
        </w:rPr>
        <w:t>ue</w:t>
      </w:r>
    </w:p>
    <w:p w14:paraId="11F03FE8" w14:textId="77777777" w:rsidR="00BD3F0B" w:rsidRPr="007B53E4" w:rsidRDefault="00BD3F0B" w:rsidP="00BD3F0B">
      <w:pPr>
        <w:pStyle w:val="ListParagraph"/>
        <w:keepNext/>
        <w:adjustRightInd w:val="0"/>
        <w:snapToGrid w:val="0"/>
        <w:spacing w:after="0" w:line="360" w:lineRule="auto"/>
        <w:jc w:val="both"/>
        <w:outlineLvl w:val="1"/>
        <w:rPr>
          <w:rFonts w:ascii="Arial" w:hAnsi="Arial" w:cs="Arial"/>
          <w:sz w:val="20"/>
          <w:szCs w:val="20"/>
          <w:lang w:val="en-GB"/>
        </w:rPr>
      </w:pPr>
      <w:r w:rsidRPr="007B53E4">
        <w:rPr>
          <w:rFonts w:ascii="Arial" w:hAnsi="Arial" w:cs="Arial"/>
          <w:sz w:val="20"/>
          <w:szCs w:val="20"/>
          <w:lang w:val="en-GB"/>
        </w:rPr>
        <w:t xml:space="preserve">Sultan Abdul Halim Hospital, Sungai </w:t>
      </w:r>
      <w:proofErr w:type="spellStart"/>
      <w:r w:rsidRPr="007B53E4">
        <w:rPr>
          <w:rFonts w:ascii="Arial" w:hAnsi="Arial" w:cs="Arial"/>
          <w:sz w:val="20"/>
          <w:szCs w:val="20"/>
          <w:lang w:val="en-GB"/>
        </w:rPr>
        <w:t>Petani</w:t>
      </w:r>
      <w:proofErr w:type="spellEnd"/>
      <w:r w:rsidRPr="007B53E4">
        <w:rPr>
          <w:rFonts w:ascii="Arial" w:hAnsi="Arial" w:cs="Arial"/>
          <w:sz w:val="20"/>
          <w:szCs w:val="20"/>
          <w:lang w:val="en-GB"/>
        </w:rPr>
        <w:t>, Kedah, Malaysia</w:t>
      </w:r>
    </w:p>
    <w:p w14:paraId="48D05C41" w14:textId="77777777" w:rsidR="00BD3F0B" w:rsidRPr="007B53E4" w:rsidRDefault="00BD3F0B" w:rsidP="00BD3F0B">
      <w:pPr>
        <w:pStyle w:val="ListParagraph"/>
        <w:keepNext/>
        <w:numPr>
          <w:ilvl w:val="0"/>
          <w:numId w:val="1"/>
        </w:numPr>
        <w:adjustRightInd w:val="0"/>
        <w:snapToGrid w:val="0"/>
        <w:spacing w:after="0" w:line="360" w:lineRule="auto"/>
        <w:jc w:val="both"/>
        <w:outlineLvl w:val="1"/>
        <w:rPr>
          <w:rFonts w:ascii="Arial" w:hAnsi="Arial" w:cs="Arial"/>
          <w:sz w:val="20"/>
          <w:szCs w:val="20"/>
          <w:lang w:val="en-GB"/>
        </w:rPr>
      </w:pPr>
      <w:r w:rsidRPr="007B53E4">
        <w:rPr>
          <w:rFonts w:ascii="Arial" w:hAnsi="Arial" w:cs="Arial"/>
          <w:sz w:val="20"/>
          <w:szCs w:val="20"/>
          <w:lang w:val="en-GB"/>
        </w:rPr>
        <w:t xml:space="preserve">Dr </w:t>
      </w:r>
      <w:proofErr w:type="spellStart"/>
      <w:r w:rsidRPr="007B53E4">
        <w:rPr>
          <w:rFonts w:ascii="Arial" w:hAnsi="Arial" w:cs="Arial"/>
          <w:sz w:val="20"/>
          <w:szCs w:val="20"/>
          <w:lang w:val="en-GB"/>
        </w:rPr>
        <w:t>Rosnita</w:t>
      </w:r>
      <w:proofErr w:type="spellEnd"/>
      <w:r w:rsidRPr="007B53E4">
        <w:rPr>
          <w:rFonts w:ascii="Arial" w:hAnsi="Arial" w:cs="Arial"/>
          <w:sz w:val="20"/>
          <w:szCs w:val="20"/>
          <w:lang w:val="en-GB"/>
        </w:rPr>
        <w:t xml:space="preserve"> Alias</w:t>
      </w:r>
    </w:p>
    <w:p w14:paraId="7C70138F" w14:textId="77777777" w:rsidR="00BD3F0B" w:rsidRPr="007B53E4" w:rsidRDefault="00BD3F0B" w:rsidP="00BD3F0B">
      <w:pPr>
        <w:pStyle w:val="ListParagraph"/>
        <w:keepNext/>
        <w:adjustRightInd w:val="0"/>
        <w:snapToGrid w:val="0"/>
        <w:spacing w:after="0" w:line="360" w:lineRule="auto"/>
        <w:jc w:val="both"/>
        <w:outlineLvl w:val="1"/>
        <w:rPr>
          <w:rFonts w:ascii="Arial" w:hAnsi="Arial" w:cs="Arial"/>
          <w:sz w:val="20"/>
          <w:szCs w:val="20"/>
          <w:lang w:val="en-GB"/>
        </w:rPr>
      </w:pPr>
      <w:r w:rsidRPr="007B53E4">
        <w:rPr>
          <w:rFonts w:ascii="Arial" w:hAnsi="Arial" w:cs="Arial"/>
          <w:sz w:val="20"/>
          <w:szCs w:val="20"/>
          <w:lang w:val="en-GB"/>
        </w:rPr>
        <w:t xml:space="preserve">Sultan Abdul Halim Hospital, Sungai </w:t>
      </w:r>
      <w:proofErr w:type="spellStart"/>
      <w:r w:rsidRPr="007B53E4">
        <w:rPr>
          <w:rFonts w:ascii="Arial" w:hAnsi="Arial" w:cs="Arial"/>
          <w:sz w:val="20"/>
          <w:szCs w:val="20"/>
          <w:lang w:val="en-GB"/>
        </w:rPr>
        <w:t>Petani</w:t>
      </w:r>
      <w:proofErr w:type="spellEnd"/>
      <w:r w:rsidRPr="007B53E4">
        <w:rPr>
          <w:rFonts w:ascii="Arial" w:hAnsi="Arial" w:cs="Arial"/>
          <w:sz w:val="20"/>
          <w:szCs w:val="20"/>
          <w:lang w:val="en-GB"/>
        </w:rPr>
        <w:t>, Kedah, Malaysia</w:t>
      </w:r>
    </w:p>
    <w:p w14:paraId="72AB4F01" w14:textId="77777777" w:rsidR="00BD3F0B" w:rsidRPr="007B53E4" w:rsidRDefault="00BD3F0B" w:rsidP="00BD3F0B">
      <w:pPr>
        <w:pStyle w:val="ListParagraph"/>
        <w:keepNext/>
        <w:numPr>
          <w:ilvl w:val="0"/>
          <w:numId w:val="1"/>
        </w:numPr>
        <w:adjustRightInd w:val="0"/>
        <w:snapToGrid w:val="0"/>
        <w:spacing w:after="0" w:line="360" w:lineRule="auto"/>
        <w:jc w:val="both"/>
        <w:outlineLvl w:val="1"/>
        <w:rPr>
          <w:rFonts w:ascii="Arial" w:hAnsi="Arial" w:cs="Arial"/>
          <w:sz w:val="20"/>
          <w:szCs w:val="20"/>
          <w:lang w:val="en-GB"/>
        </w:rPr>
      </w:pPr>
      <w:r w:rsidRPr="007B53E4">
        <w:rPr>
          <w:rFonts w:ascii="Arial" w:hAnsi="Arial" w:cs="Arial"/>
          <w:sz w:val="20"/>
          <w:szCs w:val="20"/>
          <w:lang w:val="en-GB"/>
        </w:rPr>
        <w:t>Associate Professor Dr Amir Samsudin</w:t>
      </w:r>
    </w:p>
    <w:p w14:paraId="3102D585" w14:textId="77777777" w:rsidR="00BD3F0B" w:rsidRPr="007B53E4" w:rsidRDefault="00BD3F0B" w:rsidP="00BD3F0B">
      <w:pPr>
        <w:pStyle w:val="ListParagraph"/>
        <w:keepNext/>
        <w:adjustRightInd w:val="0"/>
        <w:snapToGrid w:val="0"/>
        <w:spacing w:after="0" w:line="360" w:lineRule="auto"/>
        <w:jc w:val="both"/>
        <w:outlineLvl w:val="1"/>
        <w:rPr>
          <w:rFonts w:ascii="Arial" w:hAnsi="Arial" w:cs="Arial"/>
          <w:sz w:val="20"/>
          <w:szCs w:val="20"/>
          <w:lang w:val="en-GB"/>
        </w:rPr>
      </w:pPr>
      <w:proofErr w:type="spellStart"/>
      <w:r w:rsidRPr="007B53E4">
        <w:rPr>
          <w:rFonts w:ascii="Arial" w:hAnsi="Arial" w:cs="Arial"/>
          <w:sz w:val="20"/>
          <w:szCs w:val="20"/>
          <w:lang w:val="en-GB"/>
        </w:rPr>
        <w:t>Universiti</w:t>
      </w:r>
      <w:proofErr w:type="spellEnd"/>
      <w:r w:rsidRPr="007B53E4">
        <w:rPr>
          <w:rFonts w:ascii="Arial" w:hAnsi="Arial" w:cs="Arial"/>
          <w:sz w:val="20"/>
          <w:szCs w:val="20"/>
          <w:lang w:val="en-GB"/>
        </w:rPr>
        <w:t xml:space="preserve"> Malaya Medical Centre, Wilayah Persekutuan Kuala Lumpur, Malaysia</w:t>
      </w:r>
    </w:p>
    <w:p w14:paraId="54C62868" w14:textId="77777777" w:rsidR="00BD3F0B" w:rsidRPr="007B53E4" w:rsidRDefault="00BD3F0B" w:rsidP="00BD3F0B">
      <w:pPr>
        <w:keepNext/>
        <w:adjustRightInd w:val="0"/>
        <w:snapToGrid w:val="0"/>
        <w:spacing w:after="0" w:line="360" w:lineRule="auto"/>
        <w:jc w:val="both"/>
        <w:outlineLvl w:val="1"/>
        <w:rPr>
          <w:rFonts w:ascii="Arial" w:hAnsi="Arial" w:cs="Arial"/>
          <w:sz w:val="20"/>
          <w:szCs w:val="20"/>
          <w:lang w:val="en-GB"/>
        </w:rPr>
      </w:pPr>
    </w:p>
    <w:p w14:paraId="5108F67F" w14:textId="77777777" w:rsidR="00BD3F0B" w:rsidRPr="007B53E4" w:rsidRDefault="00BD3F0B" w:rsidP="00BD3F0B">
      <w:pPr>
        <w:keepNext/>
        <w:adjustRightInd w:val="0"/>
        <w:snapToGrid w:val="0"/>
        <w:spacing w:after="0" w:line="360" w:lineRule="auto"/>
        <w:jc w:val="both"/>
        <w:outlineLvl w:val="1"/>
        <w:rPr>
          <w:rFonts w:ascii="Arial" w:hAnsi="Arial" w:cs="Arial"/>
          <w:sz w:val="20"/>
          <w:szCs w:val="20"/>
          <w:lang w:val="en-GB"/>
        </w:rPr>
      </w:pPr>
      <w:r w:rsidRPr="007B53E4">
        <w:rPr>
          <w:rFonts w:ascii="Arial" w:hAnsi="Arial" w:cs="Arial"/>
          <w:sz w:val="20"/>
          <w:szCs w:val="20"/>
          <w:lang w:val="en-GB"/>
        </w:rPr>
        <w:t>Corresponding author</w:t>
      </w:r>
    </w:p>
    <w:p w14:paraId="5FE5425F" w14:textId="77777777" w:rsidR="00BD3F0B" w:rsidRPr="007B53E4" w:rsidRDefault="00BD3F0B" w:rsidP="00BD3F0B">
      <w:pPr>
        <w:keepNext/>
        <w:adjustRightInd w:val="0"/>
        <w:snapToGrid w:val="0"/>
        <w:spacing w:after="0" w:line="360" w:lineRule="auto"/>
        <w:jc w:val="both"/>
        <w:outlineLvl w:val="1"/>
        <w:rPr>
          <w:rFonts w:ascii="Arial" w:hAnsi="Arial" w:cs="Arial"/>
          <w:sz w:val="20"/>
          <w:szCs w:val="20"/>
          <w:lang w:val="en-GB"/>
        </w:rPr>
      </w:pPr>
      <w:r w:rsidRPr="007B53E4">
        <w:rPr>
          <w:rFonts w:ascii="Arial" w:hAnsi="Arial" w:cs="Arial"/>
          <w:sz w:val="20"/>
          <w:szCs w:val="20"/>
          <w:lang w:val="en-GB"/>
        </w:rPr>
        <w:t>Dr Athirah Aminudin</w:t>
      </w:r>
    </w:p>
    <w:p w14:paraId="7930275A" w14:textId="77777777" w:rsidR="00BD3F0B" w:rsidRPr="007B53E4" w:rsidRDefault="00BD3F0B" w:rsidP="00BD3F0B">
      <w:pPr>
        <w:keepNext/>
        <w:adjustRightInd w:val="0"/>
        <w:snapToGrid w:val="0"/>
        <w:spacing w:after="0" w:line="360" w:lineRule="auto"/>
        <w:jc w:val="both"/>
        <w:outlineLvl w:val="1"/>
        <w:rPr>
          <w:rFonts w:ascii="Arial" w:hAnsi="Arial" w:cs="Arial"/>
          <w:sz w:val="20"/>
          <w:szCs w:val="20"/>
          <w:lang w:val="en-GB"/>
        </w:rPr>
      </w:pPr>
      <w:hyperlink r:id="rId5" w:history="1">
        <w:r w:rsidRPr="007B53E4">
          <w:rPr>
            <w:rStyle w:val="Hyperlink"/>
            <w:rFonts w:ascii="Arial" w:hAnsi="Arial" w:cs="Arial"/>
            <w:sz w:val="20"/>
            <w:szCs w:val="20"/>
            <w:lang w:val="en-GB"/>
          </w:rPr>
          <w:t>athirahaminudin02@gmail.com</w:t>
        </w:r>
      </w:hyperlink>
    </w:p>
    <w:p w14:paraId="476296AA" w14:textId="77777777" w:rsidR="00BD3F0B" w:rsidRPr="007B53E4" w:rsidRDefault="00BD3F0B" w:rsidP="00BD3F0B">
      <w:pPr>
        <w:keepNext/>
        <w:adjustRightInd w:val="0"/>
        <w:snapToGrid w:val="0"/>
        <w:spacing w:after="0" w:line="360" w:lineRule="auto"/>
        <w:jc w:val="both"/>
        <w:outlineLvl w:val="1"/>
        <w:rPr>
          <w:rFonts w:ascii="Arial" w:hAnsi="Arial" w:cs="Arial"/>
          <w:sz w:val="20"/>
          <w:szCs w:val="20"/>
          <w:lang w:val="en-GB"/>
        </w:rPr>
      </w:pPr>
      <w:r w:rsidRPr="007B53E4">
        <w:rPr>
          <w:rFonts w:ascii="Arial" w:hAnsi="Arial" w:cs="Arial"/>
          <w:sz w:val="20"/>
          <w:szCs w:val="20"/>
          <w:lang w:val="en-GB"/>
        </w:rPr>
        <w:t>+6 01137173544</w:t>
      </w:r>
    </w:p>
    <w:p w14:paraId="2C3AD20C" w14:textId="77777777" w:rsidR="00BD3F0B" w:rsidRPr="008F6BAF" w:rsidRDefault="00BD3F0B" w:rsidP="00BD3F0B">
      <w:pPr>
        <w:rPr>
          <w:rFonts w:ascii="Arial" w:eastAsia="Times New Roman" w:hAnsi="Arial" w:cs="Arial"/>
          <w:color w:val="333333"/>
          <w:sz w:val="20"/>
          <w:szCs w:val="20"/>
          <w:lang w:val="en-GB" w:eastAsia="en-MY"/>
        </w:rPr>
      </w:pPr>
    </w:p>
    <w:p w14:paraId="5A45C442" w14:textId="77777777" w:rsidR="00C0508D" w:rsidRDefault="00C0508D"/>
    <w:p w14:paraId="3603ED9B" w14:textId="77777777" w:rsidR="006015B8" w:rsidRDefault="006015B8"/>
    <w:p w14:paraId="73004A50" w14:textId="77777777" w:rsidR="006015B8" w:rsidRDefault="006015B8"/>
    <w:p w14:paraId="5D9B47CB" w14:textId="77777777" w:rsidR="006015B8" w:rsidRDefault="006015B8"/>
    <w:p w14:paraId="062665DA" w14:textId="77777777" w:rsidR="006015B8" w:rsidRDefault="006015B8"/>
    <w:p w14:paraId="3D8E53B1" w14:textId="77777777" w:rsidR="006015B8" w:rsidRDefault="006015B8"/>
    <w:p w14:paraId="26193C94" w14:textId="77777777" w:rsidR="006015B8" w:rsidRDefault="006015B8"/>
    <w:p w14:paraId="773D8769" w14:textId="77777777" w:rsidR="006015B8" w:rsidRDefault="006015B8"/>
    <w:p w14:paraId="7D32F5A9" w14:textId="77777777" w:rsidR="006015B8" w:rsidRDefault="006015B8"/>
    <w:p w14:paraId="6119CE52" w14:textId="77777777" w:rsidR="006015B8" w:rsidRDefault="006015B8"/>
    <w:p w14:paraId="2FA84F6C" w14:textId="77777777" w:rsidR="006015B8" w:rsidRDefault="006015B8"/>
    <w:p w14:paraId="60A1EB23" w14:textId="77777777" w:rsidR="006015B8" w:rsidRDefault="006015B8"/>
    <w:p w14:paraId="5F49EFBB" w14:textId="77777777" w:rsidR="006015B8" w:rsidRDefault="006015B8"/>
    <w:p w14:paraId="42ED7878" w14:textId="77777777" w:rsidR="006015B8" w:rsidRDefault="006015B8"/>
    <w:p w14:paraId="26F45A85" w14:textId="77777777" w:rsidR="006015B8" w:rsidRPr="0077656C" w:rsidRDefault="006015B8" w:rsidP="006015B8">
      <w:pPr>
        <w:rPr>
          <w:rFonts w:ascii="Arial" w:eastAsia="Times New Roman" w:hAnsi="Arial" w:cs="Arial"/>
          <w:color w:val="333333"/>
          <w:sz w:val="20"/>
          <w:szCs w:val="20"/>
          <w:lang w:val="en-GB" w:eastAsia="en-MY"/>
        </w:rPr>
      </w:pPr>
      <w:r w:rsidRPr="007B53E4">
        <w:rPr>
          <w:rStyle w:val="Strong"/>
          <w:rFonts w:ascii="Arial" w:hAnsi="Arial" w:cs="Arial"/>
          <w:b w:val="0"/>
          <w:bCs w:val="0"/>
          <w:color w:val="333333"/>
          <w:sz w:val="20"/>
          <w:szCs w:val="20"/>
          <w:lang w:val="en-GB"/>
        </w:rPr>
        <w:lastRenderedPageBreak/>
        <w:t>Abstract</w:t>
      </w:r>
    </w:p>
    <w:p w14:paraId="0741725E" w14:textId="77777777" w:rsidR="006015B8" w:rsidRPr="007B53E4" w:rsidRDefault="006015B8" w:rsidP="006015B8">
      <w:pPr>
        <w:pStyle w:val="NormalWeb"/>
        <w:shd w:val="clear" w:color="auto" w:fill="FFFFFF"/>
        <w:spacing w:before="0" w:beforeAutospacing="0" w:after="150" w:afterAutospacing="0" w:line="360" w:lineRule="auto"/>
        <w:jc w:val="both"/>
        <w:rPr>
          <w:rFonts w:ascii="Arial" w:hAnsi="Arial" w:cs="Arial"/>
          <w:color w:val="333333"/>
          <w:sz w:val="20"/>
          <w:szCs w:val="20"/>
          <w:lang w:val="en-GB"/>
        </w:rPr>
      </w:pPr>
      <w:r w:rsidRPr="007B53E4">
        <w:rPr>
          <w:rFonts w:ascii="Arial" w:hAnsi="Arial" w:cs="Arial"/>
          <w:color w:val="333333"/>
          <w:sz w:val="20"/>
          <w:szCs w:val="20"/>
          <w:lang w:val="en-GB"/>
        </w:rPr>
        <w:t>Introduction</w:t>
      </w:r>
    </w:p>
    <w:p w14:paraId="74CD2FA6" w14:textId="77777777" w:rsidR="006015B8" w:rsidRPr="007B53E4" w:rsidRDefault="006015B8" w:rsidP="006015B8">
      <w:pPr>
        <w:spacing w:line="360" w:lineRule="auto"/>
        <w:jc w:val="both"/>
        <w:rPr>
          <w:rFonts w:ascii="Arial" w:hAnsi="Arial" w:cs="Arial"/>
          <w:sz w:val="20"/>
          <w:szCs w:val="20"/>
          <w:lang w:val="en-GB"/>
        </w:rPr>
      </w:pPr>
      <w:r w:rsidRPr="007B53E4">
        <w:rPr>
          <w:rFonts w:ascii="Arial" w:hAnsi="Arial" w:cs="Arial"/>
          <w:sz w:val="20"/>
          <w:szCs w:val="20"/>
          <w:lang w:val="en-GB"/>
        </w:rPr>
        <w:t>Retinopathy of prematurity (ROP) has become one of the most common causes of preventable visual impairment in children worldwide. Effective screening, and compliance to the screening protocol is crucial to ensure timely management of this potentially blinding disease. The aims of this study were to evaluate the compliance of our centre to the local ROP protocol as well as to review the demographics and identify alternative risk factors involved in development of severe ROP.</w:t>
      </w:r>
    </w:p>
    <w:p w14:paraId="7EA9F9A6" w14:textId="77777777" w:rsidR="006015B8" w:rsidRPr="007B53E4" w:rsidRDefault="006015B8" w:rsidP="006015B8">
      <w:pPr>
        <w:pStyle w:val="NormalWeb"/>
        <w:shd w:val="clear" w:color="auto" w:fill="FFFFFF"/>
        <w:spacing w:before="0" w:beforeAutospacing="0" w:after="150" w:afterAutospacing="0" w:line="360" w:lineRule="auto"/>
        <w:jc w:val="both"/>
        <w:rPr>
          <w:rFonts w:ascii="Arial" w:hAnsi="Arial" w:cs="Arial"/>
          <w:color w:val="333333"/>
          <w:sz w:val="20"/>
          <w:szCs w:val="20"/>
          <w:lang w:val="en-GB"/>
        </w:rPr>
      </w:pPr>
      <w:r w:rsidRPr="007B53E4">
        <w:rPr>
          <w:rFonts w:ascii="Arial" w:hAnsi="Arial" w:cs="Arial"/>
          <w:color w:val="333333"/>
          <w:sz w:val="20"/>
          <w:szCs w:val="20"/>
          <w:lang w:val="en-GB"/>
        </w:rPr>
        <w:t>Methods</w:t>
      </w:r>
    </w:p>
    <w:p w14:paraId="59DB495E" w14:textId="77777777" w:rsidR="006015B8" w:rsidRPr="007B53E4" w:rsidRDefault="006015B8" w:rsidP="006015B8">
      <w:pPr>
        <w:spacing w:line="360" w:lineRule="auto"/>
        <w:jc w:val="both"/>
        <w:rPr>
          <w:rFonts w:ascii="Arial" w:hAnsi="Arial" w:cs="Arial"/>
          <w:sz w:val="20"/>
          <w:szCs w:val="20"/>
          <w:lang w:val="en-GB"/>
        </w:rPr>
      </w:pPr>
      <w:r w:rsidRPr="007B53E4">
        <w:rPr>
          <w:rFonts w:ascii="Arial" w:hAnsi="Arial" w:cs="Arial"/>
          <w:color w:val="333333"/>
          <w:sz w:val="20"/>
          <w:szCs w:val="20"/>
          <w:lang w:val="en-GB"/>
        </w:rPr>
        <w:t xml:space="preserve">5-year retrospective review of infants with severe ROP requiring treatment in Sultan Abdul Halim Hospital, a tertiary referral centre in northern Malaysia. Medical records of all premature infants screened for ROP were cross referenced with the surgical </w:t>
      </w:r>
      <w:r w:rsidRPr="007B53E4">
        <w:rPr>
          <w:rFonts w:ascii="Arial" w:hAnsi="Arial" w:cs="Arial"/>
          <w:sz w:val="20"/>
          <w:szCs w:val="20"/>
          <w:lang w:val="en-GB"/>
        </w:rPr>
        <w:t>registry for identification of infants who received treatment. Information including gestational age, birth weight and timing of treatment given were recorded and analysed.</w:t>
      </w:r>
    </w:p>
    <w:p w14:paraId="4C9A82EC" w14:textId="77777777" w:rsidR="006015B8" w:rsidRPr="007B53E4" w:rsidRDefault="006015B8" w:rsidP="006015B8">
      <w:pPr>
        <w:pStyle w:val="NormalWeb"/>
        <w:shd w:val="clear" w:color="auto" w:fill="FFFFFF"/>
        <w:spacing w:before="0" w:beforeAutospacing="0" w:after="150" w:afterAutospacing="0" w:line="360" w:lineRule="auto"/>
        <w:jc w:val="both"/>
        <w:rPr>
          <w:rFonts w:ascii="Arial" w:hAnsi="Arial" w:cs="Arial"/>
          <w:color w:val="333333"/>
          <w:sz w:val="20"/>
          <w:szCs w:val="20"/>
          <w:lang w:val="en-GB"/>
        </w:rPr>
      </w:pPr>
      <w:r w:rsidRPr="007B53E4">
        <w:rPr>
          <w:rFonts w:ascii="Arial" w:hAnsi="Arial" w:cs="Arial"/>
          <w:color w:val="333333"/>
          <w:sz w:val="20"/>
          <w:szCs w:val="20"/>
          <w:lang w:val="en-GB"/>
        </w:rPr>
        <w:t>Results</w:t>
      </w:r>
    </w:p>
    <w:p w14:paraId="5E9D8787" w14:textId="77777777" w:rsidR="006015B8" w:rsidRPr="007B53E4" w:rsidRDefault="006015B8" w:rsidP="006015B8">
      <w:pPr>
        <w:pStyle w:val="NormalWeb"/>
        <w:shd w:val="clear" w:color="auto" w:fill="FFFFFF"/>
        <w:spacing w:before="0" w:beforeAutospacing="0" w:after="150" w:afterAutospacing="0" w:line="360" w:lineRule="auto"/>
        <w:jc w:val="both"/>
        <w:rPr>
          <w:rFonts w:ascii="Arial" w:hAnsi="Arial" w:cs="Arial"/>
          <w:sz w:val="20"/>
          <w:szCs w:val="20"/>
          <w:lang w:val="en-GB"/>
        </w:rPr>
      </w:pPr>
      <w:r w:rsidRPr="007B53E4">
        <w:rPr>
          <w:rFonts w:ascii="Arial" w:hAnsi="Arial" w:cs="Arial"/>
          <w:sz w:val="20"/>
          <w:szCs w:val="20"/>
          <w:lang w:val="en-GB"/>
        </w:rPr>
        <w:t xml:space="preserve">Between </w:t>
      </w:r>
      <w:r>
        <w:rPr>
          <w:rFonts w:ascii="Arial" w:hAnsi="Arial" w:cs="Arial"/>
          <w:sz w:val="20"/>
          <w:szCs w:val="20"/>
          <w:lang w:val="en-GB"/>
        </w:rPr>
        <w:t>2017 and 2021</w:t>
      </w:r>
      <w:r w:rsidRPr="007B53E4">
        <w:rPr>
          <w:rFonts w:ascii="Arial" w:hAnsi="Arial" w:cs="Arial"/>
          <w:sz w:val="20"/>
          <w:szCs w:val="20"/>
          <w:lang w:val="en-GB"/>
        </w:rPr>
        <w:t>, 322 premature infants were screened and 26 (8.1%) infants were diagnosed with severe ROP which required treatment. Of these 26 infants, 77% underwent timely screening, and 74% received treatment within the recommended timeline. A new possible risk factor identified for development of severe ROP was a diagnosis of maternal COVID-19, though this is subject to further study.</w:t>
      </w:r>
    </w:p>
    <w:p w14:paraId="5C65202E" w14:textId="77777777" w:rsidR="006015B8" w:rsidRPr="007B53E4" w:rsidRDefault="006015B8" w:rsidP="006015B8">
      <w:pPr>
        <w:pStyle w:val="NormalWeb"/>
        <w:shd w:val="clear" w:color="auto" w:fill="FFFFFF"/>
        <w:spacing w:before="0" w:beforeAutospacing="0" w:after="150" w:afterAutospacing="0" w:line="360" w:lineRule="auto"/>
        <w:jc w:val="both"/>
        <w:rPr>
          <w:rFonts w:ascii="Arial" w:hAnsi="Arial" w:cs="Arial"/>
          <w:color w:val="333333"/>
          <w:sz w:val="20"/>
          <w:szCs w:val="20"/>
          <w:lang w:val="en-GB"/>
        </w:rPr>
      </w:pPr>
      <w:r w:rsidRPr="007B53E4">
        <w:rPr>
          <w:rFonts w:ascii="Arial" w:hAnsi="Arial" w:cs="Arial"/>
          <w:color w:val="333333"/>
          <w:sz w:val="20"/>
          <w:szCs w:val="20"/>
          <w:lang w:val="en-GB"/>
        </w:rPr>
        <w:t>Conclusion</w:t>
      </w:r>
    </w:p>
    <w:p w14:paraId="2E907242" w14:textId="77777777" w:rsidR="006015B8" w:rsidRPr="007B53E4" w:rsidRDefault="006015B8" w:rsidP="006015B8">
      <w:pPr>
        <w:pStyle w:val="NormalWeb"/>
        <w:shd w:val="clear" w:color="auto" w:fill="FFFFFF"/>
        <w:spacing w:before="0" w:beforeAutospacing="0" w:after="150" w:afterAutospacing="0" w:line="360" w:lineRule="auto"/>
        <w:jc w:val="both"/>
        <w:rPr>
          <w:rFonts w:ascii="Arial" w:hAnsi="Arial" w:cs="Arial"/>
          <w:color w:val="333333"/>
          <w:sz w:val="20"/>
          <w:szCs w:val="20"/>
          <w:lang w:val="en-GB"/>
        </w:rPr>
      </w:pPr>
      <w:r w:rsidRPr="007B53E4">
        <w:rPr>
          <w:rFonts w:ascii="Arial" w:hAnsi="Arial" w:cs="Arial"/>
          <w:color w:val="333333"/>
          <w:sz w:val="20"/>
          <w:szCs w:val="20"/>
          <w:lang w:val="en-GB"/>
        </w:rPr>
        <w:t xml:space="preserve">The rate of timely screening and treatment provision of &gt;70% suggests that </w:t>
      </w:r>
      <w:r w:rsidRPr="007B53E4">
        <w:rPr>
          <w:rFonts w:ascii="Arial" w:hAnsi="Arial" w:cs="Arial"/>
          <w:sz w:val="20"/>
          <w:szCs w:val="20"/>
          <w:lang w:val="en-GB"/>
        </w:rPr>
        <w:t>the screening compliance at our centre is comparable to centres in developed countries. This indicates good adherence to the guidelines and a fairly low rate of delayed screening or treatment.</w:t>
      </w:r>
    </w:p>
    <w:p w14:paraId="767C16E1" w14:textId="77777777" w:rsidR="006015B8" w:rsidRPr="007B53E4" w:rsidRDefault="006015B8" w:rsidP="006015B8">
      <w:pPr>
        <w:pStyle w:val="NormalWeb"/>
        <w:shd w:val="clear" w:color="auto" w:fill="FFFFFF"/>
        <w:spacing w:before="0" w:beforeAutospacing="0" w:after="150" w:afterAutospacing="0" w:line="360" w:lineRule="auto"/>
        <w:jc w:val="both"/>
        <w:rPr>
          <w:rFonts w:ascii="Arial" w:hAnsi="Arial" w:cs="Arial"/>
          <w:color w:val="333333"/>
          <w:sz w:val="20"/>
          <w:szCs w:val="20"/>
          <w:lang w:val="en-GB"/>
        </w:rPr>
      </w:pPr>
      <w:r w:rsidRPr="007B53E4">
        <w:rPr>
          <w:rFonts w:ascii="Arial" w:hAnsi="Arial" w:cs="Arial"/>
          <w:color w:val="333333"/>
          <w:sz w:val="20"/>
          <w:szCs w:val="20"/>
          <w:lang w:val="en-GB"/>
        </w:rPr>
        <w:t>Key Words.</w:t>
      </w:r>
    </w:p>
    <w:p w14:paraId="1186ABD4" w14:textId="77777777" w:rsidR="006015B8" w:rsidRPr="007B53E4" w:rsidRDefault="006015B8" w:rsidP="006015B8">
      <w:pPr>
        <w:pStyle w:val="NormalWeb"/>
        <w:shd w:val="clear" w:color="auto" w:fill="FFFFFF"/>
        <w:spacing w:before="0" w:beforeAutospacing="0" w:after="150" w:afterAutospacing="0" w:line="360" w:lineRule="auto"/>
        <w:jc w:val="both"/>
        <w:rPr>
          <w:rFonts w:ascii="Arial" w:hAnsi="Arial" w:cs="Arial"/>
          <w:color w:val="333333"/>
          <w:sz w:val="20"/>
          <w:szCs w:val="20"/>
          <w:lang w:val="en-GB"/>
        </w:rPr>
      </w:pPr>
      <w:r w:rsidRPr="007B53E4">
        <w:rPr>
          <w:rFonts w:ascii="Arial" w:hAnsi="Arial" w:cs="Arial"/>
          <w:color w:val="333333"/>
          <w:sz w:val="20"/>
          <w:szCs w:val="20"/>
          <w:lang w:val="en-GB"/>
        </w:rPr>
        <w:t>Retinopathy of prematurity, screening, protocol, demographics, risk factors</w:t>
      </w:r>
    </w:p>
    <w:p w14:paraId="767AA1AE" w14:textId="77777777" w:rsidR="006015B8" w:rsidRPr="007B53E4" w:rsidRDefault="006015B8" w:rsidP="006015B8">
      <w:pPr>
        <w:rPr>
          <w:rFonts w:ascii="Arial" w:hAnsi="Arial" w:cs="Arial"/>
          <w:sz w:val="20"/>
          <w:szCs w:val="20"/>
          <w:lang w:val="en-GB"/>
        </w:rPr>
      </w:pPr>
      <w:r w:rsidRPr="007B53E4">
        <w:rPr>
          <w:rFonts w:ascii="Arial" w:hAnsi="Arial" w:cs="Arial"/>
          <w:sz w:val="20"/>
          <w:szCs w:val="20"/>
          <w:lang w:val="en-GB"/>
        </w:rPr>
        <w:br w:type="page"/>
      </w:r>
    </w:p>
    <w:p w14:paraId="59997CDB" w14:textId="77777777" w:rsidR="006015B8" w:rsidRPr="007B53E4" w:rsidRDefault="006015B8" w:rsidP="006015B8">
      <w:pPr>
        <w:spacing w:line="360" w:lineRule="auto"/>
        <w:jc w:val="both"/>
        <w:rPr>
          <w:rFonts w:ascii="Arial" w:hAnsi="Arial" w:cs="Arial"/>
          <w:sz w:val="20"/>
          <w:szCs w:val="20"/>
          <w:lang w:val="en-GB"/>
        </w:rPr>
      </w:pPr>
      <w:r w:rsidRPr="007B53E4">
        <w:rPr>
          <w:rFonts w:ascii="Arial" w:hAnsi="Arial" w:cs="Arial"/>
          <w:sz w:val="20"/>
          <w:szCs w:val="20"/>
          <w:lang w:val="en-GB"/>
        </w:rPr>
        <w:lastRenderedPageBreak/>
        <w:t>Introduction</w:t>
      </w:r>
    </w:p>
    <w:p w14:paraId="7057C615" w14:textId="77777777" w:rsidR="006015B8" w:rsidRPr="007B53E4" w:rsidRDefault="006015B8" w:rsidP="006015B8">
      <w:pPr>
        <w:spacing w:line="360" w:lineRule="auto"/>
        <w:jc w:val="both"/>
        <w:rPr>
          <w:rFonts w:ascii="Arial" w:hAnsi="Arial" w:cs="Arial"/>
          <w:sz w:val="20"/>
          <w:szCs w:val="20"/>
          <w:lang w:val="en-GB"/>
        </w:rPr>
      </w:pPr>
      <w:r w:rsidRPr="007B53E4">
        <w:rPr>
          <w:rFonts w:ascii="Arial" w:hAnsi="Arial" w:cs="Arial"/>
          <w:sz w:val="20"/>
          <w:szCs w:val="20"/>
          <w:lang w:val="en-GB"/>
        </w:rPr>
        <w:t xml:space="preserve">Retinopathy of prematurity (ROP) has become one of the most common causes of preventable visual impairment or blindness in children worldwide, due to the increasing rate of survival in extremely premature infants (1). ROP occurs in response to retinal ischaemia, in the presence of an immature retinal vasculature, where normal retinal angiogenesis is replaced with hyperproliferative neovascular activity </w:t>
      </w:r>
      <w:proofErr w:type="gramStart"/>
      <w:r w:rsidRPr="007B53E4">
        <w:rPr>
          <w:rFonts w:ascii="Arial" w:hAnsi="Arial" w:cs="Arial"/>
          <w:sz w:val="20"/>
          <w:szCs w:val="20"/>
          <w:lang w:val="en-GB"/>
        </w:rPr>
        <w:t>i.e.</w:t>
      </w:r>
      <w:proofErr w:type="gramEnd"/>
      <w:r w:rsidRPr="007B53E4">
        <w:rPr>
          <w:rFonts w:ascii="Arial" w:hAnsi="Arial" w:cs="Arial"/>
          <w:sz w:val="20"/>
          <w:szCs w:val="20"/>
          <w:lang w:val="en-GB"/>
        </w:rPr>
        <w:t xml:space="preserve"> neovasculari</w:t>
      </w:r>
      <w:r>
        <w:rPr>
          <w:rFonts w:ascii="Arial" w:hAnsi="Arial" w:cs="Arial"/>
          <w:sz w:val="20"/>
          <w:szCs w:val="20"/>
          <w:lang w:val="en-GB"/>
        </w:rPr>
        <w:t>s</w:t>
      </w:r>
      <w:r w:rsidRPr="007B53E4">
        <w:rPr>
          <w:rFonts w:ascii="Arial" w:hAnsi="Arial" w:cs="Arial"/>
          <w:sz w:val="20"/>
          <w:szCs w:val="20"/>
          <w:lang w:val="en-GB"/>
        </w:rPr>
        <w:t>ation (2,3). This may then progress to retinal detachment which eventually leads to blindness if untreated (2,3). Several risk factors have been identified in the development of ROP, with the most significant being short gestation period, low birth weight</w:t>
      </w:r>
      <w:r>
        <w:rPr>
          <w:rFonts w:ascii="Arial" w:hAnsi="Arial" w:cs="Arial"/>
          <w:sz w:val="20"/>
          <w:szCs w:val="20"/>
          <w:lang w:val="en-GB"/>
        </w:rPr>
        <w:t>,</w:t>
      </w:r>
      <w:r w:rsidRPr="007B53E4">
        <w:rPr>
          <w:rFonts w:ascii="Arial" w:hAnsi="Arial" w:cs="Arial"/>
          <w:sz w:val="20"/>
          <w:szCs w:val="20"/>
          <w:lang w:val="en-GB"/>
        </w:rPr>
        <w:t xml:space="preserve"> and the use of supplemental oxygen (4-6). </w:t>
      </w:r>
    </w:p>
    <w:p w14:paraId="7256FC60" w14:textId="77777777" w:rsidR="006015B8" w:rsidRPr="007B53E4" w:rsidRDefault="006015B8" w:rsidP="006015B8">
      <w:pPr>
        <w:spacing w:line="360" w:lineRule="auto"/>
        <w:jc w:val="both"/>
        <w:rPr>
          <w:rFonts w:ascii="Arial" w:hAnsi="Arial" w:cs="Arial"/>
          <w:sz w:val="20"/>
          <w:szCs w:val="20"/>
          <w:lang w:val="en-GB"/>
        </w:rPr>
      </w:pPr>
      <w:r w:rsidRPr="007B53E4">
        <w:rPr>
          <w:rFonts w:ascii="Arial" w:hAnsi="Arial" w:cs="Arial"/>
          <w:sz w:val="20"/>
          <w:szCs w:val="20"/>
          <w:lang w:val="en-GB"/>
        </w:rPr>
        <w:t>ROP protocol</w:t>
      </w:r>
      <w:r>
        <w:rPr>
          <w:rFonts w:ascii="Arial" w:hAnsi="Arial" w:cs="Arial"/>
          <w:sz w:val="20"/>
          <w:szCs w:val="20"/>
          <w:lang w:val="en-GB"/>
        </w:rPr>
        <w:t>s</w:t>
      </w:r>
      <w:r w:rsidRPr="007B53E4">
        <w:rPr>
          <w:rFonts w:ascii="Arial" w:hAnsi="Arial" w:cs="Arial"/>
          <w:sz w:val="20"/>
          <w:szCs w:val="20"/>
          <w:lang w:val="en-GB"/>
        </w:rPr>
        <w:t xml:space="preserve"> provide information to ophthalmologist</w:t>
      </w:r>
      <w:r>
        <w:rPr>
          <w:rFonts w:ascii="Arial" w:hAnsi="Arial" w:cs="Arial"/>
          <w:sz w:val="20"/>
          <w:szCs w:val="20"/>
          <w:lang w:val="en-GB"/>
        </w:rPr>
        <w:t>s</w:t>
      </w:r>
      <w:r w:rsidRPr="007B53E4">
        <w:rPr>
          <w:rFonts w:ascii="Arial" w:hAnsi="Arial" w:cs="Arial"/>
          <w:sz w:val="20"/>
          <w:szCs w:val="20"/>
          <w:lang w:val="en-GB"/>
        </w:rPr>
        <w:t xml:space="preserve"> on screening </w:t>
      </w:r>
      <w:proofErr w:type="spellStart"/>
      <w:r w:rsidRPr="007B53E4">
        <w:rPr>
          <w:rFonts w:ascii="Arial" w:hAnsi="Arial" w:cs="Arial"/>
          <w:sz w:val="20"/>
          <w:szCs w:val="20"/>
          <w:lang w:val="en-GB"/>
        </w:rPr>
        <w:t>criterias</w:t>
      </w:r>
      <w:proofErr w:type="spellEnd"/>
      <w:r w:rsidRPr="007B53E4">
        <w:rPr>
          <w:rFonts w:ascii="Arial" w:hAnsi="Arial" w:cs="Arial"/>
          <w:sz w:val="20"/>
          <w:szCs w:val="20"/>
          <w:lang w:val="en-GB"/>
        </w:rPr>
        <w:t xml:space="preserve"> as well </w:t>
      </w:r>
      <w:r>
        <w:rPr>
          <w:rFonts w:ascii="Arial" w:hAnsi="Arial" w:cs="Arial"/>
          <w:sz w:val="20"/>
          <w:szCs w:val="20"/>
          <w:lang w:val="en-GB"/>
        </w:rPr>
        <w:t xml:space="preserve">as </w:t>
      </w:r>
      <w:r w:rsidRPr="007B53E4">
        <w:rPr>
          <w:rFonts w:ascii="Arial" w:hAnsi="Arial" w:cs="Arial"/>
          <w:sz w:val="20"/>
          <w:szCs w:val="20"/>
          <w:lang w:val="en-GB"/>
        </w:rPr>
        <w:t>treatment guideline</w:t>
      </w:r>
      <w:r>
        <w:rPr>
          <w:rFonts w:ascii="Arial" w:hAnsi="Arial" w:cs="Arial"/>
          <w:sz w:val="20"/>
          <w:szCs w:val="20"/>
          <w:lang w:val="en-GB"/>
        </w:rPr>
        <w:t>s</w:t>
      </w:r>
      <w:r w:rsidRPr="007B53E4">
        <w:rPr>
          <w:rFonts w:ascii="Arial" w:hAnsi="Arial" w:cs="Arial"/>
          <w:sz w:val="20"/>
          <w:szCs w:val="20"/>
          <w:lang w:val="en-GB"/>
        </w:rPr>
        <w:t xml:space="preserve"> for premature infants with ROP. </w:t>
      </w:r>
      <w:r>
        <w:rPr>
          <w:rFonts w:ascii="Arial" w:hAnsi="Arial" w:cs="Arial"/>
          <w:sz w:val="20"/>
          <w:szCs w:val="20"/>
          <w:lang w:val="en-GB"/>
        </w:rPr>
        <w:t>They are</w:t>
      </w:r>
      <w:r w:rsidRPr="007B53E4">
        <w:rPr>
          <w:rFonts w:ascii="Arial" w:hAnsi="Arial" w:cs="Arial"/>
          <w:sz w:val="20"/>
          <w:szCs w:val="20"/>
          <w:lang w:val="en-GB"/>
        </w:rPr>
        <w:t xml:space="preserve"> important tool</w:t>
      </w:r>
      <w:r>
        <w:rPr>
          <w:rFonts w:ascii="Arial" w:hAnsi="Arial" w:cs="Arial"/>
          <w:sz w:val="20"/>
          <w:szCs w:val="20"/>
          <w:lang w:val="en-GB"/>
        </w:rPr>
        <w:t>s</w:t>
      </w:r>
      <w:r w:rsidRPr="007B53E4">
        <w:rPr>
          <w:rFonts w:ascii="Arial" w:hAnsi="Arial" w:cs="Arial"/>
          <w:sz w:val="20"/>
          <w:szCs w:val="20"/>
          <w:lang w:val="en-GB"/>
        </w:rPr>
        <w:t xml:space="preserve"> that allow prompt recognition and management of ROP, thus improving the overall outcome. Many clinical studies have shown improved anatomic and visual outcome following treatment with cryotherapy or </w:t>
      </w:r>
      <w:proofErr w:type="spellStart"/>
      <w:r w:rsidRPr="007B53E4">
        <w:rPr>
          <w:rFonts w:ascii="Arial" w:hAnsi="Arial" w:cs="Arial"/>
          <w:sz w:val="20"/>
          <w:szCs w:val="20"/>
          <w:lang w:val="en-GB"/>
        </w:rPr>
        <w:t>panretinal</w:t>
      </w:r>
      <w:proofErr w:type="spellEnd"/>
      <w:r w:rsidRPr="007B53E4">
        <w:rPr>
          <w:rFonts w:ascii="Arial" w:hAnsi="Arial" w:cs="Arial"/>
          <w:sz w:val="20"/>
          <w:szCs w:val="20"/>
          <w:lang w:val="en-GB"/>
        </w:rPr>
        <w:t xml:space="preserve"> photocoagulation, in infants with severe ROP</w:t>
      </w:r>
      <w:r>
        <w:rPr>
          <w:rFonts w:ascii="Arial" w:hAnsi="Arial" w:cs="Arial"/>
          <w:sz w:val="20"/>
          <w:szCs w:val="20"/>
          <w:lang w:val="en-GB"/>
        </w:rPr>
        <w:t>,</w:t>
      </w:r>
      <w:r w:rsidRPr="007B53E4">
        <w:rPr>
          <w:rFonts w:ascii="Arial" w:hAnsi="Arial" w:cs="Arial"/>
          <w:sz w:val="20"/>
          <w:szCs w:val="20"/>
          <w:lang w:val="en-GB"/>
        </w:rPr>
        <w:t xml:space="preserve"> while infants with threshold ROP have also been shown to gain significant benefit from early treatment (7). The protocol</w:t>
      </w:r>
      <w:r>
        <w:rPr>
          <w:rFonts w:ascii="Arial" w:hAnsi="Arial" w:cs="Arial"/>
          <w:sz w:val="20"/>
          <w:szCs w:val="20"/>
          <w:lang w:val="en-GB"/>
        </w:rPr>
        <w:t>s</w:t>
      </w:r>
      <w:r w:rsidRPr="007B53E4">
        <w:rPr>
          <w:rFonts w:ascii="Arial" w:hAnsi="Arial" w:cs="Arial"/>
          <w:sz w:val="20"/>
          <w:szCs w:val="20"/>
          <w:lang w:val="en-GB"/>
        </w:rPr>
        <w:t xml:space="preserve">, especially screening </w:t>
      </w:r>
      <w:proofErr w:type="spellStart"/>
      <w:r w:rsidRPr="007B53E4">
        <w:rPr>
          <w:rFonts w:ascii="Arial" w:hAnsi="Arial" w:cs="Arial"/>
          <w:sz w:val="20"/>
          <w:szCs w:val="20"/>
          <w:lang w:val="en-GB"/>
        </w:rPr>
        <w:t>criterias</w:t>
      </w:r>
      <w:proofErr w:type="spellEnd"/>
      <w:r w:rsidRPr="007B53E4">
        <w:rPr>
          <w:rFonts w:ascii="Arial" w:hAnsi="Arial" w:cs="Arial"/>
          <w:sz w:val="20"/>
          <w:szCs w:val="20"/>
          <w:lang w:val="en-GB"/>
        </w:rPr>
        <w:t xml:space="preserve"> may differ between countries due to variability in demographics and differences in neonatal care practices (8-10). It is important that the local health authority identifies and incorporates risk factors or </w:t>
      </w:r>
      <w:proofErr w:type="spellStart"/>
      <w:r w:rsidRPr="007B53E4">
        <w:rPr>
          <w:rFonts w:ascii="Arial" w:hAnsi="Arial" w:cs="Arial"/>
          <w:sz w:val="20"/>
          <w:szCs w:val="20"/>
          <w:lang w:val="en-GB"/>
        </w:rPr>
        <w:t>criterias</w:t>
      </w:r>
      <w:proofErr w:type="spellEnd"/>
      <w:r w:rsidRPr="007B53E4">
        <w:rPr>
          <w:rFonts w:ascii="Arial" w:hAnsi="Arial" w:cs="Arial"/>
          <w:sz w:val="20"/>
          <w:szCs w:val="20"/>
          <w:lang w:val="en-GB"/>
        </w:rPr>
        <w:t xml:space="preserve"> unique to </w:t>
      </w:r>
      <w:r>
        <w:rPr>
          <w:rFonts w:ascii="Arial" w:hAnsi="Arial" w:cs="Arial"/>
          <w:sz w:val="20"/>
          <w:szCs w:val="20"/>
          <w:lang w:val="en-GB"/>
        </w:rPr>
        <w:t xml:space="preserve">the </w:t>
      </w:r>
      <w:r w:rsidRPr="007B53E4">
        <w:rPr>
          <w:rFonts w:ascii="Arial" w:hAnsi="Arial" w:cs="Arial"/>
          <w:sz w:val="20"/>
          <w:szCs w:val="20"/>
          <w:lang w:val="en-GB"/>
        </w:rPr>
        <w:t>local population into the guideline</w:t>
      </w:r>
      <w:r>
        <w:rPr>
          <w:rFonts w:ascii="Arial" w:hAnsi="Arial" w:cs="Arial"/>
          <w:sz w:val="20"/>
          <w:szCs w:val="20"/>
          <w:lang w:val="en-GB"/>
        </w:rPr>
        <w:t>s</w:t>
      </w:r>
      <w:r w:rsidRPr="007B53E4">
        <w:rPr>
          <w:rFonts w:ascii="Arial" w:hAnsi="Arial" w:cs="Arial"/>
          <w:sz w:val="20"/>
          <w:szCs w:val="20"/>
          <w:lang w:val="en-GB"/>
        </w:rPr>
        <w:t>, while at the same time routinely performing compliance assessment</w:t>
      </w:r>
      <w:r>
        <w:rPr>
          <w:rFonts w:ascii="Arial" w:hAnsi="Arial" w:cs="Arial"/>
          <w:sz w:val="20"/>
          <w:szCs w:val="20"/>
          <w:lang w:val="en-GB"/>
        </w:rPr>
        <w:t>s</w:t>
      </w:r>
      <w:r w:rsidRPr="007B53E4">
        <w:rPr>
          <w:rFonts w:ascii="Arial" w:hAnsi="Arial" w:cs="Arial"/>
          <w:sz w:val="20"/>
          <w:szCs w:val="20"/>
          <w:lang w:val="en-GB"/>
        </w:rPr>
        <w:t xml:space="preserve"> on neonatal centres, to ensure good adherence to protoco</w:t>
      </w:r>
      <w:r>
        <w:rPr>
          <w:rFonts w:ascii="Arial" w:hAnsi="Arial" w:cs="Arial"/>
          <w:sz w:val="20"/>
          <w:szCs w:val="20"/>
          <w:lang w:val="en-GB"/>
        </w:rPr>
        <w:t>ls</w:t>
      </w:r>
      <w:r w:rsidRPr="007B53E4">
        <w:rPr>
          <w:rFonts w:ascii="Arial" w:hAnsi="Arial" w:cs="Arial"/>
          <w:sz w:val="20"/>
          <w:szCs w:val="20"/>
          <w:lang w:val="en-GB"/>
        </w:rPr>
        <w:t xml:space="preserve"> and effective management of this potentially blinding disease (8-10). The aim</w:t>
      </w:r>
      <w:r>
        <w:rPr>
          <w:rFonts w:ascii="Arial" w:hAnsi="Arial" w:cs="Arial"/>
          <w:sz w:val="20"/>
          <w:szCs w:val="20"/>
          <w:lang w:val="en-GB"/>
        </w:rPr>
        <w:t>s</w:t>
      </w:r>
      <w:r w:rsidRPr="007B53E4">
        <w:rPr>
          <w:rFonts w:ascii="Arial" w:hAnsi="Arial" w:cs="Arial"/>
          <w:sz w:val="20"/>
          <w:szCs w:val="20"/>
          <w:lang w:val="en-GB"/>
        </w:rPr>
        <w:t xml:space="preserve"> of this study w</w:t>
      </w:r>
      <w:r>
        <w:rPr>
          <w:rFonts w:ascii="Arial" w:hAnsi="Arial" w:cs="Arial"/>
          <w:sz w:val="20"/>
          <w:szCs w:val="20"/>
          <w:lang w:val="en-GB"/>
        </w:rPr>
        <w:t>ere</w:t>
      </w:r>
      <w:r w:rsidRPr="007B53E4">
        <w:rPr>
          <w:rFonts w:ascii="Arial" w:hAnsi="Arial" w:cs="Arial"/>
          <w:sz w:val="20"/>
          <w:szCs w:val="20"/>
          <w:lang w:val="en-GB"/>
        </w:rPr>
        <w:t xml:space="preserve"> to evaluate the compliance of our centre to local ROP screening and management protocol</w:t>
      </w:r>
      <w:r>
        <w:rPr>
          <w:rFonts w:ascii="Arial" w:hAnsi="Arial" w:cs="Arial"/>
          <w:sz w:val="20"/>
          <w:szCs w:val="20"/>
          <w:lang w:val="en-GB"/>
        </w:rPr>
        <w:t>s</w:t>
      </w:r>
      <w:r w:rsidRPr="007B53E4">
        <w:rPr>
          <w:rFonts w:ascii="Arial" w:hAnsi="Arial" w:cs="Arial"/>
          <w:sz w:val="20"/>
          <w:szCs w:val="20"/>
          <w:lang w:val="en-GB"/>
        </w:rPr>
        <w:t>, to review the demographics, and identify alternative risk factors involved in development of severe ROP.</w:t>
      </w:r>
    </w:p>
    <w:p w14:paraId="0E1CECAF" w14:textId="77777777" w:rsidR="006015B8" w:rsidRPr="007B53E4" w:rsidRDefault="006015B8" w:rsidP="006015B8">
      <w:pPr>
        <w:spacing w:line="360" w:lineRule="auto"/>
        <w:jc w:val="both"/>
        <w:rPr>
          <w:rFonts w:ascii="Arial" w:hAnsi="Arial" w:cs="Arial"/>
          <w:sz w:val="20"/>
          <w:szCs w:val="20"/>
          <w:lang w:val="en-GB"/>
        </w:rPr>
      </w:pPr>
      <w:r w:rsidRPr="007B53E4">
        <w:rPr>
          <w:rFonts w:ascii="Arial" w:hAnsi="Arial" w:cs="Arial"/>
          <w:sz w:val="20"/>
          <w:szCs w:val="20"/>
          <w:lang w:val="en-GB"/>
        </w:rPr>
        <w:t>Methods</w:t>
      </w:r>
    </w:p>
    <w:p w14:paraId="06B0A828" w14:textId="77777777" w:rsidR="006015B8" w:rsidRPr="007B53E4" w:rsidRDefault="006015B8" w:rsidP="006015B8">
      <w:pPr>
        <w:spacing w:line="360" w:lineRule="auto"/>
        <w:jc w:val="both"/>
        <w:rPr>
          <w:rFonts w:ascii="Arial" w:hAnsi="Arial" w:cs="Arial"/>
          <w:sz w:val="20"/>
          <w:szCs w:val="20"/>
          <w:lang w:val="en-GB"/>
        </w:rPr>
      </w:pPr>
      <w:r w:rsidRPr="007B53E4">
        <w:rPr>
          <w:rFonts w:ascii="Arial" w:hAnsi="Arial" w:cs="Arial"/>
          <w:sz w:val="20"/>
          <w:szCs w:val="20"/>
          <w:lang w:val="en-GB"/>
        </w:rPr>
        <w:t xml:space="preserve">This was a retrospective study conducted at Sultan Abdul Halim Hospital in Malaysia, a tertiary </w:t>
      </w:r>
      <w:r>
        <w:rPr>
          <w:rFonts w:ascii="Arial" w:hAnsi="Arial" w:cs="Arial"/>
          <w:sz w:val="20"/>
          <w:szCs w:val="20"/>
          <w:lang w:val="en-GB"/>
        </w:rPr>
        <w:t xml:space="preserve">referral </w:t>
      </w:r>
      <w:r w:rsidRPr="007B53E4">
        <w:rPr>
          <w:rFonts w:ascii="Arial" w:hAnsi="Arial" w:cs="Arial"/>
          <w:sz w:val="20"/>
          <w:szCs w:val="20"/>
          <w:lang w:val="en-GB"/>
        </w:rPr>
        <w:t xml:space="preserve">centre with </w:t>
      </w:r>
      <w:r>
        <w:rPr>
          <w:rFonts w:ascii="Arial" w:hAnsi="Arial" w:cs="Arial"/>
          <w:sz w:val="20"/>
          <w:szCs w:val="20"/>
          <w:lang w:val="en-GB"/>
        </w:rPr>
        <w:t xml:space="preserve">a </w:t>
      </w:r>
      <w:r w:rsidRPr="007B53E4">
        <w:rPr>
          <w:rFonts w:ascii="Arial" w:hAnsi="Arial" w:cs="Arial"/>
          <w:sz w:val="20"/>
          <w:szCs w:val="20"/>
          <w:lang w:val="en-GB"/>
        </w:rPr>
        <w:t>neonatal intensive care unit (NICU) service. Electronic medical records were reviewed for all premature infants who were screened for ROP at the centre, over a period of 5 years, between January 2017 until December 2021. Th</w:t>
      </w:r>
      <w:r>
        <w:rPr>
          <w:rFonts w:ascii="Arial" w:hAnsi="Arial" w:cs="Arial"/>
          <w:sz w:val="20"/>
          <w:szCs w:val="20"/>
          <w:lang w:val="en-GB"/>
        </w:rPr>
        <w:t>is</w:t>
      </w:r>
      <w:r w:rsidRPr="007B53E4">
        <w:rPr>
          <w:rFonts w:ascii="Arial" w:hAnsi="Arial" w:cs="Arial"/>
          <w:sz w:val="20"/>
          <w:szCs w:val="20"/>
          <w:lang w:val="en-GB"/>
        </w:rPr>
        <w:t xml:space="preserve"> data w</w:t>
      </w:r>
      <w:r>
        <w:rPr>
          <w:rFonts w:ascii="Arial" w:hAnsi="Arial" w:cs="Arial"/>
          <w:sz w:val="20"/>
          <w:szCs w:val="20"/>
          <w:lang w:val="en-GB"/>
        </w:rPr>
        <w:t>as</w:t>
      </w:r>
      <w:r w:rsidRPr="007B53E4">
        <w:rPr>
          <w:rFonts w:ascii="Arial" w:hAnsi="Arial" w:cs="Arial"/>
          <w:sz w:val="20"/>
          <w:szCs w:val="20"/>
          <w:lang w:val="en-GB"/>
        </w:rPr>
        <w:t xml:space="preserve"> cross referenced with the Ophthalmology Department surgical registry for identification of infants with severe ROP, requiring treatment. Microsoft Excel was used to collect and analyse information </w:t>
      </w:r>
      <w:r>
        <w:rPr>
          <w:rFonts w:ascii="Arial" w:hAnsi="Arial" w:cs="Arial"/>
          <w:sz w:val="20"/>
          <w:szCs w:val="20"/>
          <w:lang w:val="en-GB"/>
        </w:rPr>
        <w:t>i</w:t>
      </w:r>
      <w:r w:rsidRPr="007B53E4">
        <w:rPr>
          <w:rFonts w:ascii="Arial" w:hAnsi="Arial" w:cs="Arial"/>
          <w:sz w:val="20"/>
          <w:szCs w:val="20"/>
          <w:lang w:val="en-GB"/>
        </w:rPr>
        <w:t>nclud</w:t>
      </w:r>
      <w:r>
        <w:rPr>
          <w:rFonts w:ascii="Arial" w:hAnsi="Arial" w:cs="Arial"/>
          <w:sz w:val="20"/>
          <w:szCs w:val="20"/>
          <w:lang w:val="en-GB"/>
        </w:rPr>
        <w:t>ing</w:t>
      </w:r>
      <w:r w:rsidRPr="007B53E4">
        <w:rPr>
          <w:rFonts w:ascii="Arial" w:hAnsi="Arial" w:cs="Arial"/>
          <w:sz w:val="20"/>
          <w:szCs w:val="20"/>
          <w:lang w:val="en-GB"/>
        </w:rPr>
        <w:t xml:space="preserve"> gestational age (GA), birth weight, age at screening and diagnosis</w:t>
      </w:r>
      <w:r>
        <w:rPr>
          <w:rFonts w:ascii="Arial" w:hAnsi="Arial" w:cs="Arial"/>
          <w:sz w:val="20"/>
          <w:szCs w:val="20"/>
          <w:lang w:val="en-GB"/>
        </w:rPr>
        <w:t>,</w:t>
      </w:r>
      <w:r w:rsidRPr="007B53E4">
        <w:rPr>
          <w:rFonts w:ascii="Arial" w:hAnsi="Arial" w:cs="Arial"/>
          <w:sz w:val="20"/>
          <w:szCs w:val="20"/>
          <w:lang w:val="en-GB"/>
        </w:rPr>
        <w:t xml:space="preserve"> as well as the timing of treatment given post diagnosis. Antenatal risk factors, delivery details as well as post-natal particulars and management were </w:t>
      </w:r>
      <w:r>
        <w:rPr>
          <w:rFonts w:ascii="Arial" w:hAnsi="Arial" w:cs="Arial"/>
          <w:sz w:val="20"/>
          <w:szCs w:val="20"/>
          <w:lang w:val="en-GB"/>
        </w:rPr>
        <w:t>al</w:t>
      </w:r>
      <w:r w:rsidRPr="007B53E4">
        <w:rPr>
          <w:rFonts w:ascii="Arial" w:hAnsi="Arial" w:cs="Arial"/>
          <w:sz w:val="20"/>
          <w:szCs w:val="20"/>
          <w:lang w:val="en-GB"/>
        </w:rPr>
        <w:t xml:space="preserve">so recorded. </w:t>
      </w:r>
    </w:p>
    <w:p w14:paraId="422FAAF2" w14:textId="77777777" w:rsidR="006015B8" w:rsidRPr="007B53E4" w:rsidRDefault="006015B8" w:rsidP="006015B8">
      <w:pPr>
        <w:spacing w:line="360" w:lineRule="auto"/>
        <w:jc w:val="both"/>
        <w:rPr>
          <w:rFonts w:ascii="Arial" w:hAnsi="Arial" w:cs="Arial"/>
          <w:sz w:val="20"/>
          <w:szCs w:val="20"/>
          <w:lang w:val="en-GB"/>
        </w:rPr>
      </w:pPr>
      <w:r w:rsidRPr="007B53E4">
        <w:rPr>
          <w:rFonts w:ascii="Arial" w:hAnsi="Arial" w:cs="Arial"/>
          <w:sz w:val="20"/>
          <w:szCs w:val="20"/>
          <w:lang w:val="en-GB"/>
        </w:rPr>
        <w:t>Examinations were carried out according to the Malaysian Clinical Practice Guideline</w:t>
      </w:r>
      <w:r>
        <w:rPr>
          <w:rFonts w:ascii="Arial" w:hAnsi="Arial" w:cs="Arial"/>
          <w:sz w:val="20"/>
          <w:szCs w:val="20"/>
          <w:lang w:val="en-GB"/>
        </w:rPr>
        <w:t>s</w:t>
      </w:r>
      <w:r w:rsidRPr="007B53E4">
        <w:rPr>
          <w:rFonts w:ascii="Arial" w:hAnsi="Arial" w:cs="Arial"/>
          <w:sz w:val="20"/>
          <w:szCs w:val="20"/>
          <w:lang w:val="en-GB"/>
        </w:rPr>
        <w:t xml:space="preserve"> for ROP (2005) (11). All premature infants born less than 32 weeks and</w:t>
      </w:r>
      <w:r>
        <w:rPr>
          <w:rFonts w:ascii="Arial" w:hAnsi="Arial" w:cs="Arial"/>
          <w:sz w:val="20"/>
          <w:szCs w:val="20"/>
          <w:lang w:val="en-GB"/>
        </w:rPr>
        <w:t>/</w:t>
      </w:r>
      <w:r w:rsidRPr="007B53E4">
        <w:rPr>
          <w:rFonts w:ascii="Arial" w:hAnsi="Arial" w:cs="Arial"/>
          <w:sz w:val="20"/>
          <w:szCs w:val="20"/>
          <w:lang w:val="en-GB"/>
        </w:rPr>
        <w:t xml:space="preserve"> or with birth weight of less than 1500g were screened for ROP. Screenings were also carried out on premature infants born at more than 32 weeks of gestation or with birth weight more than 1500g, but </w:t>
      </w:r>
      <w:r>
        <w:rPr>
          <w:rFonts w:ascii="Arial" w:hAnsi="Arial" w:cs="Arial"/>
          <w:sz w:val="20"/>
          <w:szCs w:val="20"/>
          <w:lang w:val="en-GB"/>
        </w:rPr>
        <w:t xml:space="preserve">who </w:t>
      </w:r>
      <w:r w:rsidRPr="007B53E4">
        <w:rPr>
          <w:rFonts w:ascii="Arial" w:hAnsi="Arial" w:cs="Arial"/>
          <w:sz w:val="20"/>
          <w:szCs w:val="20"/>
          <w:lang w:val="en-GB"/>
        </w:rPr>
        <w:t xml:space="preserve">had unstable clinical conditions, and were deemed to be at high risk of developing ROP, as determined by the </w:t>
      </w:r>
      <w:proofErr w:type="spellStart"/>
      <w:r w:rsidRPr="007B53E4">
        <w:rPr>
          <w:rFonts w:ascii="Arial" w:hAnsi="Arial" w:cs="Arial"/>
          <w:sz w:val="20"/>
          <w:szCs w:val="20"/>
          <w:lang w:val="en-GB"/>
        </w:rPr>
        <w:t>pediatrician</w:t>
      </w:r>
      <w:proofErr w:type="spellEnd"/>
      <w:r w:rsidRPr="007B53E4">
        <w:rPr>
          <w:rFonts w:ascii="Arial" w:hAnsi="Arial" w:cs="Arial"/>
          <w:sz w:val="20"/>
          <w:szCs w:val="20"/>
          <w:lang w:val="en-GB"/>
        </w:rPr>
        <w:t xml:space="preserve"> or neonatologist </w:t>
      </w:r>
      <w:r w:rsidRPr="007B53E4">
        <w:rPr>
          <w:rFonts w:ascii="Arial" w:hAnsi="Arial" w:cs="Arial"/>
          <w:sz w:val="20"/>
          <w:szCs w:val="20"/>
          <w:lang w:val="en-GB"/>
        </w:rPr>
        <w:lastRenderedPageBreak/>
        <w:t>in charge. The first ROP screening examination was performed on these infants at 31 weeks GA or 4-6 weeks postnatal age, whichever was later as proposed by the guideline</w:t>
      </w:r>
      <w:r>
        <w:rPr>
          <w:rFonts w:ascii="Arial" w:hAnsi="Arial" w:cs="Arial"/>
          <w:sz w:val="20"/>
          <w:szCs w:val="20"/>
          <w:lang w:val="en-GB"/>
        </w:rPr>
        <w:t>s</w:t>
      </w:r>
      <w:r w:rsidRPr="007B53E4">
        <w:rPr>
          <w:rFonts w:ascii="Arial" w:hAnsi="Arial" w:cs="Arial"/>
          <w:sz w:val="20"/>
          <w:szCs w:val="20"/>
          <w:lang w:val="en-GB"/>
        </w:rPr>
        <w:t>. Assessment was performed by two ophthalmologists and the stages of ROP were documented according to the International Classification of Retinopathy of Prematurity (2005), which divides the location of disease into three zones, five stages of severity and includes the description of plus disease manifestation (12). The treatment given was based on the Early Treatment for Retinopathy of Prematurity (ETROP) trial and criterion for treatment is threshold ROP, defined as stage 3 ROP with at least five contiguous clock hours or eight cumulative clock hours with plus disease (7,12). The Malaysian guideline</w:t>
      </w:r>
      <w:r>
        <w:rPr>
          <w:rFonts w:ascii="Arial" w:hAnsi="Arial" w:cs="Arial"/>
          <w:sz w:val="20"/>
          <w:szCs w:val="20"/>
          <w:lang w:val="en-GB"/>
        </w:rPr>
        <w:t>s</w:t>
      </w:r>
      <w:r w:rsidRPr="007B53E4">
        <w:rPr>
          <w:rFonts w:ascii="Arial" w:hAnsi="Arial" w:cs="Arial"/>
          <w:sz w:val="20"/>
          <w:szCs w:val="20"/>
          <w:lang w:val="en-GB"/>
        </w:rPr>
        <w:t xml:space="preserve"> proposed that infants requiring treatment should be treated ideally within 48-72 hours of diagnosis with either laser treatment, cryotherapy, intravitreal anti-vascular endothelial growth factor (anti VEGF) or </w:t>
      </w:r>
      <w:proofErr w:type="spellStart"/>
      <w:r w:rsidRPr="007B53E4">
        <w:rPr>
          <w:rFonts w:ascii="Arial" w:hAnsi="Arial" w:cs="Arial"/>
          <w:sz w:val="20"/>
          <w:szCs w:val="20"/>
          <w:lang w:val="en-GB"/>
        </w:rPr>
        <w:t>vitreo</w:t>
      </w:r>
      <w:proofErr w:type="spellEnd"/>
      <w:r w:rsidRPr="007B53E4">
        <w:rPr>
          <w:rFonts w:ascii="Arial" w:hAnsi="Arial" w:cs="Arial"/>
          <w:sz w:val="20"/>
          <w:szCs w:val="20"/>
          <w:lang w:val="en-GB"/>
        </w:rPr>
        <w:t>-retinal surgery if indicated (11). In this study, 25 infants received laser treatment while one infant was given both laser and intravitreal anti VEGF injection. Repeat examination were continued for all in 1</w:t>
      </w:r>
      <w:r>
        <w:rPr>
          <w:rFonts w:ascii="Arial" w:hAnsi="Arial" w:cs="Arial"/>
          <w:sz w:val="20"/>
          <w:szCs w:val="20"/>
          <w:lang w:val="en-GB"/>
        </w:rPr>
        <w:t xml:space="preserve"> to </w:t>
      </w:r>
      <w:r w:rsidRPr="007B53E4">
        <w:rPr>
          <w:rFonts w:ascii="Arial" w:hAnsi="Arial" w:cs="Arial"/>
          <w:sz w:val="20"/>
          <w:szCs w:val="20"/>
          <w:lang w:val="en-GB"/>
        </w:rPr>
        <w:t>3-week intervals depending on severity until complete regression of ROP, with the treated eye deemed to have no further risk of visual loss or until complete vascularisation of the retina was seen.</w:t>
      </w:r>
    </w:p>
    <w:p w14:paraId="39BDEA65" w14:textId="77777777" w:rsidR="006015B8" w:rsidRPr="007B53E4" w:rsidRDefault="006015B8" w:rsidP="006015B8">
      <w:pPr>
        <w:spacing w:line="360" w:lineRule="auto"/>
        <w:jc w:val="both"/>
        <w:rPr>
          <w:rFonts w:ascii="Arial" w:hAnsi="Arial" w:cs="Arial"/>
          <w:sz w:val="20"/>
          <w:szCs w:val="20"/>
          <w:lang w:val="en-GB"/>
        </w:rPr>
      </w:pPr>
      <w:r w:rsidRPr="007B53E4">
        <w:rPr>
          <w:rFonts w:ascii="Arial" w:hAnsi="Arial" w:cs="Arial"/>
          <w:sz w:val="20"/>
          <w:szCs w:val="20"/>
          <w:lang w:val="en-GB"/>
        </w:rPr>
        <w:t>Results</w:t>
      </w:r>
    </w:p>
    <w:p w14:paraId="45D5EE6C" w14:textId="77777777" w:rsidR="006015B8" w:rsidRPr="007B53E4" w:rsidRDefault="006015B8" w:rsidP="006015B8">
      <w:pPr>
        <w:spacing w:line="360" w:lineRule="auto"/>
        <w:jc w:val="both"/>
        <w:rPr>
          <w:rFonts w:ascii="Arial" w:hAnsi="Arial" w:cs="Arial"/>
          <w:sz w:val="20"/>
          <w:szCs w:val="20"/>
          <w:lang w:val="en-GB"/>
        </w:rPr>
      </w:pPr>
      <w:r w:rsidRPr="007B53E4">
        <w:rPr>
          <w:rFonts w:ascii="Arial" w:hAnsi="Arial" w:cs="Arial"/>
          <w:sz w:val="20"/>
          <w:szCs w:val="20"/>
          <w:lang w:val="en-GB"/>
        </w:rPr>
        <w:t>A total of 322 premature infants were screened over the course of 5</w:t>
      </w:r>
      <w:r>
        <w:rPr>
          <w:rFonts w:ascii="Arial" w:hAnsi="Arial" w:cs="Arial"/>
          <w:sz w:val="20"/>
          <w:szCs w:val="20"/>
          <w:lang w:val="en-GB"/>
        </w:rPr>
        <w:t>-</w:t>
      </w:r>
      <w:r w:rsidRPr="007B53E4">
        <w:rPr>
          <w:rFonts w:ascii="Arial" w:hAnsi="Arial" w:cs="Arial"/>
          <w:sz w:val="20"/>
          <w:szCs w:val="20"/>
          <w:lang w:val="en-GB"/>
        </w:rPr>
        <w:t>years</w:t>
      </w:r>
      <w:r>
        <w:rPr>
          <w:rFonts w:ascii="Arial" w:hAnsi="Arial" w:cs="Arial"/>
          <w:sz w:val="20"/>
          <w:szCs w:val="20"/>
          <w:lang w:val="en-GB"/>
        </w:rPr>
        <w:t>.</w:t>
      </w:r>
      <w:r w:rsidRPr="007B53E4">
        <w:rPr>
          <w:rFonts w:ascii="Arial" w:hAnsi="Arial" w:cs="Arial"/>
          <w:sz w:val="20"/>
          <w:szCs w:val="20"/>
          <w:lang w:val="en-GB"/>
        </w:rPr>
        <w:t xml:space="preserve"> </w:t>
      </w:r>
      <w:r>
        <w:rPr>
          <w:rFonts w:ascii="Arial" w:hAnsi="Arial" w:cs="Arial"/>
          <w:sz w:val="20"/>
          <w:szCs w:val="20"/>
          <w:lang w:val="en-GB"/>
        </w:rPr>
        <w:t xml:space="preserve">Only </w:t>
      </w:r>
      <w:r w:rsidRPr="007B53E4">
        <w:rPr>
          <w:rFonts w:ascii="Arial" w:hAnsi="Arial" w:cs="Arial"/>
          <w:sz w:val="20"/>
          <w:szCs w:val="20"/>
          <w:lang w:val="en-GB"/>
        </w:rPr>
        <w:t xml:space="preserve">26 (8.1%) infants were diagnosed with severe ROP </w:t>
      </w:r>
      <w:r>
        <w:rPr>
          <w:rFonts w:ascii="Arial" w:hAnsi="Arial" w:cs="Arial"/>
          <w:sz w:val="20"/>
          <w:szCs w:val="20"/>
          <w:lang w:val="en-GB"/>
        </w:rPr>
        <w:t>w</w:t>
      </w:r>
      <w:r w:rsidRPr="007B53E4">
        <w:rPr>
          <w:rFonts w:ascii="Arial" w:hAnsi="Arial" w:cs="Arial"/>
          <w:sz w:val="20"/>
          <w:szCs w:val="20"/>
          <w:lang w:val="en-GB"/>
        </w:rPr>
        <w:t>hich require</w:t>
      </w:r>
      <w:r>
        <w:rPr>
          <w:rFonts w:ascii="Arial" w:hAnsi="Arial" w:cs="Arial"/>
          <w:sz w:val="20"/>
          <w:szCs w:val="20"/>
          <w:lang w:val="en-GB"/>
        </w:rPr>
        <w:t>d</w:t>
      </w:r>
      <w:r w:rsidRPr="007B53E4">
        <w:rPr>
          <w:rFonts w:ascii="Arial" w:hAnsi="Arial" w:cs="Arial"/>
          <w:sz w:val="20"/>
          <w:szCs w:val="20"/>
          <w:lang w:val="en-GB"/>
        </w:rPr>
        <w:t xml:space="preserve"> treatment. The rest of the infants (91.9%) were diagnosed as either stage 1-2 ROP which regressed, or did not develop ROP at all. Of the 26 infants with severe ROP, only 5 were females (19.2%) while the rest were male infants (80.8 %).  </w:t>
      </w:r>
      <w:r>
        <w:rPr>
          <w:rFonts w:ascii="Arial" w:hAnsi="Arial" w:cs="Arial"/>
          <w:sz w:val="20"/>
          <w:szCs w:val="20"/>
          <w:lang w:val="en-GB"/>
        </w:rPr>
        <w:t xml:space="preserve">The majority of these </w:t>
      </w:r>
      <w:r w:rsidRPr="007B53E4">
        <w:rPr>
          <w:rFonts w:ascii="Arial" w:hAnsi="Arial" w:cs="Arial"/>
          <w:sz w:val="20"/>
          <w:szCs w:val="20"/>
          <w:lang w:val="en-GB"/>
        </w:rPr>
        <w:t>infants</w:t>
      </w:r>
      <w:r>
        <w:rPr>
          <w:rFonts w:ascii="Arial" w:hAnsi="Arial" w:cs="Arial"/>
          <w:sz w:val="20"/>
          <w:szCs w:val="20"/>
          <w:lang w:val="en-GB"/>
        </w:rPr>
        <w:t xml:space="preserve"> </w:t>
      </w:r>
      <w:r w:rsidRPr="007B53E4">
        <w:rPr>
          <w:rFonts w:ascii="Arial" w:hAnsi="Arial" w:cs="Arial"/>
          <w:sz w:val="20"/>
          <w:szCs w:val="20"/>
          <w:lang w:val="en-GB"/>
        </w:rPr>
        <w:t>(</w:t>
      </w:r>
      <w:r>
        <w:rPr>
          <w:rFonts w:ascii="Arial" w:hAnsi="Arial" w:cs="Arial"/>
          <w:sz w:val="20"/>
          <w:szCs w:val="20"/>
          <w:lang w:val="en-GB"/>
        </w:rPr>
        <w:t xml:space="preserve">n=23, </w:t>
      </w:r>
      <w:r w:rsidRPr="007B53E4">
        <w:rPr>
          <w:rFonts w:ascii="Arial" w:hAnsi="Arial" w:cs="Arial"/>
          <w:sz w:val="20"/>
          <w:szCs w:val="20"/>
          <w:lang w:val="en-GB"/>
        </w:rPr>
        <w:t>88.5%) were of Malay ethnicity while 3 infants</w:t>
      </w:r>
      <w:r>
        <w:rPr>
          <w:rFonts w:ascii="Arial" w:hAnsi="Arial" w:cs="Arial"/>
          <w:sz w:val="20"/>
          <w:szCs w:val="20"/>
          <w:lang w:val="en-GB"/>
        </w:rPr>
        <w:t xml:space="preserve"> </w:t>
      </w:r>
      <w:r w:rsidRPr="007B53E4">
        <w:rPr>
          <w:rFonts w:ascii="Arial" w:hAnsi="Arial" w:cs="Arial"/>
          <w:sz w:val="20"/>
          <w:szCs w:val="20"/>
          <w:lang w:val="en-GB"/>
        </w:rPr>
        <w:t>(11.5%) were from the Indian ethnic group. The mean GA of these 26 infants was 28 weeks, with the youngest being born at 25 weeks and the oldest at 35 weeks. The birth weight</w:t>
      </w:r>
      <w:r>
        <w:rPr>
          <w:rFonts w:ascii="Arial" w:hAnsi="Arial" w:cs="Arial"/>
          <w:sz w:val="20"/>
          <w:szCs w:val="20"/>
          <w:lang w:val="en-GB"/>
        </w:rPr>
        <w:t>s</w:t>
      </w:r>
      <w:r w:rsidRPr="007B53E4">
        <w:rPr>
          <w:rFonts w:ascii="Arial" w:hAnsi="Arial" w:cs="Arial"/>
          <w:sz w:val="20"/>
          <w:szCs w:val="20"/>
          <w:lang w:val="en-GB"/>
        </w:rPr>
        <w:t xml:space="preserve"> ranged between 645g </w:t>
      </w:r>
      <w:r>
        <w:rPr>
          <w:rFonts w:ascii="Arial" w:hAnsi="Arial" w:cs="Arial"/>
          <w:sz w:val="20"/>
          <w:szCs w:val="20"/>
          <w:lang w:val="en-GB"/>
        </w:rPr>
        <w:t>and</w:t>
      </w:r>
      <w:r w:rsidRPr="007B53E4">
        <w:rPr>
          <w:rFonts w:ascii="Arial" w:hAnsi="Arial" w:cs="Arial"/>
          <w:sz w:val="20"/>
          <w:szCs w:val="20"/>
          <w:lang w:val="en-GB"/>
        </w:rPr>
        <w:t xml:space="preserve"> 2280g, with the average being 1170g. Demographic details and characteristics are summarized in Table 1.</w:t>
      </w:r>
    </w:p>
    <w:p w14:paraId="3B2874E2" w14:textId="77777777" w:rsidR="006015B8" w:rsidRPr="007B53E4" w:rsidRDefault="006015B8" w:rsidP="006015B8">
      <w:pPr>
        <w:spacing w:line="360" w:lineRule="auto"/>
        <w:jc w:val="both"/>
        <w:rPr>
          <w:rFonts w:ascii="Arial" w:hAnsi="Arial" w:cs="Arial"/>
          <w:sz w:val="20"/>
          <w:szCs w:val="20"/>
          <w:lang w:val="en-GB"/>
        </w:rPr>
      </w:pPr>
      <w:r w:rsidRPr="007B53E4">
        <w:rPr>
          <w:rFonts w:ascii="Arial" w:hAnsi="Arial" w:cs="Arial"/>
          <w:sz w:val="20"/>
          <w:szCs w:val="20"/>
          <w:lang w:val="en-GB"/>
        </w:rPr>
        <w:t xml:space="preserve">The majority of these </w:t>
      </w:r>
      <w:r w:rsidRPr="000B119A">
        <w:rPr>
          <w:rFonts w:ascii="Arial" w:hAnsi="Arial" w:cs="Arial"/>
          <w:sz w:val="20"/>
          <w:szCs w:val="20"/>
          <w:lang w:val="en-GB"/>
        </w:rPr>
        <w:t>newborns</w:t>
      </w:r>
      <w:r w:rsidRPr="007B53E4">
        <w:rPr>
          <w:rFonts w:ascii="Arial" w:hAnsi="Arial" w:cs="Arial"/>
          <w:sz w:val="20"/>
          <w:szCs w:val="20"/>
          <w:lang w:val="en-GB"/>
        </w:rPr>
        <w:t xml:space="preserve"> (</w:t>
      </w:r>
      <w:r>
        <w:rPr>
          <w:rFonts w:ascii="Arial" w:hAnsi="Arial" w:cs="Arial"/>
          <w:sz w:val="20"/>
          <w:szCs w:val="20"/>
          <w:lang w:val="en-GB"/>
        </w:rPr>
        <w:t>n=</w:t>
      </w:r>
      <w:r w:rsidRPr="007B53E4">
        <w:rPr>
          <w:rFonts w:ascii="Arial" w:hAnsi="Arial" w:cs="Arial"/>
          <w:sz w:val="20"/>
          <w:szCs w:val="20"/>
          <w:lang w:val="en-GB"/>
        </w:rPr>
        <w:t xml:space="preserve">20, 77.0%) had their first screening within 4-6 weeks after delivery, at the GA of between 29 to 36 weeks (Figure 1). Mean GA at screening was 33 weeks. </w:t>
      </w:r>
      <w:r>
        <w:rPr>
          <w:rFonts w:ascii="Arial" w:hAnsi="Arial" w:cs="Arial"/>
          <w:sz w:val="20"/>
          <w:szCs w:val="20"/>
          <w:lang w:val="en-GB"/>
        </w:rPr>
        <w:t>Six</w:t>
      </w:r>
      <w:r w:rsidRPr="007B53E4">
        <w:rPr>
          <w:rFonts w:ascii="Arial" w:hAnsi="Arial" w:cs="Arial"/>
          <w:sz w:val="20"/>
          <w:szCs w:val="20"/>
          <w:lang w:val="en-GB"/>
        </w:rPr>
        <w:t xml:space="preserve"> (23.1%) infants were screened beyond 7 weeks post-delivery, with the latest being screened at 11 weeks post-natal age or at 40 weeks GA. All of the infants were diagnosed with stage 3 ROP</w:t>
      </w:r>
      <w:r>
        <w:rPr>
          <w:rFonts w:ascii="Arial" w:hAnsi="Arial" w:cs="Arial"/>
          <w:sz w:val="20"/>
          <w:szCs w:val="20"/>
          <w:lang w:val="en-GB"/>
        </w:rPr>
        <w:t>,</w:t>
      </w:r>
      <w:r w:rsidRPr="007B53E4">
        <w:rPr>
          <w:rFonts w:ascii="Arial" w:hAnsi="Arial" w:cs="Arial"/>
          <w:sz w:val="20"/>
          <w:szCs w:val="20"/>
          <w:lang w:val="en-GB"/>
        </w:rPr>
        <w:t xml:space="preserve"> with 7 infants (26.9%) also ha</w:t>
      </w:r>
      <w:r>
        <w:rPr>
          <w:rFonts w:ascii="Arial" w:hAnsi="Arial" w:cs="Arial"/>
          <w:sz w:val="20"/>
          <w:szCs w:val="20"/>
          <w:lang w:val="en-GB"/>
        </w:rPr>
        <w:t>ving</w:t>
      </w:r>
      <w:r w:rsidRPr="007B53E4">
        <w:rPr>
          <w:rFonts w:ascii="Arial" w:hAnsi="Arial" w:cs="Arial"/>
          <w:sz w:val="20"/>
          <w:szCs w:val="20"/>
          <w:lang w:val="en-GB"/>
        </w:rPr>
        <w:t xml:space="preserve"> features of Plus Disease. None had stage 4 or 5 ROP. Mean GA at diagnosis and commencement of treatment </w:t>
      </w:r>
      <w:r>
        <w:rPr>
          <w:rFonts w:ascii="Arial" w:hAnsi="Arial" w:cs="Arial"/>
          <w:sz w:val="20"/>
          <w:szCs w:val="20"/>
          <w:lang w:val="en-GB"/>
        </w:rPr>
        <w:t>wa</w:t>
      </w:r>
      <w:r w:rsidRPr="007B53E4">
        <w:rPr>
          <w:rFonts w:ascii="Arial" w:hAnsi="Arial" w:cs="Arial"/>
          <w:sz w:val="20"/>
          <w:szCs w:val="20"/>
          <w:lang w:val="en-GB"/>
        </w:rPr>
        <w:t>s 38 weeks</w:t>
      </w:r>
      <w:r>
        <w:rPr>
          <w:rFonts w:ascii="Arial" w:hAnsi="Arial" w:cs="Arial"/>
          <w:sz w:val="20"/>
          <w:szCs w:val="20"/>
          <w:lang w:val="en-GB"/>
        </w:rPr>
        <w:t>,</w:t>
      </w:r>
      <w:r w:rsidRPr="007B53E4">
        <w:rPr>
          <w:rFonts w:ascii="Arial" w:hAnsi="Arial" w:cs="Arial"/>
          <w:sz w:val="20"/>
          <w:szCs w:val="20"/>
          <w:lang w:val="en-GB"/>
        </w:rPr>
        <w:t xml:space="preserve"> with the majority (</w:t>
      </w:r>
      <w:r>
        <w:rPr>
          <w:rFonts w:ascii="Arial" w:hAnsi="Arial" w:cs="Arial"/>
          <w:sz w:val="20"/>
          <w:szCs w:val="20"/>
          <w:lang w:val="en-GB"/>
        </w:rPr>
        <w:t>n=</w:t>
      </w:r>
      <w:r w:rsidRPr="007B53E4">
        <w:rPr>
          <w:rFonts w:ascii="Arial" w:hAnsi="Arial" w:cs="Arial"/>
          <w:sz w:val="20"/>
          <w:szCs w:val="20"/>
          <w:lang w:val="en-GB"/>
        </w:rPr>
        <w:t xml:space="preserve">20, 76.9%) </w:t>
      </w:r>
      <w:r>
        <w:rPr>
          <w:rFonts w:ascii="Arial" w:hAnsi="Arial" w:cs="Arial"/>
          <w:sz w:val="20"/>
          <w:szCs w:val="20"/>
          <w:lang w:val="en-GB"/>
        </w:rPr>
        <w:t>being</w:t>
      </w:r>
      <w:r w:rsidRPr="007B53E4">
        <w:rPr>
          <w:rFonts w:ascii="Arial" w:hAnsi="Arial" w:cs="Arial"/>
          <w:sz w:val="20"/>
          <w:szCs w:val="20"/>
          <w:lang w:val="en-GB"/>
        </w:rPr>
        <w:t xml:space="preserve"> treated with indirect laser within 72 hours post diagnosis (Figure 2 and 3). </w:t>
      </w:r>
      <w:r>
        <w:rPr>
          <w:rFonts w:ascii="Arial" w:hAnsi="Arial" w:cs="Arial"/>
          <w:sz w:val="20"/>
          <w:szCs w:val="20"/>
          <w:lang w:val="en-GB"/>
        </w:rPr>
        <w:t xml:space="preserve">Six </w:t>
      </w:r>
      <w:r w:rsidRPr="007B53E4">
        <w:rPr>
          <w:rFonts w:ascii="Arial" w:hAnsi="Arial" w:cs="Arial"/>
          <w:sz w:val="20"/>
          <w:szCs w:val="20"/>
          <w:lang w:val="en-GB"/>
        </w:rPr>
        <w:t>infants (23.1%) were treated beyond the recommended treatment guideline</w:t>
      </w:r>
      <w:r>
        <w:rPr>
          <w:rFonts w:ascii="Arial" w:hAnsi="Arial" w:cs="Arial"/>
          <w:sz w:val="20"/>
          <w:szCs w:val="20"/>
          <w:lang w:val="en-GB"/>
        </w:rPr>
        <w:t>s</w:t>
      </w:r>
      <w:r w:rsidRPr="007B53E4">
        <w:rPr>
          <w:rFonts w:ascii="Arial" w:hAnsi="Arial" w:cs="Arial"/>
          <w:sz w:val="20"/>
          <w:szCs w:val="20"/>
          <w:lang w:val="en-GB"/>
        </w:rPr>
        <w:t xml:space="preserve">, </w:t>
      </w:r>
      <w:proofErr w:type="gramStart"/>
      <w:r w:rsidRPr="007B53E4">
        <w:rPr>
          <w:rFonts w:ascii="Arial" w:hAnsi="Arial" w:cs="Arial"/>
          <w:sz w:val="20"/>
          <w:szCs w:val="20"/>
          <w:lang w:val="en-GB"/>
        </w:rPr>
        <w:t>i.e</w:t>
      </w:r>
      <w:r>
        <w:rPr>
          <w:rFonts w:ascii="Arial" w:hAnsi="Arial" w:cs="Arial"/>
          <w:sz w:val="20"/>
          <w:szCs w:val="20"/>
          <w:lang w:val="en-GB"/>
        </w:rPr>
        <w:t>.</w:t>
      </w:r>
      <w:proofErr w:type="gramEnd"/>
      <w:r w:rsidRPr="007B53E4">
        <w:rPr>
          <w:rFonts w:ascii="Arial" w:hAnsi="Arial" w:cs="Arial"/>
          <w:sz w:val="20"/>
          <w:szCs w:val="20"/>
          <w:lang w:val="en-GB"/>
        </w:rPr>
        <w:t xml:space="preserve"> more than 72 hours, with one infant being given treatment at 21 days after diagnosis.</w:t>
      </w:r>
    </w:p>
    <w:p w14:paraId="1A18DF2A" w14:textId="77777777" w:rsidR="006015B8" w:rsidRPr="007B53E4" w:rsidRDefault="006015B8" w:rsidP="006015B8">
      <w:pPr>
        <w:spacing w:line="360" w:lineRule="auto"/>
        <w:jc w:val="both"/>
        <w:rPr>
          <w:rFonts w:ascii="Arial" w:hAnsi="Arial" w:cs="Arial"/>
          <w:sz w:val="20"/>
          <w:szCs w:val="20"/>
          <w:lang w:val="en-GB"/>
        </w:rPr>
      </w:pPr>
      <w:r w:rsidRPr="007B53E4">
        <w:rPr>
          <w:rFonts w:ascii="Arial" w:hAnsi="Arial" w:cs="Arial"/>
          <w:sz w:val="20"/>
          <w:szCs w:val="20"/>
          <w:lang w:val="en-GB"/>
        </w:rPr>
        <w:t>All of the infants required oxygen support post</w:t>
      </w:r>
      <w:r>
        <w:rPr>
          <w:rFonts w:ascii="Arial" w:hAnsi="Arial" w:cs="Arial"/>
          <w:sz w:val="20"/>
          <w:szCs w:val="20"/>
          <w:lang w:val="en-GB"/>
        </w:rPr>
        <w:t>-</w:t>
      </w:r>
      <w:r w:rsidRPr="007B53E4">
        <w:rPr>
          <w:rFonts w:ascii="Arial" w:hAnsi="Arial" w:cs="Arial"/>
          <w:sz w:val="20"/>
          <w:szCs w:val="20"/>
          <w:lang w:val="en-GB"/>
        </w:rPr>
        <w:t>delivery with 23 infants (88.5%) intubated while 3 (11.5%) were managed with non-invasive ventilation (NIV). A</w:t>
      </w:r>
      <w:r>
        <w:rPr>
          <w:rFonts w:ascii="Arial" w:hAnsi="Arial" w:cs="Arial"/>
          <w:sz w:val="20"/>
          <w:szCs w:val="20"/>
          <w:lang w:val="en-GB"/>
        </w:rPr>
        <w:t>n a</w:t>
      </w:r>
      <w:r w:rsidRPr="007B53E4">
        <w:rPr>
          <w:rFonts w:ascii="Arial" w:hAnsi="Arial" w:cs="Arial"/>
          <w:sz w:val="20"/>
          <w:szCs w:val="20"/>
          <w:lang w:val="en-GB"/>
        </w:rPr>
        <w:t xml:space="preserve">dditional risk factor identified in this study was maternal diagnosis of COVID-19 which induced premature delivery. Two infants diagnosed with severe ROP were born of mothers infected with COVID-19 and they exceeded the screening criteria whereby both were born after 32 weeks and with </w:t>
      </w:r>
      <w:r>
        <w:rPr>
          <w:rFonts w:ascii="Arial" w:hAnsi="Arial" w:cs="Arial"/>
          <w:sz w:val="20"/>
          <w:szCs w:val="20"/>
          <w:lang w:val="en-GB"/>
        </w:rPr>
        <w:t>bi</w:t>
      </w:r>
      <w:r w:rsidRPr="007B53E4">
        <w:rPr>
          <w:rFonts w:ascii="Arial" w:hAnsi="Arial" w:cs="Arial"/>
          <w:sz w:val="20"/>
          <w:szCs w:val="20"/>
          <w:lang w:val="en-GB"/>
        </w:rPr>
        <w:t>rth weight</w:t>
      </w:r>
      <w:r>
        <w:rPr>
          <w:rFonts w:ascii="Arial" w:hAnsi="Arial" w:cs="Arial"/>
          <w:sz w:val="20"/>
          <w:szCs w:val="20"/>
          <w:lang w:val="en-GB"/>
        </w:rPr>
        <w:t>s</w:t>
      </w:r>
      <w:r w:rsidRPr="007B53E4">
        <w:rPr>
          <w:rFonts w:ascii="Arial" w:hAnsi="Arial" w:cs="Arial"/>
          <w:sz w:val="20"/>
          <w:szCs w:val="20"/>
          <w:lang w:val="en-GB"/>
        </w:rPr>
        <w:t xml:space="preserve"> of more than 1500g. The mean </w:t>
      </w:r>
      <w:r w:rsidRPr="007B53E4">
        <w:rPr>
          <w:rFonts w:ascii="Arial" w:hAnsi="Arial" w:cs="Arial"/>
          <w:sz w:val="20"/>
          <w:szCs w:val="20"/>
          <w:lang w:val="en-GB"/>
        </w:rPr>
        <w:lastRenderedPageBreak/>
        <w:t xml:space="preserve">GA at termination of ROP management </w:t>
      </w:r>
      <w:r>
        <w:rPr>
          <w:rFonts w:ascii="Arial" w:hAnsi="Arial" w:cs="Arial"/>
          <w:sz w:val="20"/>
          <w:szCs w:val="20"/>
          <w:lang w:val="en-GB"/>
        </w:rPr>
        <w:t>wa</w:t>
      </w:r>
      <w:r w:rsidRPr="007B53E4">
        <w:rPr>
          <w:rFonts w:ascii="Arial" w:hAnsi="Arial" w:cs="Arial"/>
          <w:sz w:val="20"/>
          <w:szCs w:val="20"/>
          <w:lang w:val="en-GB"/>
        </w:rPr>
        <w:t>s 50.4 weeks with all infants being given appointment dates for follow up in the ophthalmology clinic, for refraction and general review.</w:t>
      </w:r>
    </w:p>
    <w:p w14:paraId="473618A9" w14:textId="77777777" w:rsidR="006015B8" w:rsidRPr="007B53E4" w:rsidRDefault="006015B8" w:rsidP="006015B8">
      <w:pPr>
        <w:spacing w:line="360" w:lineRule="auto"/>
        <w:jc w:val="both"/>
        <w:rPr>
          <w:rFonts w:ascii="Arial" w:hAnsi="Arial" w:cs="Arial"/>
          <w:sz w:val="20"/>
          <w:szCs w:val="20"/>
          <w:lang w:val="en-GB"/>
        </w:rPr>
      </w:pPr>
      <w:r w:rsidRPr="007B53E4">
        <w:rPr>
          <w:rFonts w:ascii="Arial" w:hAnsi="Arial" w:cs="Arial"/>
          <w:sz w:val="20"/>
          <w:szCs w:val="20"/>
          <w:lang w:val="en-GB"/>
        </w:rPr>
        <w:t>Discussion</w:t>
      </w:r>
    </w:p>
    <w:p w14:paraId="015CF366" w14:textId="77777777" w:rsidR="006015B8" w:rsidRPr="007B53E4" w:rsidRDefault="006015B8" w:rsidP="006015B8">
      <w:pPr>
        <w:spacing w:line="360" w:lineRule="auto"/>
        <w:jc w:val="both"/>
        <w:rPr>
          <w:rFonts w:ascii="Arial" w:hAnsi="Arial" w:cs="Arial"/>
          <w:sz w:val="20"/>
          <w:szCs w:val="20"/>
          <w:lang w:val="en-GB"/>
        </w:rPr>
      </w:pPr>
      <w:r w:rsidRPr="007B53E4">
        <w:rPr>
          <w:rFonts w:ascii="Arial" w:hAnsi="Arial" w:cs="Arial"/>
          <w:sz w:val="20"/>
          <w:szCs w:val="20"/>
          <w:lang w:val="en-GB"/>
        </w:rPr>
        <w:t xml:space="preserve">The majority of premature infants screened in our centre did not develop severe ROP (91.3%). This result is fairly similar to studies conducted in other centres where up to 95% </w:t>
      </w:r>
      <w:r>
        <w:rPr>
          <w:rFonts w:ascii="Arial" w:hAnsi="Arial" w:cs="Arial"/>
          <w:sz w:val="20"/>
          <w:szCs w:val="20"/>
          <w:lang w:val="en-GB"/>
        </w:rPr>
        <w:t xml:space="preserve">of </w:t>
      </w:r>
      <w:r w:rsidRPr="007B53E4">
        <w:rPr>
          <w:rFonts w:ascii="Arial" w:hAnsi="Arial" w:cs="Arial"/>
          <w:sz w:val="20"/>
          <w:szCs w:val="20"/>
          <w:lang w:val="en-GB"/>
        </w:rPr>
        <w:t>infants screened did not have ROP which require</w:t>
      </w:r>
      <w:r>
        <w:rPr>
          <w:rFonts w:ascii="Arial" w:hAnsi="Arial" w:cs="Arial"/>
          <w:sz w:val="20"/>
          <w:szCs w:val="20"/>
          <w:lang w:val="en-GB"/>
        </w:rPr>
        <w:t>d</w:t>
      </w:r>
      <w:r w:rsidRPr="007B53E4">
        <w:rPr>
          <w:rFonts w:ascii="Arial" w:hAnsi="Arial" w:cs="Arial"/>
          <w:sz w:val="20"/>
          <w:szCs w:val="20"/>
          <w:lang w:val="en-GB"/>
        </w:rPr>
        <w:t xml:space="preserve"> treatment (8-10,13-15). This is despite greater numbers being screened and </w:t>
      </w:r>
      <w:r>
        <w:rPr>
          <w:rFonts w:ascii="Arial" w:hAnsi="Arial" w:cs="Arial"/>
          <w:sz w:val="20"/>
          <w:szCs w:val="20"/>
          <w:lang w:val="en-GB"/>
        </w:rPr>
        <w:t xml:space="preserve">an </w:t>
      </w:r>
      <w:r w:rsidRPr="007B53E4">
        <w:rPr>
          <w:rFonts w:ascii="Arial" w:hAnsi="Arial" w:cs="Arial"/>
          <w:sz w:val="20"/>
          <w:szCs w:val="20"/>
          <w:lang w:val="en-GB"/>
        </w:rPr>
        <w:t>increasing trend of premature birth each year, owing to advancement in medical care and technology (1). The majority of newborns with severe ROP requiring treatment in Sultan Abdul Halim Hospital were male patients. This is consistent with findings of other studies which suggest that boys are 14% more likely to be born pre</w:t>
      </w:r>
      <w:r>
        <w:rPr>
          <w:rFonts w:ascii="Arial" w:hAnsi="Arial" w:cs="Arial"/>
          <w:sz w:val="20"/>
          <w:szCs w:val="20"/>
          <w:lang w:val="en-GB"/>
        </w:rPr>
        <w:t>t</w:t>
      </w:r>
      <w:r w:rsidRPr="007B53E4">
        <w:rPr>
          <w:rFonts w:ascii="Arial" w:hAnsi="Arial" w:cs="Arial"/>
          <w:sz w:val="20"/>
          <w:szCs w:val="20"/>
          <w:lang w:val="en-GB"/>
        </w:rPr>
        <w:t>erm than girls (16,17). Premature male infants are also at a higher risk of death, with greater likelihood of getting infections, jaundice and congenital conditions (16,17). This subsequently leads them to being more likely to have preterm related disabilities such as learning problems, blindness, deafness and motor issues including cerebral palsy (16,17). The premature infants requiring treatment in this study were predominantly of Malay ethnicity</w:t>
      </w:r>
      <w:r>
        <w:rPr>
          <w:rFonts w:ascii="Arial" w:hAnsi="Arial" w:cs="Arial"/>
          <w:sz w:val="20"/>
          <w:szCs w:val="20"/>
          <w:lang w:val="en-GB"/>
        </w:rPr>
        <w:t>,</w:t>
      </w:r>
      <w:r w:rsidRPr="007B53E4">
        <w:rPr>
          <w:rFonts w:ascii="Arial" w:hAnsi="Arial" w:cs="Arial"/>
          <w:sz w:val="20"/>
          <w:szCs w:val="20"/>
          <w:lang w:val="en-GB"/>
        </w:rPr>
        <w:t xml:space="preserve"> which is the largest ethnic group in Malaysia. The rest of the infants were Indian and there were no premature infants from </w:t>
      </w:r>
      <w:r>
        <w:rPr>
          <w:rFonts w:ascii="Arial" w:hAnsi="Arial" w:cs="Arial"/>
          <w:sz w:val="20"/>
          <w:szCs w:val="20"/>
          <w:lang w:val="en-GB"/>
        </w:rPr>
        <w:t xml:space="preserve">the </w:t>
      </w:r>
      <w:r w:rsidRPr="007B53E4">
        <w:rPr>
          <w:rFonts w:ascii="Arial" w:hAnsi="Arial" w:cs="Arial"/>
          <w:sz w:val="20"/>
          <w:szCs w:val="20"/>
          <w:lang w:val="en-GB"/>
        </w:rPr>
        <w:t>Chinese ethnic group that require</w:t>
      </w:r>
      <w:r>
        <w:rPr>
          <w:rFonts w:ascii="Arial" w:hAnsi="Arial" w:cs="Arial"/>
          <w:sz w:val="20"/>
          <w:szCs w:val="20"/>
          <w:lang w:val="en-GB"/>
        </w:rPr>
        <w:t>d</w:t>
      </w:r>
      <w:r w:rsidRPr="007B53E4">
        <w:rPr>
          <w:rFonts w:ascii="Arial" w:hAnsi="Arial" w:cs="Arial"/>
          <w:sz w:val="20"/>
          <w:szCs w:val="20"/>
          <w:lang w:val="en-GB"/>
        </w:rPr>
        <w:t xml:space="preserve"> treatment. This distribution is inconsistent with the ethnic ratio recorded in the Population and Housing Census of Malaysia, which states the Chinese ethnic as the second largest ethnic group in Malaysia (18). However, this inconsistency could possibly be explained by the Chinese population having the highest average household income, which leads to better access to private maternal and neonatal facilities (18,19). Higher educational level among the Chinese ethnic group may also lead to better awareness on high-risk pregnancy, premature delivery and ROP in general (18-20). The Chinese population also has the lowest level of birth rate</w:t>
      </w:r>
      <w:r>
        <w:rPr>
          <w:rFonts w:ascii="Arial" w:hAnsi="Arial" w:cs="Arial"/>
          <w:sz w:val="20"/>
          <w:szCs w:val="20"/>
          <w:lang w:val="en-GB"/>
        </w:rPr>
        <w:t>s</w:t>
      </w:r>
      <w:r w:rsidRPr="007B53E4">
        <w:rPr>
          <w:rFonts w:ascii="Arial" w:hAnsi="Arial" w:cs="Arial"/>
          <w:sz w:val="20"/>
          <w:szCs w:val="20"/>
          <w:lang w:val="en-GB"/>
        </w:rPr>
        <w:t xml:space="preserve"> in comparison to any other ethnic group (18).</w:t>
      </w:r>
    </w:p>
    <w:p w14:paraId="65F24806" w14:textId="77777777" w:rsidR="006015B8" w:rsidRPr="007B53E4" w:rsidRDefault="006015B8" w:rsidP="006015B8">
      <w:pPr>
        <w:spacing w:line="360" w:lineRule="auto"/>
        <w:jc w:val="both"/>
        <w:rPr>
          <w:rFonts w:ascii="Arial" w:hAnsi="Arial" w:cs="Arial"/>
          <w:sz w:val="20"/>
          <w:szCs w:val="20"/>
          <w:lang w:val="en-GB"/>
        </w:rPr>
      </w:pPr>
      <w:r w:rsidRPr="007B53E4">
        <w:rPr>
          <w:rFonts w:ascii="Arial" w:hAnsi="Arial" w:cs="Arial"/>
          <w:sz w:val="20"/>
          <w:szCs w:val="20"/>
          <w:lang w:val="en-GB"/>
        </w:rPr>
        <w:t>Post-natal risk factors for ROP recorded in our study were similar to other reports</w:t>
      </w:r>
      <w:r>
        <w:rPr>
          <w:rFonts w:ascii="Arial" w:hAnsi="Arial" w:cs="Arial"/>
          <w:sz w:val="20"/>
          <w:szCs w:val="20"/>
          <w:lang w:val="en-GB"/>
        </w:rPr>
        <w:t>,</w:t>
      </w:r>
      <w:r w:rsidRPr="007B53E4">
        <w:rPr>
          <w:rFonts w:ascii="Arial" w:hAnsi="Arial" w:cs="Arial"/>
          <w:sz w:val="20"/>
          <w:szCs w:val="20"/>
          <w:lang w:val="en-GB"/>
        </w:rPr>
        <w:t xml:space="preserve"> and these include high and prolonged oxygen requirement, severe respiratory distress syndrome, intraventricular haemorrhages, poor Apgar score, sepsis, anaemia requiring transfusion and multiple pregnancy (4-6).  Low birth weight and younger gestational age appear to be the primary risk factors among infants requiring treatment </w:t>
      </w:r>
      <w:r>
        <w:rPr>
          <w:rFonts w:ascii="Arial" w:hAnsi="Arial" w:cs="Arial"/>
          <w:sz w:val="20"/>
          <w:szCs w:val="20"/>
          <w:lang w:val="en-GB"/>
        </w:rPr>
        <w:t>at</w:t>
      </w:r>
      <w:r w:rsidRPr="007B53E4">
        <w:rPr>
          <w:rFonts w:ascii="Arial" w:hAnsi="Arial" w:cs="Arial"/>
          <w:sz w:val="20"/>
          <w:szCs w:val="20"/>
          <w:lang w:val="en-GB"/>
        </w:rPr>
        <w:t xml:space="preserve"> our centre, with 22 (84.6%) of these infants born either below 32 weeks and/or having a birth weight of less than 1500g. Our study recorded 4 infants (15.4%) with severe ROP who were born after 32 weeks or had a birth weight above 1500g, which is not consistent with and exceeded the screening criteria recommended by the national Malaysian ROP guideline</w:t>
      </w:r>
      <w:r>
        <w:rPr>
          <w:rFonts w:ascii="Arial" w:hAnsi="Arial" w:cs="Arial"/>
          <w:sz w:val="20"/>
          <w:szCs w:val="20"/>
          <w:lang w:val="en-GB"/>
        </w:rPr>
        <w:t>s</w:t>
      </w:r>
      <w:r w:rsidRPr="007B53E4">
        <w:rPr>
          <w:rFonts w:ascii="Arial" w:hAnsi="Arial" w:cs="Arial"/>
          <w:sz w:val="20"/>
          <w:szCs w:val="20"/>
          <w:lang w:val="en-GB"/>
        </w:rPr>
        <w:t>. It is worth noting that the Malaysian screening and treatment guideline</w:t>
      </w:r>
      <w:r>
        <w:rPr>
          <w:rFonts w:ascii="Arial" w:hAnsi="Arial" w:cs="Arial"/>
          <w:sz w:val="20"/>
          <w:szCs w:val="20"/>
          <w:lang w:val="en-GB"/>
        </w:rPr>
        <w:t>s</w:t>
      </w:r>
      <w:r w:rsidRPr="007B53E4">
        <w:rPr>
          <w:rFonts w:ascii="Arial" w:hAnsi="Arial" w:cs="Arial"/>
          <w:sz w:val="20"/>
          <w:szCs w:val="20"/>
          <w:lang w:val="en-GB"/>
        </w:rPr>
        <w:t xml:space="preserve"> shared many resemblances to the UK protocol for ROP, with fairly similar screening </w:t>
      </w:r>
      <w:proofErr w:type="spellStart"/>
      <w:r w:rsidRPr="007B53E4">
        <w:rPr>
          <w:rFonts w:ascii="Arial" w:hAnsi="Arial" w:cs="Arial"/>
          <w:sz w:val="20"/>
          <w:szCs w:val="20"/>
          <w:lang w:val="en-GB"/>
        </w:rPr>
        <w:t>criterias</w:t>
      </w:r>
      <w:proofErr w:type="spellEnd"/>
      <w:r w:rsidRPr="007B53E4">
        <w:rPr>
          <w:rFonts w:ascii="Arial" w:hAnsi="Arial" w:cs="Arial"/>
          <w:sz w:val="20"/>
          <w:szCs w:val="20"/>
          <w:lang w:val="en-GB"/>
        </w:rPr>
        <w:t xml:space="preserve"> and treatment recommendation</w:t>
      </w:r>
      <w:r>
        <w:rPr>
          <w:rFonts w:ascii="Arial" w:hAnsi="Arial" w:cs="Arial"/>
          <w:sz w:val="20"/>
          <w:szCs w:val="20"/>
          <w:lang w:val="en-GB"/>
        </w:rPr>
        <w:t>s</w:t>
      </w:r>
      <w:r w:rsidRPr="007B53E4">
        <w:rPr>
          <w:rFonts w:ascii="Arial" w:hAnsi="Arial" w:cs="Arial"/>
          <w:sz w:val="20"/>
          <w:szCs w:val="20"/>
          <w:lang w:val="en-GB"/>
        </w:rPr>
        <w:t xml:space="preserve">, as well as sources cited (11,21). However, few studies have questioned the efficacy of </w:t>
      </w:r>
      <w:r>
        <w:rPr>
          <w:rFonts w:ascii="Arial" w:hAnsi="Arial" w:cs="Arial"/>
          <w:sz w:val="20"/>
          <w:szCs w:val="20"/>
          <w:lang w:val="en-GB"/>
        </w:rPr>
        <w:t xml:space="preserve">the </w:t>
      </w:r>
      <w:r w:rsidRPr="007B53E4">
        <w:rPr>
          <w:rFonts w:ascii="Arial" w:hAnsi="Arial" w:cs="Arial"/>
          <w:sz w:val="20"/>
          <w:szCs w:val="20"/>
          <w:lang w:val="en-GB"/>
        </w:rPr>
        <w:t>UK ROP guideline</w:t>
      </w:r>
      <w:r>
        <w:rPr>
          <w:rFonts w:ascii="Arial" w:hAnsi="Arial" w:cs="Arial"/>
          <w:sz w:val="20"/>
          <w:szCs w:val="20"/>
          <w:lang w:val="en-GB"/>
        </w:rPr>
        <w:t>s</w:t>
      </w:r>
      <w:r w:rsidRPr="007B53E4">
        <w:rPr>
          <w:rFonts w:ascii="Arial" w:hAnsi="Arial" w:cs="Arial"/>
          <w:sz w:val="20"/>
          <w:szCs w:val="20"/>
          <w:lang w:val="en-GB"/>
        </w:rPr>
        <w:t>, or the western screening guideline</w:t>
      </w:r>
      <w:r>
        <w:rPr>
          <w:rFonts w:ascii="Arial" w:hAnsi="Arial" w:cs="Arial"/>
          <w:sz w:val="20"/>
          <w:szCs w:val="20"/>
          <w:lang w:val="en-GB"/>
        </w:rPr>
        <w:t>s</w:t>
      </w:r>
      <w:r w:rsidRPr="007B53E4">
        <w:rPr>
          <w:rFonts w:ascii="Arial" w:hAnsi="Arial" w:cs="Arial"/>
          <w:sz w:val="20"/>
          <w:szCs w:val="20"/>
          <w:lang w:val="en-GB"/>
        </w:rPr>
        <w:t xml:space="preserve"> in general and their applicability </w:t>
      </w:r>
      <w:r>
        <w:rPr>
          <w:rFonts w:ascii="Arial" w:hAnsi="Arial" w:cs="Arial"/>
          <w:sz w:val="20"/>
          <w:szCs w:val="20"/>
          <w:lang w:val="en-GB"/>
        </w:rPr>
        <w:t>to</w:t>
      </w:r>
      <w:r w:rsidRPr="007B53E4">
        <w:rPr>
          <w:rFonts w:ascii="Arial" w:hAnsi="Arial" w:cs="Arial"/>
          <w:sz w:val="20"/>
          <w:szCs w:val="20"/>
          <w:lang w:val="en-GB"/>
        </w:rPr>
        <w:t xml:space="preserve"> less developed nations (13,22-24). This is due to higher incidence</w:t>
      </w:r>
      <w:r>
        <w:rPr>
          <w:rFonts w:ascii="Arial" w:hAnsi="Arial" w:cs="Arial"/>
          <w:sz w:val="20"/>
          <w:szCs w:val="20"/>
          <w:lang w:val="en-GB"/>
        </w:rPr>
        <w:t>s</w:t>
      </w:r>
      <w:r w:rsidRPr="007B53E4">
        <w:rPr>
          <w:rFonts w:ascii="Arial" w:hAnsi="Arial" w:cs="Arial"/>
          <w:sz w:val="20"/>
          <w:szCs w:val="20"/>
          <w:lang w:val="en-GB"/>
        </w:rPr>
        <w:t xml:space="preserve"> of severe ROP requiring treatment in infants with birth weight of more than 1500g and of GA beyond 32 weeks, reported in countries with less advanced healthcare facilities (13,22-24). One study reported that 35% of infants with severe ROP in their centre exceeded the American screening guideline</w:t>
      </w:r>
      <w:r>
        <w:rPr>
          <w:rFonts w:ascii="Arial" w:hAnsi="Arial" w:cs="Arial"/>
          <w:sz w:val="20"/>
          <w:szCs w:val="20"/>
          <w:lang w:val="en-GB"/>
        </w:rPr>
        <w:t>s</w:t>
      </w:r>
      <w:r w:rsidRPr="007B53E4">
        <w:rPr>
          <w:rFonts w:ascii="Arial" w:hAnsi="Arial" w:cs="Arial"/>
          <w:sz w:val="20"/>
          <w:szCs w:val="20"/>
          <w:lang w:val="en-GB"/>
        </w:rPr>
        <w:t xml:space="preserve">, and concluded that infants with ROP recruited in their study were </w:t>
      </w:r>
      <w:r w:rsidRPr="007B53E4">
        <w:rPr>
          <w:rFonts w:ascii="Arial" w:hAnsi="Arial" w:cs="Arial"/>
          <w:sz w:val="20"/>
          <w:szCs w:val="20"/>
          <w:lang w:val="en-GB"/>
        </w:rPr>
        <w:lastRenderedPageBreak/>
        <w:t>generally larger than those from high income countries, with wider range in terms of GA and birth weight (23). Another study of severe ROP reported an incidence of 20% in infants with birth weight above 1500g, and 9.4% in infants born beyond 32 weeks of gestation (</w:t>
      </w:r>
      <w:r>
        <w:rPr>
          <w:rFonts w:ascii="Arial" w:hAnsi="Arial" w:cs="Arial"/>
          <w:sz w:val="20"/>
          <w:szCs w:val="20"/>
          <w:lang w:val="en-GB"/>
        </w:rPr>
        <w:t>24</w:t>
      </w:r>
      <w:r w:rsidRPr="007B53E4">
        <w:rPr>
          <w:rFonts w:ascii="Arial" w:hAnsi="Arial" w:cs="Arial"/>
          <w:sz w:val="20"/>
          <w:szCs w:val="20"/>
          <w:lang w:val="en-GB"/>
        </w:rPr>
        <w:t xml:space="preserve">). Later presentation </w:t>
      </w:r>
      <w:proofErr w:type="gramStart"/>
      <w:r w:rsidRPr="007B53E4">
        <w:rPr>
          <w:rFonts w:ascii="Arial" w:hAnsi="Arial" w:cs="Arial"/>
          <w:sz w:val="20"/>
          <w:szCs w:val="20"/>
          <w:lang w:val="en-GB"/>
        </w:rPr>
        <w:t>i.e</w:t>
      </w:r>
      <w:r>
        <w:rPr>
          <w:rFonts w:ascii="Arial" w:hAnsi="Arial" w:cs="Arial"/>
          <w:sz w:val="20"/>
          <w:szCs w:val="20"/>
          <w:lang w:val="en-GB"/>
        </w:rPr>
        <w:t>.</w:t>
      </w:r>
      <w:proofErr w:type="gramEnd"/>
      <w:r w:rsidRPr="007B53E4">
        <w:rPr>
          <w:rFonts w:ascii="Arial" w:hAnsi="Arial" w:cs="Arial"/>
          <w:sz w:val="20"/>
          <w:szCs w:val="20"/>
          <w:lang w:val="en-GB"/>
        </w:rPr>
        <w:t xml:space="preserve"> later screening is also seen in less developed nation</w:t>
      </w:r>
      <w:r>
        <w:rPr>
          <w:rFonts w:ascii="Arial" w:hAnsi="Arial" w:cs="Arial"/>
          <w:sz w:val="20"/>
          <w:szCs w:val="20"/>
          <w:lang w:val="en-GB"/>
        </w:rPr>
        <w:t>s</w:t>
      </w:r>
      <w:r w:rsidRPr="007B53E4">
        <w:rPr>
          <w:rFonts w:ascii="Arial" w:hAnsi="Arial" w:cs="Arial"/>
          <w:sz w:val="20"/>
          <w:szCs w:val="20"/>
          <w:lang w:val="en-GB"/>
        </w:rPr>
        <w:t xml:space="preserve"> with median screening age reported to be as late as 48 weeks post menstrual age, which is significantly associated with more advanced ROP (23). A possible explanation for development of ROP in these larger and more mature babies could be due the lack of standardised high-quality neonatal care compared with high-income countries</w:t>
      </w:r>
      <w:r>
        <w:rPr>
          <w:rFonts w:ascii="Arial" w:hAnsi="Arial" w:cs="Arial"/>
          <w:sz w:val="20"/>
          <w:szCs w:val="20"/>
          <w:lang w:val="en-GB"/>
        </w:rPr>
        <w:t xml:space="preserve"> </w:t>
      </w:r>
      <w:r w:rsidRPr="007B53E4">
        <w:rPr>
          <w:rFonts w:ascii="Arial" w:hAnsi="Arial" w:cs="Arial"/>
          <w:sz w:val="20"/>
          <w:szCs w:val="20"/>
          <w:lang w:val="en-GB"/>
        </w:rPr>
        <w:t>(23,25). Apart from that, lack of awareness as well as difficulties for low-income mothers with sick infants to travel to tertiary screening centre in these less developed nations, might also be a reason for the data to be biased towards more mature infants (23-25).</w:t>
      </w:r>
    </w:p>
    <w:p w14:paraId="1AC20253" w14:textId="77777777" w:rsidR="006015B8" w:rsidRPr="007B53E4" w:rsidRDefault="006015B8" w:rsidP="006015B8">
      <w:pPr>
        <w:spacing w:line="360" w:lineRule="auto"/>
        <w:jc w:val="both"/>
        <w:rPr>
          <w:rFonts w:ascii="Arial" w:hAnsi="Arial" w:cs="Arial"/>
          <w:sz w:val="20"/>
          <w:szCs w:val="20"/>
          <w:lang w:val="en-GB"/>
        </w:rPr>
      </w:pPr>
      <w:r w:rsidRPr="007B53E4">
        <w:rPr>
          <w:rFonts w:ascii="Arial" w:hAnsi="Arial" w:cs="Arial"/>
          <w:sz w:val="20"/>
          <w:szCs w:val="20"/>
          <w:lang w:val="en-GB"/>
        </w:rPr>
        <w:t>The maternal risk factors recorded in our study were consistent with other studies</w:t>
      </w:r>
      <w:r>
        <w:rPr>
          <w:rFonts w:ascii="Arial" w:hAnsi="Arial" w:cs="Arial"/>
          <w:sz w:val="20"/>
          <w:szCs w:val="20"/>
          <w:lang w:val="en-GB"/>
        </w:rPr>
        <w:t>,</w:t>
      </w:r>
      <w:r w:rsidRPr="007B53E4">
        <w:rPr>
          <w:rFonts w:ascii="Arial" w:hAnsi="Arial" w:cs="Arial"/>
          <w:sz w:val="20"/>
          <w:szCs w:val="20"/>
          <w:lang w:val="en-GB"/>
        </w:rPr>
        <w:t xml:space="preserve"> and these include gestational diabetes, pregnancy induced hypertension or pre-eclampsia</w:t>
      </w:r>
      <w:r>
        <w:rPr>
          <w:rFonts w:ascii="Arial" w:hAnsi="Arial" w:cs="Arial"/>
          <w:sz w:val="20"/>
          <w:szCs w:val="20"/>
          <w:lang w:val="en-GB"/>
        </w:rPr>
        <w:t>,</w:t>
      </w:r>
      <w:r w:rsidRPr="007B53E4">
        <w:rPr>
          <w:rFonts w:ascii="Arial" w:hAnsi="Arial" w:cs="Arial"/>
          <w:sz w:val="20"/>
          <w:szCs w:val="20"/>
          <w:lang w:val="en-GB"/>
        </w:rPr>
        <w:t xml:space="preserve"> and antepartum haemorrhage (4-6). A</w:t>
      </w:r>
      <w:r>
        <w:rPr>
          <w:rFonts w:ascii="Arial" w:hAnsi="Arial" w:cs="Arial"/>
          <w:sz w:val="20"/>
          <w:szCs w:val="20"/>
          <w:lang w:val="en-GB"/>
        </w:rPr>
        <w:t>n a</w:t>
      </w:r>
      <w:r w:rsidRPr="007B53E4">
        <w:rPr>
          <w:rFonts w:ascii="Arial" w:hAnsi="Arial" w:cs="Arial"/>
          <w:sz w:val="20"/>
          <w:szCs w:val="20"/>
          <w:lang w:val="en-GB"/>
        </w:rPr>
        <w:t xml:space="preserve">dditional maternal risk factor identified in our study is maternal COVID 19, which induces premature delivery. Two infants with severe ROP requiring treatment in our study were born to mothers with COVID-19 and treated in the intensive care unit, with one of the infants also infected with COVID-19. Studies have shown that individuals who contract COVID-19 while pregnant face a higher risk of preterm birth, with data showing premature birth rate among mothers with COVID-19 diagnosis to be 11.8%, in comparison to just 8.7% in mothers without COVID-19 (26). The risk of very premature delivery </w:t>
      </w:r>
      <w:proofErr w:type="gramStart"/>
      <w:r w:rsidRPr="007B53E4">
        <w:rPr>
          <w:rFonts w:ascii="Arial" w:hAnsi="Arial" w:cs="Arial"/>
          <w:sz w:val="20"/>
          <w:szCs w:val="20"/>
          <w:lang w:val="en-GB"/>
        </w:rPr>
        <w:t>i.e</w:t>
      </w:r>
      <w:r>
        <w:rPr>
          <w:rFonts w:ascii="Arial" w:hAnsi="Arial" w:cs="Arial"/>
          <w:sz w:val="20"/>
          <w:szCs w:val="20"/>
          <w:lang w:val="en-GB"/>
        </w:rPr>
        <w:t>.</w:t>
      </w:r>
      <w:proofErr w:type="gramEnd"/>
      <w:r w:rsidRPr="007B53E4">
        <w:rPr>
          <w:rFonts w:ascii="Arial" w:hAnsi="Arial" w:cs="Arial"/>
          <w:sz w:val="20"/>
          <w:szCs w:val="20"/>
          <w:lang w:val="en-GB"/>
        </w:rPr>
        <w:t xml:space="preserve"> at less than 32 weeks of gestation was 60% higher for mothers with COVID-19, while risk of giving birth at less than 37 weeks was reported to be 40% higher in those infected (26,27). And for those who also had co-morbidities such as hypertension, diabetes or obesity, the risk of pre term birth increased to 160%, in comparison to mothers without the infection (26,27). Although the risk of preterm birth in mothers with COVID-19 infection is well documented, direct correlation between this infection and the development of ROP in premature infants is yet to be proven. However, it should be emphasized that severe postnatal complications of extremely premature birth, as a result of maternal or f</w:t>
      </w:r>
      <w:r>
        <w:rPr>
          <w:rFonts w:ascii="Arial" w:hAnsi="Arial" w:cs="Arial"/>
          <w:sz w:val="20"/>
          <w:szCs w:val="20"/>
          <w:lang w:val="en-GB"/>
        </w:rPr>
        <w:t>o</w:t>
      </w:r>
      <w:r w:rsidRPr="007B53E4">
        <w:rPr>
          <w:rFonts w:ascii="Arial" w:hAnsi="Arial" w:cs="Arial"/>
          <w:sz w:val="20"/>
          <w:szCs w:val="20"/>
          <w:lang w:val="en-GB"/>
        </w:rPr>
        <w:t>etal COVID-19 infection, such as poor Apgar score, hypothermia, hypoglycaemia and severe respiratory distress, all could lead to an exaggerated cytokine release, and that in itself is a known significant risk factor for the development of ROP (1,26-28). It is also worth noting that ROP screening might also be necessary for larger/ older infants of mother</w:t>
      </w:r>
      <w:r>
        <w:rPr>
          <w:rFonts w:ascii="Arial" w:hAnsi="Arial" w:cs="Arial"/>
          <w:sz w:val="20"/>
          <w:szCs w:val="20"/>
          <w:lang w:val="en-GB"/>
        </w:rPr>
        <w:t>s</w:t>
      </w:r>
      <w:r w:rsidRPr="007B53E4">
        <w:rPr>
          <w:rFonts w:ascii="Arial" w:hAnsi="Arial" w:cs="Arial"/>
          <w:sz w:val="20"/>
          <w:szCs w:val="20"/>
          <w:lang w:val="en-GB"/>
        </w:rPr>
        <w:t xml:space="preserve"> with COVID-19, due to the aggressive nature of this illness and its tumultuous clinical course</w:t>
      </w:r>
      <w:r>
        <w:rPr>
          <w:rFonts w:ascii="Arial" w:hAnsi="Arial" w:cs="Arial"/>
          <w:sz w:val="20"/>
          <w:szCs w:val="20"/>
          <w:lang w:val="en-GB"/>
        </w:rPr>
        <w:t xml:space="preserve"> </w:t>
      </w:r>
      <w:r w:rsidRPr="007B53E4">
        <w:rPr>
          <w:rFonts w:ascii="Arial" w:hAnsi="Arial" w:cs="Arial"/>
          <w:sz w:val="20"/>
          <w:szCs w:val="20"/>
          <w:lang w:val="en-GB"/>
        </w:rPr>
        <w:t>(11,21,26-28). Further studies are needed to evaluate whether ROP development is faster or more aggressive in premature infants diagnosed with COVID-19 or born to mothers with the illness.</w:t>
      </w:r>
    </w:p>
    <w:p w14:paraId="1FDFD790" w14:textId="77777777" w:rsidR="006015B8" w:rsidRDefault="006015B8" w:rsidP="006015B8">
      <w:pPr>
        <w:spacing w:line="360" w:lineRule="auto"/>
        <w:jc w:val="both"/>
        <w:rPr>
          <w:rFonts w:ascii="Arial" w:hAnsi="Arial" w:cs="Arial"/>
          <w:sz w:val="20"/>
          <w:szCs w:val="20"/>
          <w:lang w:val="en-GB"/>
        </w:rPr>
      </w:pPr>
      <w:r w:rsidRPr="007B53E4">
        <w:rPr>
          <w:rFonts w:ascii="Arial" w:hAnsi="Arial" w:cs="Arial"/>
          <w:sz w:val="20"/>
          <w:szCs w:val="20"/>
          <w:lang w:val="en-GB"/>
        </w:rPr>
        <w:t>In our study, although the majority of infants were screened and treated in accordance to the standard guideline</w:t>
      </w:r>
      <w:r>
        <w:rPr>
          <w:rFonts w:ascii="Arial" w:hAnsi="Arial" w:cs="Arial"/>
          <w:sz w:val="20"/>
          <w:szCs w:val="20"/>
          <w:lang w:val="en-GB"/>
        </w:rPr>
        <w:t>s</w:t>
      </w:r>
      <w:r w:rsidRPr="007B53E4">
        <w:rPr>
          <w:rFonts w:ascii="Arial" w:hAnsi="Arial" w:cs="Arial"/>
          <w:sz w:val="20"/>
          <w:szCs w:val="20"/>
          <w:lang w:val="en-GB"/>
        </w:rPr>
        <w:t>, 6 infants with severe ROP (23.1%) had delayed screening while 6 infants (23.1%) also received delayed treatment (</w:t>
      </w:r>
      <w:proofErr w:type="gramStart"/>
      <w:r w:rsidRPr="007B53E4">
        <w:rPr>
          <w:rFonts w:ascii="Arial" w:hAnsi="Arial" w:cs="Arial"/>
          <w:sz w:val="20"/>
          <w:szCs w:val="20"/>
          <w:lang w:val="en-GB"/>
        </w:rPr>
        <w:t>i.e</w:t>
      </w:r>
      <w:r>
        <w:rPr>
          <w:rFonts w:ascii="Arial" w:hAnsi="Arial" w:cs="Arial"/>
          <w:sz w:val="20"/>
          <w:szCs w:val="20"/>
          <w:lang w:val="en-GB"/>
        </w:rPr>
        <w:t>.</w:t>
      </w:r>
      <w:proofErr w:type="gramEnd"/>
      <w:r w:rsidRPr="007B53E4">
        <w:rPr>
          <w:rFonts w:ascii="Arial" w:hAnsi="Arial" w:cs="Arial"/>
          <w:sz w:val="20"/>
          <w:szCs w:val="20"/>
          <w:lang w:val="en-GB"/>
        </w:rPr>
        <w:t xml:space="preserve"> more than 72 hours after diagnosis) due to multiple reasons. One infant was transferred to another tertiary centre for surgical management of perforated NEC, while the rest were deemed to be either critically ill or extremely unstable for a safe ROP screening and treatment to be performed. </w:t>
      </w:r>
      <w:r>
        <w:rPr>
          <w:rFonts w:ascii="Arial" w:hAnsi="Arial" w:cs="Arial"/>
          <w:sz w:val="20"/>
          <w:szCs w:val="20"/>
          <w:lang w:val="en-GB"/>
        </w:rPr>
        <w:t>Two</w:t>
      </w:r>
      <w:r w:rsidRPr="007B53E4">
        <w:rPr>
          <w:rFonts w:ascii="Arial" w:hAnsi="Arial" w:cs="Arial"/>
          <w:sz w:val="20"/>
          <w:szCs w:val="20"/>
          <w:lang w:val="en-GB"/>
        </w:rPr>
        <w:t xml:space="preserve"> late referrals were identified to be caused by lack of communication between the junior and senior medical officers as well as the support staff in charge of the babies. </w:t>
      </w:r>
      <w:r w:rsidRPr="007B53E4">
        <w:rPr>
          <w:rFonts w:ascii="Arial" w:hAnsi="Arial" w:cs="Arial"/>
          <w:sz w:val="20"/>
          <w:szCs w:val="20"/>
          <w:lang w:val="en-GB"/>
        </w:rPr>
        <w:lastRenderedPageBreak/>
        <w:t>Other possible reasons for non-adherence to sc</w:t>
      </w:r>
      <w:r>
        <w:rPr>
          <w:rFonts w:ascii="Arial" w:hAnsi="Arial" w:cs="Arial"/>
          <w:sz w:val="20"/>
          <w:szCs w:val="20"/>
          <w:lang w:val="en-GB"/>
        </w:rPr>
        <w:t>r</w:t>
      </w:r>
      <w:r w:rsidRPr="007B53E4">
        <w:rPr>
          <w:rFonts w:ascii="Arial" w:hAnsi="Arial" w:cs="Arial"/>
          <w:sz w:val="20"/>
          <w:szCs w:val="20"/>
          <w:lang w:val="en-GB"/>
        </w:rPr>
        <w:t>eening and treatment guideline</w:t>
      </w:r>
      <w:r>
        <w:rPr>
          <w:rFonts w:ascii="Arial" w:hAnsi="Arial" w:cs="Arial"/>
          <w:sz w:val="20"/>
          <w:szCs w:val="20"/>
          <w:lang w:val="en-GB"/>
        </w:rPr>
        <w:t>s</w:t>
      </w:r>
      <w:r w:rsidRPr="007B53E4">
        <w:rPr>
          <w:rFonts w:ascii="Arial" w:hAnsi="Arial" w:cs="Arial"/>
          <w:sz w:val="20"/>
          <w:szCs w:val="20"/>
          <w:lang w:val="en-GB"/>
        </w:rPr>
        <w:t xml:space="preserve"> include public holidays, changes in hospital or national policies, unexpected event such as the COVID-19 pandemic, lack of manpower/ specialist trained for ROP screening and limited vital resources such as ventilators and NICU bed (13,28). Few ways have been suggested to overcome delay or non-adherence to the guideline</w:t>
      </w:r>
      <w:r>
        <w:rPr>
          <w:rFonts w:ascii="Arial" w:hAnsi="Arial" w:cs="Arial"/>
          <w:sz w:val="20"/>
          <w:szCs w:val="20"/>
          <w:lang w:val="en-GB"/>
        </w:rPr>
        <w:t>s</w:t>
      </w:r>
      <w:r w:rsidRPr="007B53E4">
        <w:rPr>
          <w:rFonts w:ascii="Arial" w:hAnsi="Arial" w:cs="Arial"/>
          <w:sz w:val="20"/>
          <w:szCs w:val="20"/>
          <w:lang w:val="en-GB"/>
        </w:rPr>
        <w:t xml:space="preserve"> and this include better liaison with the paediatric team and NICU, through frequent discussion and provision of information such as new updates in the policies on screening (13). Apart from that, it is recommended to have one person designated within the paediatric NICU team, to arrange for eligible preterm babies for ROP screening once they are admitted to the NICU, and to assign one ophthalmologist in charge who will oversee the ROP screening process (13). This will lead to a standardized ROP management while at the same time providing the paediatric team an easier and faster access to ophthalmology consultation, especially in difficult cases which requires special consideration (11,13,21). Other suggestions to improve compliance to screening guideline</w:t>
      </w:r>
      <w:r>
        <w:rPr>
          <w:rFonts w:ascii="Arial" w:hAnsi="Arial" w:cs="Arial"/>
          <w:sz w:val="20"/>
          <w:szCs w:val="20"/>
          <w:lang w:val="en-GB"/>
        </w:rPr>
        <w:t>s</w:t>
      </w:r>
      <w:r w:rsidRPr="007B53E4">
        <w:rPr>
          <w:rFonts w:ascii="Arial" w:hAnsi="Arial" w:cs="Arial"/>
          <w:sz w:val="20"/>
          <w:szCs w:val="20"/>
          <w:lang w:val="en-GB"/>
        </w:rPr>
        <w:t xml:space="preserve"> include making proper arrangements, documentations and discharge planning especially when inter-hospital transfer is involved, as well as providing adequate training on ROP to medical officers and support staff in the NICU (11,13,21).</w:t>
      </w:r>
    </w:p>
    <w:p w14:paraId="073FF753" w14:textId="7BE47C9E" w:rsidR="006015B8" w:rsidRDefault="006015B8" w:rsidP="006015B8">
      <w:pPr>
        <w:spacing w:line="360" w:lineRule="auto"/>
        <w:jc w:val="both"/>
        <w:rPr>
          <w:rFonts w:ascii="Arial" w:hAnsi="Arial" w:cs="Arial"/>
          <w:sz w:val="20"/>
          <w:szCs w:val="20"/>
          <w:lang w:val="en-GB"/>
        </w:rPr>
      </w:pPr>
      <w:r w:rsidRPr="003B0DBD">
        <w:rPr>
          <w:rFonts w:ascii="Arial" w:hAnsi="Arial" w:cs="Arial"/>
          <w:sz w:val="20"/>
          <w:szCs w:val="20"/>
          <w:lang w:val="en-GB"/>
        </w:rPr>
        <w:t xml:space="preserve">All of the infants with severe ROP included in our study met the national screening indications for ROP and they fulfilled the ETROP criteria for early treatment. The majority of them (77%) underwent timely screening and received appropriate treatment in accordance to the Malaysian guideline. These infants were also given adequate subsequent follow up until discharge criteria were met. A nationwide audit performed in the UK to assess compliance rate to screening, showed that up to 77% of their ophthalmologist complied with the national guideline, while studies in other less developed countries recorded national compliance rate of between 47-73% (13,29,30). </w:t>
      </w:r>
      <w:r>
        <w:rPr>
          <w:rFonts w:ascii="Arial" w:hAnsi="Arial" w:cs="Arial"/>
          <w:sz w:val="20"/>
          <w:szCs w:val="20"/>
          <w:lang w:val="en-GB"/>
        </w:rPr>
        <w:t>Therefore, w</w:t>
      </w:r>
      <w:r w:rsidRPr="003B0DBD">
        <w:rPr>
          <w:rFonts w:ascii="Arial" w:hAnsi="Arial" w:cs="Arial"/>
          <w:sz w:val="20"/>
          <w:szCs w:val="20"/>
          <w:lang w:val="en-GB"/>
        </w:rPr>
        <w:t xml:space="preserve">e </w:t>
      </w:r>
      <w:r>
        <w:rPr>
          <w:rFonts w:ascii="Arial" w:hAnsi="Arial" w:cs="Arial"/>
          <w:sz w:val="20"/>
          <w:szCs w:val="20"/>
          <w:lang w:val="en-GB"/>
        </w:rPr>
        <w:t>believed</w:t>
      </w:r>
      <w:r w:rsidRPr="003B0DBD">
        <w:rPr>
          <w:rFonts w:ascii="Arial" w:hAnsi="Arial" w:cs="Arial"/>
          <w:sz w:val="20"/>
          <w:szCs w:val="20"/>
          <w:lang w:val="en-GB"/>
        </w:rPr>
        <w:t xml:space="preserve"> that the rate of screening compliance in our centre</w:t>
      </w:r>
      <w:r>
        <w:rPr>
          <w:rFonts w:ascii="Arial" w:hAnsi="Arial" w:cs="Arial"/>
          <w:sz w:val="20"/>
          <w:szCs w:val="20"/>
          <w:lang w:val="en-GB"/>
        </w:rPr>
        <w:t xml:space="preserve"> is acceptable,</w:t>
      </w:r>
      <w:r w:rsidRPr="003B0DBD">
        <w:rPr>
          <w:rFonts w:ascii="Arial" w:hAnsi="Arial" w:cs="Arial"/>
          <w:sz w:val="20"/>
          <w:szCs w:val="20"/>
          <w:lang w:val="en-GB"/>
        </w:rPr>
        <w:t xml:space="preserve"> </w:t>
      </w:r>
      <w:r>
        <w:rPr>
          <w:rFonts w:ascii="Arial" w:hAnsi="Arial" w:cs="Arial"/>
          <w:sz w:val="20"/>
          <w:szCs w:val="20"/>
          <w:lang w:val="en-GB"/>
        </w:rPr>
        <w:t xml:space="preserve">with good </w:t>
      </w:r>
      <w:r w:rsidRPr="003B0DBD">
        <w:rPr>
          <w:rFonts w:ascii="Arial" w:hAnsi="Arial" w:cs="Arial"/>
          <w:sz w:val="20"/>
          <w:szCs w:val="20"/>
          <w:lang w:val="en-GB"/>
        </w:rPr>
        <w:t xml:space="preserve">adherence to the guideline and a fairly low rate of delayed screening or treatment. </w:t>
      </w:r>
    </w:p>
    <w:p w14:paraId="3BFFE140" w14:textId="77777777" w:rsidR="006015B8" w:rsidRPr="007B53E4" w:rsidRDefault="006015B8" w:rsidP="006015B8">
      <w:pPr>
        <w:spacing w:line="360" w:lineRule="auto"/>
        <w:jc w:val="both"/>
        <w:rPr>
          <w:rFonts w:ascii="Arial" w:hAnsi="Arial" w:cs="Arial"/>
          <w:sz w:val="20"/>
          <w:szCs w:val="20"/>
          <w:lang w:val="en-GB"/>
        </w:rPr>
      </w:pPr>
      <w:r w:rsidRPr="007B53E4">
        <w:rPr>
          <w:rFonts w:ascii="Arial" w:hAnsi="Arial" w:cs="Arial"/>
          <w:sz w:val="20"/>
          <w:szCs w:val="20"/>
          <w:lang w:val="en-GB"/>
        </w:rPr>
        <w:t>Conclusion</w:t>
      </w:r>
    </w:p>
    <w:p w14:paraId="627133A2" w14:textId="77777777" w:rsidR="006015B8" w:rsidRDefault="006015B8" w:rsidP="006015B8">
      <w:pPr>
        <w:spacing w:line="360" w:lineRule="auto"/>
        <w:jc w:val="both"/>
        <w:rPr>
          <w:rFonts w:ascii="Arial" w:hAnsi="Arial" w:cs="Arial"/>
          <w:sz w:val="20"/>
          <w:szCs w:val="20"/>
          <w:lang w:val="en-GB"/>
        </w:rPr>
      </w:pPr>
      <w:r>
        <w:rPr>
          <w:rFonts w:ascii="Arial" w:hAnsi="Arial" w:cs="Arial"/>
          <w:sz w:val="20"/>
          <w:szCs w:val="20"/>
          <w:lang w:val="en-GB"/>
        </w:rPr>
        <w:t xml:space="preserve">The results of our study </w:t>
      </w:r>
      <w:r w:rsidRPr="007B53E4">
        <w:rPr>
          <w:rFonts w:ascii="Arial" w:hAnsi="Arial" w:cs="Arial"/>
          <w:sz w:val="20"/>
          <w:szCs w:val="20"/>
          <w:lang w:val="en-GB"/>
        </w:rPr>
        <w:t>suggest</w:t>
      </w:r>
      <w:r>
        <w:rPr>
          <w:rFonts w:ascii="Arial" w:hAnsi="Arial" w:cs="Arial"/>
          <w:sz w:val="20"/>
          <w:szCs w:val="20"/>
          <w:lang w:val="en-GB"/>
        </w:rPr>
        <w:t xml:space="preserve"> a possible</w:t>
      </w:r>
      <w:r w:rsidRPr="007B53E4">
        <w:rPr>
          <w:rFonts w:ascii="Arial" w:hAnsi="Arial" w:cs="Arial"/>
          <w:sz w:val="20"/>
          <w:szCs w:val="20"/>
          <w:lang w:val="en-GB"/>
        </w:rPr>
        <w:t xml:space="preserve"> need for evaluation of our current national screening protocol. A good percentage of our subject did not fit or exceeded the screening criteria. Therefore, there might be a need to incorporate new variables and additional factors such as socioeconomic status, COVID-19 or other more specific criteria relevant to our local population. The discussion however, must take into consideration the cost effectiveness and possible burden to our public health system, while at the same time aiming to optimize service and avoid unwanted delay or unnecessary screening. </w:t>
      </w:r>
      <w:r w:rsidRPr="003B0DBD">
        <w:rPr>
          <w:rFonts w:ascii="Arial" w:hAnsi="Arial" w:cs="Arial"/>
          <w:sz w:val="20"/>
          <w:szCs w:val="20"/>
          <w:lang w:val="en-GB"/>
        </w:rPr>
        <w:t>We would recommend a continuous evaluation or audit on ROP screening in all centres with neonatal service, to ensure optimum efficiency in screening and treatment provision, as well as maximum adherence to the national guideline</w:t>
      </w:r>
      <w:r>
        <w:rPr>
          <w:rFonts w:ascii="Arial" w:hAnsi="Arial" w:cs="Arial"/>
          <w:sz w:val="20"/>
          <w:szCs w:val="20"/>
          <w:lang w:val="en-GB"/>
        </w:rPr>
        <w:t>.</w:t>
      </w:r>
    </w:p>
    <w:p w14:paraId="2BD6B075" w14:textId="77777777" w:rsidR="006015B8" w:rsidRPr="007B53E4" w:rsidRDefault="006015B8" w:rsidP="006015B8">
      <w:pPr>
        <w:spacing w:line="360" w:lineRule="auto"/>
        <w:jc w:val="both"/>
        <w:rPr>
          <w:rFonts w:ascii="Arial" w:hAnsi="Arial" w:cs="Arial"/>
          <w:sz w:val="20"/>
          <w:szCs w:val="20"/>
          <w:lang w:val="en-GB"/>
        </w:rPr>
      </w:pPr>
      <w:r w:rsidRPr="007B53E4">
        <w:rPr>
          <w:rFonts w:ascii="Arial" w:hAnsi="Arial" w:cs="Arial"/>
          <w:sz w:val="20"/>
          <w:szCs w:val="20"/>
          <w:lang w:val="en-GB"/>
        </w:rPr>
        <w:t>Ethical consideration</w:t>
      </w:r>
    </w:p>
    <w:p w14:paraId="663C53D7" w14:textId="77777777" w:rsidR="006015B8" w:rsidRPr="007B53E4" w:rsidRDefault="006015B8" w:rsidP="006015B8">
      <w:pPr>
        <w:shd w:val="clear" w:color="auto" w:fill="FFFFFF"/>
        <w:spacing w:after="210" w:line="360" w:lineRule="auto"/>
        <w:jc w:val="both"/>
        <w:outlineLvl w:val="3"/>
        <w:rPr>
          <w:rFonts w:ascii="Arial" w:eastAsia="Times New Roman" w:hAnsi="Arial" w:cs="Arial"/>
          <w:color w:val="333333"/>
          <w:sz w:val="20"/>
          <w:szCs w:val="20"/>
          <w:lang w:val="en-GB" w:eastAsia="en-MY"/>
        </w:rPr>
      </w:pPr>
      <w:r w:rsidRPr="007B53E4">
        <w:rPr>
          <w:rFonts w:ascii="Arial" w:hAnsi="Arial" w:cs="Arial"/>
          <w:sz w:val="20"/>
          <w:szCs w:val="20"/>
          <w:lang w:val="en-GB"/>
        </w:rPr>
        <w:t xml:space="preserve">This study </w:t>
      </w:r>
      <w:r>
        <w:rPr>
          <w:rFonts w:ascii="Arial" w:hAnsi="Arial" w:cs="Arial"/>
          <w:sz w:val="20"/>
          <w:szCs w:val="20"/>
          <w:lang w:val="en-GB"/>
        </w:rPr>
        <w:t xml:space="preserve">adhered to </w:t>
      </w:r>
      <w:r w:rsidRPr="007B53E4">
        <w:rPr>
          <w:rFonts w:ascii="Arial" w:hAnsi="Arial" w:cs="Arial"/>
          <w:sz w:val="20"/>
          <w:szCs w:val="20"/>
          <w:lang w:val="en-GB"/>
        </w:rPr>
        <w:t>the local guideline</w:t>
      </w:r>
      <w:r>
        <w:rPr>
          <w:rFonts w:ascii="Arial" w:hAnsi="Arial" w:cs="Arial"/>
          <w:sz w:val="20"/>
          <w:szCs w:val="20"/>
          <w:lang w:val="en-GB"/>
        </w:rPr>
        <w:t>s</w:t>
      </w:r>
      <w:r w:rsidRPr="007B53E4">
        <w:rPr>
          <w:rFonts w:ascii="Arial" w:hAnsi="Arial" w:cs="Arial"/>
          <w:sz w:val="20"/>
          <w:szCs w:val="20"/>
          <w:lang w:val="en-GB"/>
        </w:rPr>
        <w:t xml:space="preserve"> by the Malaysian Medical Research and Ethics Committee</w:t>
      </w:r>
      <w:r>
        <w:rPr>
          <w:rFonts w:ascii="Arial" w:hAnsi="Arial" w:cs="Arial"/>
          <w:sz w:val="20"/>
          <w:szCs w:val="20"/>
          <w:lang w:val="en-GB"/>
        </w:rPr>
        <w:t xml:space="preserve"> and conducted </w:t>
      </w:r>
      <w:r w:rsidRPr="001849A0">
        <w:rPr>
          <w:rFonts w:ascii="Arial" w:hAnsi="Arial" w:cs="Arial"/>
          <w:sz w:val="20"/>
          <w:szCs w:val="20"/>
          <w:lang w:val="en-GB"/>
        </w:rPr>
        <w:t xml:space="preserve">in accordance to </w:t>
      </w:r>
      <w:r w:rsidRPr="001849A0">
        <w:rPr>
          <w:rFonts w:ascii="Arial" w:hAnsi="Arial" w:cs="Arial"/>
          <w:color w:val="333333"/>
          <w:sz w:val="20"/>
          <w:szCs w:val="20"/>
          <w:shd w:val="clear" w:color="auto" w:fill="FFFFFF"/>
        </w:rPr>
        <w:t>1975 Helsinki Declaration</w:t>
      </w:r>
      <w:r>
        <w:rPr>
          <w:rFonts w:ascii="Arial" w:hAnsi="Arial" w:cs="Arial"/>
          <w:color w:val="333333"/>
          <w:sz w:val="20"/>
          <w:szCs w:val="20"/>
          <w:shd w:val="clear" w:color="auto" w:fill="FFFFFF"/>
        </w:rPr>
        <w:t>,</w:t>
      </w:r>
      <w:r w:rsidRPr="001849A0">
        <w:rPr>
          <w:rFonts w:ascii="Arial" w:hAnsi="Arial" w:cs="Arial"/>
          <w:color w:val="333333"/>
          <w:sz w:val="20"/>
          <w:szCs w:val="20"/>
          <w:shd w:val="clear" w:color="auto" w:fill="FFFFFF"/>
        </w:rPr>
        <w:t xml:space="preserve"> as revised in 1983</w:t>
      </w:r>
      <w:r w:rsidRPr="007B53E4">
        <w:rPr>
          <w:rFonts w:ascii="Arial" w:hAnsi="Arial" w:cs="Arial"/>
          <w:sz w:val="20"/>
          <w:szCs w:val="20"/>
          <w:lang w:val="en-GB"/>
        </w:rPr>
        <w:t>.</w:t>
      </w:r>
    </w:p>
    <w:p w14:paraId="3369490E" w14:textId="77777777" w:rsidR="006015B8" w:rsidRPr="007B53E4" w:rsidRDefault="006015B8" w:rsidP="006015B8">
      <w:pPr>
        <w:shd w:val="clear" w:color="auto" w:fill="FFFFFF"/>
        <w:spacing w:after="210" w:line="360" w:lineRule="auto"/>
        <w:jc w:val="both"/>
        <w:outlineLvl w:val="3"/>
        <w:rPr>
          <w:rFonts w:ascii="Arial" w:hAnsi="Arial" w:cs="Arial"/>
          <w:sz w:val="20"/>
          <w:szCs w:val="20"/>
          <w:lang w:val="en-GB"/>
        </w:rPr>
      </w:pPr>
      <w:r w:rsidRPr="007B53E4">
        <w:rPr>
          <w:rFonts w:ascii="Arial" w:eastAsia="Times New Roman" w:hAnsi="Arial" w:cs="Arial"/>
          <w:b/>
          <w:bCs/>
          <w:color w:val="414141"/>
          <w:sz w:val="20"/>
          <w:szCs w:val="20"/>
          <w:lang w:val="en-GB" w:eastAsia="en-MY"/>
        </w:rPr>
        <w:lastRenderedPageBreak/>
        <w:t> </w:t>
      </w:r>
      <w:r w:rsidRPr="007B53E4">
        <w:rPr>
          <w:rFonts w:ascii="Arial" w:hAnsi="Arial" w:cs="Arial"/>
          <w:sz w:val="20"/>
          <w:szCs w:val="20"/>
          <w:lang w:val="en-GB"/>
        </w:rPr>
        <w:t xml:space="preserve">Author Contributions </w:t>
      </w:r>
    </w:p>
    <w:p w14:paraId="692471C7" w14:textId="77777777" w:rsidR="006015B8" w:rsidRPr="007B53E4" w:rsidRDefault="006015B8" w:rsidP="006015B8">
      <w:pPr>
        <w:shd w:val="clear" w:color="auto" w:fill="FFFFFF"/>
        <w:spacing w:after="210" w:line="360" w:lineRule="auto"/>
        <w:jc w:val="both"/>
        <w:outlineLvl w:val="3"/>
        <w:rPr>
          <w:rFonts w:ascii="Arial" w:hAnsi="Arial" w:cs="Arial"/>
          <w:sz w:val="20"/>
          <w:szCs w:val="20"/>
          <w:lang w:val="en-GB"/>
        </w:rPr>
      </w:pPr>
      <w:r w:rsidRPr="007B53E4">
        <w:rPr>
          <w:rFonts w:ascii="Arial" w:hAnsi="Arial" w:cs="Arial"/>
          <w:sz w:val="20"/>
          <w:szCs w:val="20"/>
          <w:lang w:val="en-GB"/>
        </w:rPr>
        <w:t>All authors contributed equally in planning and carrying out this study.</w:t>
      </w:r>
    </w:p>
    <w:p w14:paraId="362DDB60" w14:textId="77777777" w:rsidR="006015B8" w:rsidRPr="007B53E4" w:rsidRDefault="006015B8" w:rsidP="006015B8">
      <w:pPr>
        <w:shd w:val="clear" w:color="auto" w:fill="FFFFFF"/>
        <w:spacing w:after="210" w:line="360" w:lineRule="auto"/>
        <w:jc w:val="both"/>
        <w:outlineLvl w:val="3"/>
        <w:rPr>
          <w:rFonts w:ascii="Arial" w:hAnsi="Arial" w:cs="Arial"/>
          <w:sz w:val="20"/>
          <w:szCs w:val="20"/>
          <w:lang w:val="en-GB"/>
        </w:rPr>
      </w:pPr>
      <w:r w:rsidRPr="007B53E4">
        <w:rPr>
          <w:rFonts w:ascii="Arial" w:hAnsi="Arial" w:cs="Arial"/>
          <w:sz w:val="20"/>
          <w:szCs w:val="20"/>
          <w:lang w:val="en-GB"/>
        </w:rPr>
        <w:t xml:space="preserve">Conflict of interest </w:t>
      </w:r>
    </w:p>
    <w:p w14:paraId="1845C3ED" w14:textId="77777777" w:rsidR="006015B8" w:rsidRPr="007B53E4" w:rsidRDefault="006015B8" w:rsidP="006015B8">
      <w:pPr>
        <w:shd w:val="clear" w:color="auto" w:fill="FFFFFF"/>
        <w:spacing w:after="210" w:line="360" w:lineRule="auto"/>
        <w:jc w:val="both"/>
        <w:outlineLvl w:val="3"/>
        <w:rPr>
          <w:rFonts w:ascii="Arial" w:hAnsi="Arial" w:cs="Arial"/>
          <w:sz w:val="20"/>
          <w:szCs w:val="20"/>
          <w:lang w:val="en-GB"/>
        </w:rPr>
      </w:pPr>
      <w:r w:rsidRPr="007B53E4">
        <w:rPr>
          <w:rFonts w:ascii="Arial" w:hAnsi="Arial" w:cs="Arial"/>
          <w:sz w:val="20"/>
          <w:szCs w:val="20"/>
          <w:lang w:val="en-GB"/>
        </w:rPr>
        <w:t>The authors have no conflict of interest to be declared.</w:t>
      </w:r>
    </w:p>
    <w:p w14:paraId="477A0A9A" w14:textId="77777777" w:rsidR="006015B8" w:rsidRPr="007B53E4" w:rsidRDefault="006015B8" w:rsidP="006015B8">
      <w:pPr>
        <w:shd w:val="clear" w:color="auto" w:fill="FFFFFF"/>
        <w:spacing w:after="210" w:line="360" w:lineRule="auto"/>
        <w:jc w:val="both"/>
        <w:outlineLvl w:val="3"/>
        <w:rPr>
          <w:rFonts w:ascii="Arial" w:hAnsi="Arial" w:cs="Arial"/>
          <w:sz w:val="20"/>
          <w:szCs w:val="20"/>
          <w:lang w:val="en-GB"/>
        </w:rPr>
      </w:pPr>
      <w:r w:rsidRPr="007B53E4">
        <w:rPr>
          <w:rFonts w:ascii="Arial" w:hAnsi="Arial" w:cs="Arial"/>
          <w:sz w:val="20"/>
          <w:szCs w:val="20"/>
          <w:lang w:val="en-GB"/>
        </w:rPr>
        <w:t xml:space="preserve">Funding/Support </w:t>
      </w:r>
    </w:p>
    <w:p w14:paraId="2FF595EE" w14:textId="77777777" w:rsidR="006015B8" w:rsidRDefault="006015B8" w:rsidP="006015B8">
      <w:pPr>
        <w:shd w:val="clear" w:color="auto" w:fill="FFFFFF"/>
        <w:spacing w:after="210" w:line="360" w:lineRule="auto"/>
        <w:jc w:val="both"/>
        <w:outlineLvl w:val="3"/>
        <w:rPr>
          <w:rFonts w:ascii="Arial" w:hAnsi="Arial" w:cs="Arial"/>
          <w:sz w:val="20"/>
          <w:szCs w:val="20"/>
          <w:lang w:val="en-GB"/>
        </w:rPr>
      </w:pPr>
      <w:r w:rsidRPr="007B53E4">
        <w:rPr>
          <w:rFonts w:ascii="Arial" w:hAnsi="Arial" w:cs="Arial"/>
          <w:sz w:val="20"/>
          <w:szCs w:val="20"/>
          <w:lang w:val="en-GB"/>
        </w:rPr>
        <w:t>None declared</w:t>
      </w:r>
    </w:p>
    <w:p w14:paraId="7B859915" w14:textId="77777777" w:rsidR="006015B8" w:rsidRDefault="006015B8" w:rsidP="006015B8">
      <w:pPr>
        <w:shd w:val="clear" w:color="auto" w:fill="FFFFFF"/>
        <w:spacing w:after="210" w:line="360" w:lineRule="auto"/>
        <w:jc w:val="both"/>
        <w:outlineLvl w:val="3"/>
        <w:rPr>
          <w:rFonts w:ascii="Arial" w:hAnsi="Arial" w:cs="Arial"/>
          <w:sz w:val="20"/>
          <w:szCs w:val="20"/>
          <w:lang w:val="en-GB"/>
        </w:rPr>
      </w:pPr>
    </w:p>
    <w:p w14:paraId="4F4EC1B9" w14:textId="77777777" w:rsidR="006015B8" w:rsidRDefault="006015B8" w:rsidP="006015B8">
      <w:pPr>
        <w:shd w:val="clear" w:color="auto" w:fill="FFFFFF"/>
        <w:spacing w:after="210" w:line="360" w:lineRule="auto"/>
        <w:jc w:val="both"/>
        <w:outlineLvl w:val="3"/>
        <w:rPr>
          <w:rFonts w:ascii="Arial" w:hAnsi="Arial" w:cs="Arial"/>
          <w:sz w:val="20"/>
          <w:szCs w:val="20"/>
          <w:lang w:val="en-GB"/>
        </w:rPr>
      </w:pPr>
    </w:p>
    <w:p w14:paraId="1B6AC33B" w14:textId="77777777" w:rsidR="006015B8" w:rsidRDefault="006015B8" w:rsidP="006015B8">
      <w:pPr>
        <w:shd w:val="clear" w:color="auto" w:fill="FFFFFF"/>
        <w:spacing w:after="210" w:line="360" w:lineRule="auto"/>
        <w:jc w:val="both"/>
        <w:outlineLvl w:val="3"/>
        <w:rPr>
          <w:rFonts w:ascii="Arial" w:hAnsi="Arial" w:cs="Arial"/>
          <w:sz w:val="20"/>
          <w:szCs w:val="20"/>
          <w:lang w:val="en-GB"/>
        </w:rPr>
      </w:pPr>
    </w:p>
    <w:p w14:paraId="69D06CEC" w14:textId="77777777" w:rsidR="006015B8" w:rsidRDefault="006015B8" w:rsidP="006015B8">
      <w:pPr>
        <w:shd w:val="clear" w:color="auto" w:fill="FFFFFF"/>
        <w:spacing w:after="210" w:line="360" w:lineRule="auto"/>
        <w:jc w:val="both"/>
        <w:outlineLvl w:val="3"/>
        <w:rPr>
          <w:rFonts w:ascii="Arial" w:hAnsi="Arial" w:cs="Arial"/>
          <w:sz w:val="20"/>
          <w:szCs w:val="20"/>
          <w:lang w:val="en-GB"/>
        </w:rPr>
      </w:pPr>
    </w:p>
    <w:p w14:paraId="7BEF864D" w14:textId="77777777" w:rsidR="006015B8" w:rsidRDefault="006015B8" w:rsidP="006015B8">
      <w:pPr>
        <w:shd w:val="clear" w:color="auto" w:fill="FFFFFF"/>
        <w:spacing w:after="210" w:line="360" w:lineRule="auto"/>
        <w:jc w:val="both"/>
        <w:outlineLvl w:val="3"/>
        <w:rPr>
          <w:rFonts w:ascii="Arial" w:hAnsi="Arial" w:cs="Arial"/>
          <w:sz w:val="20"/>
          <w:szCs w:val="20"/>
          <w:lang w:val="en-GB"/>
        </w:rPr>
      </w:pPr>
    </w:p>
    <w:p w14:paraId="5F95430A" w14:textId="77777777" w:rsidR="006015B8" w:rsidRDefault="006015B8" w:rsidP="006015B8">
      <w:pPr>
        <w:shd w:val="clear" w:color="auto" w:fill="FFFFFF"/>
        <w:spacing w:after="210" w:line="360" w:lineRule="auto"/>
        <w:jc w:val="both"/>
        <w:outlineLvl w:val="3"/>
        <w:rPr>
          <w:rFonts w:ascii="Arial" w:hAnsi="Arial" w:cs="Arial"/>
          <w:sz w:val="20"/>
          <w:szCs w:val="20"/>
          <w:lang w:val="en-GB"/>
        </w:rPr>
      </w:pPr>
    </w:p>
    <w:p w14:paraId="5024D63C" w14:textId="77777777" w:rsidR="006015B8" w:rsidRDefault="006015B8" w:rsidP="006015B8">
      <w:pPr>
        <w:shd w:val="clear" w:color="auto" w:fill="FFFFFF"/>
        <w:spacing w:after="210" w:line="360" w:lineRule="auto"/>
        <w:jc w:val="both"/>
        <w:outlineLvl w:val="3"/>
        <w:rPr>
          <w:rFonts w:ascii="Arial" w:hAnsi="Arial" w:cs="Arial"/>
          <w:sz w:val="20"/>
          <w:szCs w:val="20"/>
          <w:lang w:val="en-GB"/>
        </w:rPr>
      </w:pPr>
    </w:p>
    <w:p w14:paraId="2F003FBE" w14:textId="77777777" w:rsidR="006015B8" w:rsidRDefault="006015B8" w:rsidP="006015B8">
      <w:pPr>
        <w:shd w:val="clear" w:color="auto" w:fill="FFFFFF"/>
        <w:spacing w:after="210" w:line="360" w:lineRule="auto"/>
        <w:jc w:val="both"/>
        <w:outlineLvl w:val="3"/>
        <w:rPr>
          <w:rFonts w:ascii="Arial" w:hAnsi="Arial" w:cs="Arial"/>
          <w:sz w:val="20"/>
          <w:szCs w:val="20"/>
          <w:lang w:val="en-GB"/>
        </w:rPr>
      </w:pPr>
    </w:p>
    <w:p w14:paraId="379A3AF5" w14:textId="77777777" w:rsidR="006015B8" w:rsidRDefault="006015B8" w:rsidP="006015B8">
      <w:pPr>
        <w:shd w:val="clear" w:color="auto" w:fill="FFFFFF"/>
        <w:spacing w:after="210" w:line="360" w:lineRule="auto"/>
        <w:jc w:val="both"/>
        <w:outlineLvl w:val="3"/>
        <w:rPr>
          <w:rFonts w:ascii="Arial" w:hAnsi="Arial" w:cs="Arial"/>
          <w:sz w:val="20"/>
          <w:szCs w:val="20"/>
          <w:lang w:val="en-GB"/>
        </w:rPr>
      </w:pPr>
    </w:p>
    <w:p w14:paraId="32D4A82A" w14:textId="77777777" w:rsidR="006015B8" w:rsidRDefault="006015B8" w:rsidP="006015B8">
      <w:pPr>
        <w:shd w:val="clear" w:color="auto" w:fill="FFFFFF"/>
        <w:spacing w:after="210" w:line="360" w:lineRule="auto"/>
        <w:jc w:val="both"/>
        <w:outlineLvl w:val="3"/>
        <w:rPr>
          <w:rFonts w:ascii="Arial" w:hAnsi="Arial" w:cs="Arial"/>
          <w:sz w:val="20"/>
          <w:szCs w:val="20"/>
          <w:lang w:val="en-GB"/>
        </w:rPr>
      </w:pPr>
    </w:p>
    <w:p w14:paraId="7A8C0D00" w14:textId="77777777" w:rsidR="006015B8" w:rsidRDefault="006015B8" w:rsidP="006015B8">
      <w:pPr>
        <w:shd w:val="clear" w:color="auto" w:fill="FFFFFF"/>
        <w:spacing w:after="210" w:line="360" w:lineRule="auto"/>
        <w:jc w:val="both"/>
        <w:outlineLvl w:val="3"/>
        <w:rPr>
          <w:rFonts w:ascii="Arial" w:hAnsi="Arial" w:cs="Arial"/>
          <w:sz w:val="20"/>
          <w:szCs w:val="20"/>
          <w:lang w:val="en-GB"/>
        </w:rPr>
      </w:pPr>
    </w:p>
    <w:p w14:paraId="2F1D3D77" w14:textId="77777777" w:rsidR="006015B8" w:rsidRDefault="006015B8" w:rsidP="006015B8">
      <w:pPr>
        <w:shd w:val="clear" w:color="auto" w:fill="FFFFFF"/>
        <w:spacing w:after="210" w:line="360" w:lineRule="auto"/>
        <w:jc w:val="both"/>
        <w:outlineLvl w:val="3"/>
        <w:rPr>
          <w:rFonts w:ascii="Arial" w:hAnsi="Arial" w:cs="Arial"/>
          <w:sz w:val="20"/>
          <w:szCs w:val="20"/>
          <w:lang w:val="en-GB"/>
        </w:rPr>
      </w:pPr>
    </w:p>
    <w:p w14:paraId="16CBC324" w14:textId="77777777" w:rsidR="006015B8" w:rsidRDefault="006015B8" w:rsidP="006015B8">
      <w:pPr>
        <w:shd w:val="clear" w:color="auto" w:fill="FFFFFF"/>
        <w:spacing w:after="210" w:line="360" w:lineRule="auto"/>
        <w:jc w:val="both"/>
        <w:outlineLvl w:val="3"/>
        <w:rPr>
          <w:rFonts w:ascii="Arial" w:hAnsi="Arial" w:cs="Arial"/>
          <w:sz w:val="20"/>
          <w:szCs w:val="20"/>
          <w:lang w:val="en-GB"/>
        </w:rPr>
      </w:pPr>
    </w:p>
    <w:p w14:paraId="741236EB" w14:textId="77777777" w:rsidR="006015B8" w:rsidRDefault="006015B8" w:rsidP="006015B8">
      <w:pPr>
        <w:shd w:val="clear" w:color="auto" w:fill="FFFFFF"/>
        <w:spacing w:after="210" w:line="360" w:lineRule="auto"/>
        <w:jc w:val="both"/>
        <w:outlineLvl w:val="3"/>
        <w:rPr>
          <w:rFonts w:ascii="Arial" w:hAnsi="Arial" w:cs="Arial"/>
          <w:sz w:val="20"/>
          <w:szCs w:val="20"/>
          <w:lang w:val="en-GB"/>
        </w:rPr>
      </w:pPr>
    </w:p>
    <w:p w14:paraId="7DBF8AFA" w14:textId="77777777" w:rsidR="006015B8" w:rsidRDefault="006015B8" w:rsidP="006015B8">
      <w:pPr>
        <w:shd w:val="clear" w:color="auto" w:fill="FFFFFF"/>
        <w:spacing w:after="210" w:line="360" w:lineRule="auto"/>
        <w:jc w:val="both"/>
        <w:outlineLvl w:val="3"/>
        <w:rPr>
          <w:rFonts w:ascii="Arial" w:hAnsi="Arial" w:cs="Arial"/>
          <w:sz w:val="20"/>
          <w:szCs w:val="20"/>
          <w:lang w:val="en-GB"/>
        </w:rPr>
      </w:pPr>
    </w:p>
    <w:p w14:paraId="1377D6C2" w14:textId="77777777" w:rsidR="006015B8" w:rsidRDefault="006015B8" w:rsidP="006015B8">
      <w:pPr>
        <w:shd w:val="clear" w:color="auto" w:fill="FFFFFF"/>
        <w:spacing w:after="210" w:line="360" w:lineRule="auto"/>
        <w:jc w:val="both"/>
        <w:outlineLvl w:val="3"/>
        <w:rPr>
          <w:rFonts w:ascii="Arial" w:hAnsi="Arial" w:cs="Arial"/>
          <w:sz w:val="20"/>
          <w:szCs w:val="20"/>
          <w:lang w:val="en-GB"/>
        </w:rPr>
      </w:pPr>
    </w:p>
    <w:p w14:paraId="1A9C8333" w14:textId="77777777" w:rsidR="006015B8" w:rsidRDefault="006015B8" w:rsidP="006015B8">
      <w:pPr>
        <w:shd w:val="clear" w:color="auto" w:fill="FFFFFF"/>
        <w:spacing w:after="210" w:line="360" w:lineRule="auto"/>
        <w:jc w:val="both"/>
        <w:outlineLvl w:val="3"/>
        <w:rPr>
          <w:rFonts w:ascii="Arial" w:hAnsi="Arial" w:cs="Arial"/>
          <w:sz w:val="20"/>
          <w:szCs w:val="20"/>
          <w:lang w:val="en-GB"/>
        </w:rPr>
      </w:pPr>
    </w:p>
    <w:p w14:paraId="28ACE1E9" w14:textId="77777777" w:rsidR="006015B8" w:rsidRDefault="006015B8" w:rsidP="006015B8">
      <w:pPr>
        <w:shd w:val="clear" w:color="auto" w:fill="FFFFFF"/>
        <w:spacing w:after="210" w:line="360" w:lineRule="auto"/>
        <w:jc w:val="both"/>
        <w:outlineLvl w:val="3"/>
        <w:rPr>
          <w:rFonts w:ascii="Arial" w:hAnsi="Arial" w:cs="Arial"/>
          <w:sz w:val="20"/>
          <w:szCs w:val="20"/>
          <w:lang w:val="en-GB"/>
        </w:rPr>
      </w:pPr>
    </w:p>
    <w:p w14:paraId="234420F6" w14:textId="77777777" w:rsidR="006015B8" w:rsidRDefault="006015B8" w:rsidP="006015B8">
      <w:pPr>
        <w:shd w:val="clear" w:color="auto" w:fill="FFFFFF"/>
        <w:spacing w:after="210" w:line="360" w:lineRule="auto"/>
        <w:jc w:val="both"/>
        <w:outlineLvl w:val="3"/>
        <w:rPr>
          <w:rFonts w:ascii="Arial" w:hAnsi="Arial" w:cs="Arial"/>
          <w:sz w:val="20"/>
          <w:szCs w:val="20"/>
          <w:lang w:val="en-GB"/>
        </w:rPr>
      </w:pPr>
    </w:p>
    <w:p w14:paraId="07B13EB5" w14:textId="77777777" w:rsidR="006015B8" w:rsidRPr="007B53E4" w:rsidRDefault="006015B8" w:rsidP="006015B8">
      <w:pPr>
        <w:shd w:val="clear" w:color="auto" w:fill="FFFFFF"/>
        <w:spacing w:after="210" w:line="360" w:lineRule="auto"/>
        <w:jc w:val="both"/>
        <w:outlineLvl w:val="3"/>
        <w:rPr>
          <w:rFonts w:ascii="Arial" w:hAnsi="Arial" w:cs="Arial"/>
          <w:sz w:val="20"/>
          <w:szCs w:val="20"/>
          <w:lang w:val="en-GB"/>
        </w:rPr>
      </w:pPr>
      <w:r w:rsidRPr="007B53E4">
        <w:rPr>
          <w:rFonts w:ascii="Arial" w:hAnsi="Arial" w:cs="Arial"/>
          <w:sz w:val="20"/>
          <w:szCs w:val="20"/>
          <w:lang w:val="en-GB"/>
        </w:rPr>
        <w:lastRenderedPageBreak/>
        <w:t>References.</w:t>
      </w:r>
    </w:p>
    <w:p w14:paraId="35BF6837"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proofErr w:type="spellStart"/>
      <w:r w:rsidRPr="007B53E4">
        <w:rPr>
          <w:rFonts w:ascii="Arial" w:hAnsi="Arial" w:cs="Arial"/>
          <w:sz w:val="20"/>
          <w:szCs w:val="20"/>
          <w:lang w:val="en-GB"/>
        </w:rPr>
        <w:t>Fierson</w:t>
      </w:r>
      <w:proofErr w:type="spellEnd"/>
      <w:r w:rsidRPr="007B53E4">
        <w:rPr>
          <w:rFonts w:ascii="Arial" w:hAnsi="Arial" w:cs="Arial"/>
          <w:sz w:val="20"/>
          <w:szCs w:val="20"/>
          <w:lang w:val="en-GB"/>
        </w:rPr>
        <w:t xml:space="preserve"> WM, American Academy of </w:t>
      </w:r>
      <w:proofErr w:type="spellStart"/>
      <w:r w:rsidRPr="007B53E4">
        <w:rPr>
          <w:rFonts w:ascii="Arial" w:hAnsi="Arial" w:cs="Arial"/>
          <w:sz w:val="20"/>
          <w:szCs w:val="20"/>
          <w:lang w:val="en-GB"/>
        </w:rPr>
        <w:t>Pediatrics</w:t>
      </w:r>
      <w:proofErr w:type="spellEnd"/>
      <w:r w:rsidRPr="007B53E4">
        <w:rPr>
          <w:rFonts w:ascii="Arial" w:hAnsi="Arial" w:cs="Arial"/>
          <w:sz w:val="20"/>
          <w:szCs w:val="20"/>
          <w:lang w:val="en-GB"/>
        </w:rPr>
        <w:t xml:space="preserve"> Section on O, American Academy of O, American Association for </w:t>
      </w:r>
      <w:proofErr w:type="spellStart"/>
      <w:r w:rsidRPr="007B53E4">
        <w:rPr>
          <w:rFonts w:ascii="Arial" w:hAnsi="Arial" w:cs="Arial"/>
          <w:sz w:val="20"/>
          <w:szCs w:val="20"/>
          <w:lang w:val="en-GB"/>
        </w:rPr>
        <w:t>Pediatric</w:t>
      </w:r>
      <w:proofErr w:type="spellEnd"/>
      <w:r w:rsidRPr="007B53E4">
        <w:rPr>
          <w:rFonts w:ascii="Arial" w:hAnsi="Arial" w:cs="Arial"/>
          <w:sz w:val="20"/>
          <w:szCs w:val="20"/>
          <w:lang w:val="en-GB"/>
        </w:rPr>
        <w:t xml:space="preserve"> O, Strabismus, American Association of Certified O. Screening examination of premature infants for retinopathy of prematurity. Paediatrics 2013;131(1):189-95</w:t>
      </w:r>
    </w:p>
    <w:p w14:paraId="0B0DE43E"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sz w:val="20"/>
          <w:szCs w:val="20"/>
          <w:lang w:val="en-GB"/>
        </w:rPr>
        <w:t xml:space="preserve">Smith LE. Pathogenesis of Retinopathy of Prematurity. Semin </w:t>
      </w:r>
      <w:proofErr w:type="spellStart"/>
      <w:r w:rsidRPr="007B53E4">
        <w:rPr>
          <w:rFonts w:ascii="Arial" w:hAnsi="Arial" w:cs="Arial"/>
          <w:sz w:val="20"/>
          <w:szCs w:val="20"/>
          <w:lang w:val="en-GB"/>
        </w:rPr>
        <w:t>Neonatol</w:t>
      </w:r>
      <w:proofErr w:type="spellEnd"/>
      <w:r w:rsidRPr="007B53E4">
        <w:rPr>
          <w:rFonts w:ascii="Arial" w:hAnsi="Arial" w:cs="Arial"/>
          <w:sz w:val="20"/>
          <w:szCs w:val="20"/>
          <w:lang w:val="en-GB"/>
        </w:rPr>
        <w:t xml:space="preserve"> 2003;8(6):469-73.</w:t>
      </w:r>
    </w:p>
    <w:p w14:paraId="2EF9E555"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sz w:val="20"/>
          <w:szCs w:val="20"/>
          <w:lang w:val="en-GB"/>
        </w:rPr>
        <w:t xml:space="preserve">Pierce EA, Foley ED, Smith LE. Regulation of vascular endothelial growth factor by oxygen in a model of retinopathy of prematurity. Arch </w:t>
      </w:r>
      <w:proofErr w:type="spellStart"/>
      <w:r w:rsidRPr="007B53E4">
        <w:rPr>
          <w:rFonts w:ascii="Arial" w:hAnsi="Arial" w:cs="Arial"/>
          <w:sz w:val="20"/>
          <w:szCs w:val="20"/>
          <w:lang w:val="en-GB"/>
        </w:rPr>
        <w:t>Ophthalmol</w:t>
      </w:r>
      <w:proofErr w:type="spellEnd"/>
      <w:r w:rsidRPr="007B53E4">
        <w:rPr>
          <w:rFonts w:ascii="Arial" w:hAnsi="Arial" w:cs="Arial"/>
          <w:sz w:val="20"/>
          <w:szCs w:val="20"/>
          <w:lang w:val="en-GB"/>
        </w:rPr>
        <w:t xml:space="preserve"> (</w:t>
      </w:r>
      <w:proofErr w:type="gramStart"/>
      <w:r w:rsidRPr="007B53E4">
        <w:rPr>
          <w:rFonts w:ascii="Arial" w:hAnsi="Arial" w:cs="Arial"/>
          <w:sz w:val="20"/>
          <w:szCs w:val="20"/>
          <w:lang w:val="en-GB"/>
        </w:rPr>
        <w:t>Chicago,Ill</w:t>
      </w:r>
      <w:proofErr w:type="gramEnd"/>
      <w:r w:rsidRPr="007B53E4">
        <w:rPr>
          <w:rFonts w:ascii="Arial" w:hAnsi="Arial" w:cs="Arial"/>
          <w:sz w:val="20"/>
          <w:szCs w:val="20"/>
          <w:lang w:val="en-GB"/>
        </w:rPr>
        <w:t>:1960) 1996;114(10):1219-28.</w:t>
      </w:r>
    </w:p>
    <w:p w14:paraId="43DFBA4E"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sz w:val="20"/>
          <w:szCs w:val="20"/>
          <w:lang w:val="en-GB"/>
        </w:rPr>
        <w:t xml:space="preserve">Hellstrom A, Smith LE, Dammann O. Retinopathy of prematurity. </w:t>
      </w:r>
      <w:proofErr w:type="gramStart"/>
      <w:r w:rsidRPr="007B53E4">
        <w:rPr>
          <w:rFonts w:ascii="Arial" w:hAnsi="Arial" w:cs="Arial"/>
          <w:sz w:val="20"/>
          <w:szCs w:val="20"/>
          <w:lang w:val="en-GB"/>
        </w:rPr>
        <w:t>Lancet(</w:t>
      </w:r>
      <w:proofErr w:type="gramEnd"/>
      <w:r w:rsidRPr="007B53E4">
        <w:rPr>
          <w:rFonts w:ascii="Arial" w:hAnsi="Arial" w:cs="Arial"/>
          <w:sz w:val="20"/>
          <w:szCs w:val="20"/>
          <w:lang w:val="en-GB"/>
        </w:rPr>
        <w:t xml:space="preserve">Lond) 2013;382(9902):1445-57. </w:t>
      </w:r>
    </w:p>
    <w:p w14:paraId="78FB26A9"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sz w:val="20"/>
          <w:szCs w:val="20"/>
          <w:lang w:val="en-GB"/>
        </w:rPr>
        <w:t xml:space="preserve">Darlow BA, Hutchinson JL, Henderson-Smart DJ, Donoghue DA, Simpson JM, Evans NJ. Prenatal risk factors for severe retinopathy of prematurity among very preterm infants of the Australian and New Zealand Neonatal Network. </w:t>
      </w:r>
      <w:proofErr w:type="spellStart"/>
      <w:r w:rsidRPr="007B53E4">
        <w:rPr>
          <w:rFonts w:ascii="Arial" w:hAnsi="Arial" w:cs="Arial"/>
          <w:sz w:val="20"/>
          <w:szCs w:val="20"/>
          <w:lang w:val="en-GB"/>
        </w:rPr>
        <w:t>Pediatrics</w:t>
      </w:r>
      <w:proofErr w:type="spellEnd"/>
      <w:r w:rsidRPr="007B53E4">
        <w:rPr>
          <w:rFonts w:ascii="Arial" w:hAnsi="Arial" w:cs="Arial"/>
          <w:sz w:val="20"/>
          <w:szCs w:val="20"/>
          <w:lang w:val="en-GB"/>
        </w:rPr>
        <w:t xml:space="preserve"> 2005;115(4):990-6. </w:t>
      </w:r>
    </w:p>
    <w:p w14:paraId="560729EA"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sz w:val="20"/>
          <w:szCs w:val="20"/>
          <w:lang w:val="en-GB"/>
        </w:rPr>
        <w:t>Slidsborg C, Jensen A, Forman JL, Rasmussen S, Bangsgaard R, Fledelius HC, et al. Neonatal Risk Factors for Treatment-Demanding Retinopathy of Prematurity: A Danish National Study. Ophthalmology 2016;123(4):796-803</w:t>
      </w:r>
    </w:p>
    <w:p w14:paraId="6BDFCE0C"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sz w:val="20"/>
          <w:szCs w:val="20"/>
          <w:lang w:val="en-GB"/>
        </w:rPr>
        <w:t xml:space="preserve">Early Treatment for Retinopathy of Prematurity Cooperative, Group (2003). Revised indications for the treatment of retinopathy of prematurity: results of the early treatment for retinopathy of prematurity randomized trial. Arch </w:t>
      </w:r>
      <w:proofErr w:type="spellStart"/>
      <w:r w:rsidRPr="007B53E4">
        <w:rPr>
          <w:rFonts w:ascii="Arial" w:hAnsi="Arial" w:cs="Arial"/>
          <w:sz w:val="20"/>
          <w:szCs w:val="20"/>
          <w:lang w:val="en-GB"/>
        </w:rPr>
        <w:t>Ophthalmol</w:t>
      </w:r>
      <w:proofErr w:type="spellEnd"/>
      <w:r w:rsidRPr="007B53E4">
        <w:rPr>
          <w:rFonts w:ascii="Arial" w:hAnsi="Arial" w:cs="Arial"/>
          <w:sz w:val="20"/>
          <w:szCs w:val="20"/>
          <w:lang w:val="en-GB"/>
        </w:rPr>
        <w:t xml:space="preserve"> 121(12), pp 1684-94.</w:t>
      </w:r>
    </w:p>
    <w:p w14:paraId="03F08C9D"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sz w:val="20"/>
          <w:szCs w:val="20"/>
          <w:lang w:val="en-GB"/>
        </w:rPr>
        <w:t xml:space="preserve">Zin A, Gole GA. Retinopathy of prematurity-incidence today. Clin </w:t>
      </w:r>
      <w:proofErr w:type="spellStart"/>
      <w:r w:rsidRPr="007B53E4">
        <w:rPr>
          <w:rFonts w:ascii="Arial" w:hAnsi="Arial" w:cs="Arial"/>
          <w:sz w:val="20"/>
          <w:szCs w:val="20"/>
          <w:lang w:val="en-GB"/>
        </w:rPr>
        <w:t>Perinatol</w:t>
      </w:r>
      <w:proofErr w:type="spellEnd"/>
      <w:r w:rsidRPr="007B53E4">
        <w:rPr>
          <w:rFonts w:ascii="Arial" w:hAnsi="Arial" w:cs="Arial"/>
          <w:sz w:val="20"/>
          <w:szCs w:val="20"/>
          <w:lang w:val="en-GB"/>
        </w:rPr>
        <w:t xml:space="preserve"> 2013; 40:185–200. </w:t>
      </w:r>
    </w:p>
    <w:p w14:paraId="3E4F0607"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sz w:val="20"/>
          <w:szCs w:val="20"/>
          <w:lang w:val="en-GB"/>
        </w:rPr>
        <w:t xml:space="preserve">Gergely K, </w:t>
      </w:r>
      <w:proofErr w:type="spellStart"/>
      <w:r w:rsidRPr="007B53E4">
        <w:rPr>
          <w:rFonts w:ascii="Arial" w:hAnsi="Arial" w:cs="Arial"/>
          <w:sz w:val="20"/>
          <w:szCs w:val="20"/>
          <w:lang w:val="en-GB"/>
        </w:rPr>
        <w:t>Gerinec</w:t>
      </w:r>
      <w:proofErr w:type="spellEnd"/>
      <w:r w:rsidRPr="007B53E4">
        <w:rPr>
          <w:rFonts w:ascii="Arial" w:hAnsi="Arial" w:cs="Arial"/>
          <w:sz w:val="20"/>
          <w:szCs w:val="20"/>
          <w:lang w:val="en-GB"/>
        </w:rPr>
        <w:t xml:space="preserve"> A. Retinopathy of prematurity—epidemics, incidence, prevalence, blindness. </w:t>
      </w:r>
      <w:proofErr w:type="spellStart"/>
      <w:r w:rsidRPr="007B53E4">
        <w:rPr>
          <w:rFonts w:ascii="Arial" w:hAnsi="Arial" w:cs="Arial"/>
          <w:sz w:val="20"/>
          <w:szCs w:val="20"/>
          <w:lang w:val="en-GB"/>
        </w:rPr>
        <w:t>Bratisl</w:t>
      </w:r>
      <w:proofErr w:type="spellEnd"/>
      <w:r w:rsidRPr="007B53E4">
        <w:rPr>
          <w:rFonts w:ascii="Arial" w:hAnsi="Arial" w:cs="Arial"/>
          <w:sz w:val="20"/>
          <w:szCs w:val="20"/>
          <w:lang w:val="en-GB"/>
        </w:rPr>
        <w:t xml:space="preserve"> Lek </w:t>
      </w:r>
      <w:proofErr w:type="spellStart"/>
      <w:r w:rsidRPr="007B53E4">
        <w:rPr>
          <w:rFonts w:ascii="Arial" w:hAnsi="Arial" w:cs="Arial"/>
          <w:sz w:val="20"/>
          <w:szCs w:val="20"/>
          <w:lang w:val="en-GB"/>
        </w:rPr>
        <w:t>Listy</w:t>
      </w:r>
      <w:proofErr w:type="spellEnd"/>
      <w:r w:rsidRPr="007B53E4">
        <w:rPr>
          <w:rFonts w:ascii="Arial" w:hAnsi="Arial" w:cs="Arial"/>
          <w:sz w:val="20"/>
          <w:szCs w:val="20"/>
          <w:lang w:val="en-GB"/>
        </w:rPr>
        <w:t xml:space="preserve"> 2010; 111:514–17.</w:t>
      </w:r>
    </w:p>
    <w:p w14:paraId="78A70DB6"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sz w:val="20"/>
          <w:szCs w:val="20"/>
          <w:lang w:val="en-GB"/>
        </w:rPr>
        <w:t xml:space="preserve">Gilbert C, Fielder A, Gordillo L, et al. Characteristics of infants with severe retinopathy of prematurity in countries with low, moderate, and high levels of development: implications for screening programs. </w:t>
      </w:r>
      <w:proofErr w:type="spellStart"/>
      <w:r w:rsidRPr="007B53E4">
        <w:rPr>
          <w:rFonts w:ascii="Arial" w:hAnsi="Arial" w:cs="Arial"/>
          <w:sz w:val="20"/>
          <w:szCs w:val="20"/>
          <w:lang w:val="en-GB"/>
        </w:rPr>
        <w:t>Pediatrics</w:t>
      </w:r>
      <w:proofErr w:type="spellEnd"/>
      <w:r w:rsidRPr="007B53E4">
        <w:rPr>
          <w:rFonts w:ascii="Arial" w:hAnsi="Arial" w:cs="Arial"/>
          <w:sz w:val="20"/>
          <w:szCs w:val="20"/>
          <w:lang w:val="en-GB"/>
        </w:rPr>
        <w:t xml:space="preserve"> 2005;115: e518–25.</w:t>
      </w:r>
    </w:p>
    <w:p w14:paraId="3BC5F0C9"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sz w:val="20"/>
          <w:szCs w:val="20"/>
          <w:lang w:val="en-GB"/>
        </w:rPr>
        <w:t xml:space="preserve">Clinical Practice Guideline for Retinopathy of Prematurity: Malaysian Ministry of </w:t>
      </w:r>
      <w:proofErr w:type="gramStart"/>
      <w:r w:rsidRPr="007B53E4">
        <w:rPr>
          <w:rFonts w:ascii="Arial" w:hAnsi="Arial" w:cs="Arial"/>
          <w:sz w:val="20"/>
          <w:szCs w:val="20"/>
          <w:lang w:val="en-GB"/>
        </w:rPr>
        <w:t>Health ;</w:t>
      </w:r>
      <w:proofErr w:type="gramEnd"/>
      <w:r w:rsidRPr="007B53E4">
        <w:rPr>
          <w:rFonts w:ascii="Arial" w:hAnsi="Arial" w:cs="Arial"/>
          <w:sz w:val="20"/>
          <w:szCs w:val="20"/>
          <w:lang w:val="en-GB"/>
        </w:rPr>
        <w:t xml:space="preserve"> 2005 [Available from: https://www.moh.gov.my/moh/attachments/3917.pdf.] (Accessed 20</w:t>
      </w:r>
      <w:r w:rsidRPr="007B53E4">
        <w:rPr>
          <w:rFonts w:ascii="Arial" w:hAnsi="Arial" w:cs="Arial"/>
          <w:sz w:val="20"/>
          <w:szCs w:val="20"/>
          <w:vertAlign w:val="superscript"/>
          <w:lang w:val="en-GB"/>
        </w:rPr>
        <w:t>th</w:t>
      </w:r>
      <w:r w:rsidRPr="007B53E4">
        <w:rPr>
          <w:rFonts w:ascii="Arial" w:hAnsi="Arial" w:cs="Arial"/>
          <w:sz w:val="20"/>
          <w:szCs w:val="20"/>
          <w:lang w:val="en-GB"/>
        </w:rPr>
        <w:t xml:space="preserve"> February 2022)</w:t>
      </w:r>
    </w:p>
    <w:p w14:paraId="33B317A0"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sz w:val="20"/>
          <w:szCs w:val="20"/>
          <w:lang w:val="en-GB"/>
        </w:rPr>
        <w:t xml:space="preserve">International Committee for the Classification of Retinopathy of P. The International Classification of Retinopathy of Prematurity revisited. Arch </w:t>
      </w:r>
      <w:proofErr w:type="spellStart"/>
      <w:r w:rsidRPr="007B53E4">
        <w:rPr>
          <w:rFonts w:ascii="Arial" w:hAnsi="Arial" w:cs="Arial"/>
          <w:sz w:val="20"/>
          <w:szCs w:val="20"/>
          <w:lang w:val="en-GB"/>
        </w:rPr>
        <w:t>Ophthalmol</w:t>
      </w:r>
      <w:proofErr w:type="spellEnd"/>
      <w:r w:rsidRPr="007B53E4">
        <w:rPr>
          <w:rFonts w:ascii="Arial" w:hAnsi="Arial" w:cs="Arial"/>
          <w:sz w:val="20"/>
          <w:szCs w:val="20"/>
          <w:lang w:val="en-GB"/>
        </w:rPr>
        <w:t xml:space="preserve"> 2005;123(7):991-9.</w:t>
      </w:r>
    </w:p>
    <w:p w14:paraId="789E2F56" w14:textId="77777777" w:rsidR="006015B8" w:rsidRPr="007B53E4" w:rsidRDefault="006015B8" w:rsidP="006015B8">
      <w:pPr>
        <w:pStyle w:val="ListParagraph"/>
        <w:numPr>
          <w:ilvl w:val="0"/>
          <w:numId w:val="2"/>
        </w:numPr>
        <w:shd w:val="clear" w:color="auto" w:fill="FFFFFF"/>
        <w:spacing w:after="0" w:line="360" w:lineRule="auto"/>
        <w:rPr>
          <w:rFonts w:ascii="Arial" w:eastAsia="Times New Roman" w:hAnsi="Arial" w:cs="Arial"/>
          <w:color w:val="333333"/>
          <w:sz w:val="20"/>
          <w:szCs w:val="20"/>
          <w:lang w:val="en-GB" w:eastAsia="en-MY"/>
        </w:rPr>
      </w:pPr>
      <w:r w:rsidRPr="007B53E4">
        <w:rPr>
          <w:rFonts w:ascii="Arial" w:eastAsia="Times New Roman" w:hAnsi="Arial" w:cs="Arial"/>
          <w:sz w:val="20"/>
          <w:szCs w:val="20"/>
          <w:lang w:val="en-GB" w:eastAsia="en-MY"/>
        </w:rPr>
        <w:t>Luk ASW, Yip WWK, Lok JYC</w:t>
      </w:r>
      <w:r w:rsidRPr="007B53E4">
        <w:rPr>
          <w:rFonts w:ascii="Arial" w:eastAsia="Times New Roman" w:hAnsi="Arial" w:cs="Arial"/>
          <w:i/>
          <w:iCs/>
          <w:sz w:val="20"/>
          <w:szCs w:val="20"/>
          <w:lang w:val="en-GB" w:eastAsia="en-MY"/>
        </w:rPr>
        <w:t xml:space="preserve">, </w:t>
      </w:r>
      <w:r w:rsidRPr="007B53E4">
        <w:rPr>
          <w:rFonts w:ascii="Arial" w:eastAsia="Times New Roman" w:hAnsi="Arial" w:cs="Arial"/>
          <w:sz w:val="20"/>
          <w:szCs w:val="20"/>
          <w:lang w:val="en-GB" w:eastAsia="en-MY"/>
        </w:rPr>
        <w:t>et al</w:t>
      </w:r>
      <w:r w:rsidRPr="007B53E4">
        <w:rPr>
          <w:rFonts w:ascii="Arial" w:eastAsia="Times New Roman" w:hAnsi="Arial" w:cs="Arial"/>
          <w:i/>
          <w:iCs/>
          <w:sz w:val="20"/>
          <w:szCs w:val="20"/>
          <w:lang w:val="en-GB" w:eastAsia="en-MY"/>
        </w:rPr>
        <w:t xml:space="preserve"> </w:t>
      </w:r>
      <w:r w:rsidRPr="007B53E4">
        <w:rPr>
          <w:rFonts w:ascii="Arial" w:eastAsia="Times New Roman" w:hAnsi="Arial" w:cs="Arial"/>
          <w:sz w:val="20"/>
          <w:szCs w:val="20"/>
          <w:lang w:val="en-GB" w:eastAsia="en-MY"/>
        </w:rPr>
        <w:t>Retinopathy of prematurity: applicability and compliance of</w:t>
      </w:r>
      <w:r w:rsidRPr="007B53E4">
        <w:rPr>
          <w:rFonts w:ascii="Arial" w:eastAsia="Times New Roman" w:hAnsi="Arial" w:cs="Arial"/>
          <w:color w:val="333333"/>
          <w:sz w:val="20"/>
          <w:szCs w:val="20"/>
          <w:lang w:val="en-GB" w:eastAsia="en-MY"/>
        </w:rPr>
        <w:t xml:space="preserve"> </w:t>
      </w:r>
      <w:r w:rsidRPr="007B53E4">
        <w:rPr>
          <w:rFonts w:ascii="Arial" w:eastAsia="Times New Roman" w:hAnsi="Arial" w:cs="Arial"/>
          <w:sz w:val="20"/>
          <w:szCs w:val="20"/>
          <w:lang w:val="en-GB" w:eastAsia="en-MY"/>
        </w:rPr>
        <w:t xml:space="preserve">guidelines in Hong Kong. </w:t>
      </w:r>
      <w:r w:rsidRPr="007B53E4">
        <w:rPr>
          <w:rFonts w:ascii="Arial" w:hAnsi="Arial" w:cs="Arial"/>
          <w:sz w:val="20"/>
          <w:szCs w:val="20"/>
          <w:lang w:val="en-GB"/>
        </w:rPr>
        <w:t xml:space="preserve">Br J </w:t>
      </w:r>
      <w:proofErr w:type="spellStart"/>
      <w:r w:rsidRPr="007B53E4">
        <w:rPr>
          <w:rFonts w:ascii="Arial" w:hAnsi="Arial" w:cs="Arial"/>
          <w:sz w:val="20"/>
          <w:szCs w:val="20"/>
          <w:lang w:val="en-GB"/>
        </w:rPr>
        <w:t>Ophthalmol</w:t>
      </w:r>
      <w:proofErr w:type="spellEnd"/>
      <w:r w:rsidRPr="007B53E4">
        <w:rPr>
          <w:rFonts w:ascii="Arial" w:hAnsi="Arial" w:cs="Arial"/>
          <w:sz w:val="20"/>
          <w:szCs w:val="20"/>
          <w:lang w:val="en-GB"/>
        </w:rPr>
        <w:t xml:space="preserve"> </w:t>
      </w:r>
      <w:r w:rsidRPr="007B53E4">
        <w:rPr>
          <w:rFonts w:ascii="Arial" w:eastAsia="Times New Roman" w:hAnsi="Arial" w:cs="Arial"/>
          <w:sz w:val="20"/>
          <w:szCs w:val="20"/>
          <w:lang w:val="en-GB" w:eastAsia="en-MY"/>
        </w:rPr>
        <w:t>2017; 101:453-56.</w:t>
      </w:r>
    </w:p>
    <w:p w14:paraId="678AEAC1"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sz w:val="20"/>
          <w:szCs w:val="20"/>
          <w:lang w:val="en-GB"/>
        </w:rPr>
        <w:t xml:space="preserve">Dai S, Austin N, Darlow B. Retinopathy of prematurity: New Zealand recommendations for case detection and treatment. </w:t>
      </w:r>
      <w:r w:rsidRPr="007B53E4">
        <w:rPr>
          <w:rFonts w:ascii="Arial" w:hAnsi="Arial" w:cs="Arial"/>
          <w:color w:val="202124"/>
          <w:sz w:val="20"/>
          <w:szCs w:val="20"/>
          <w:shd w:val="clear" w:color="auto" w:fill="FFFFFF"/>
          <w:lang w:val="en-GB"/>
        </w:rPr>
        <w:t xml:space="preserve">J. </w:t>
      </w:r>
      <w:proofErr w:type="spellStart"/>
      <w:r w:rsidRPr="007B53E4">
        <w:rPr>
          <w:rFonts w:ascii="Arial" w:hAnsi="Arial" w:cs="Arial"/>
          <w:color w:val="202124"/>
          <w:sz w:val="20"/>
          <w:szCs w:val="20"/>
          <w:shd w:val="clear" w:color="auto" w:fill="FFFFFF"/>
          <w:lang w:val="en-GB"/>
        </w:rPr>
        <w:t>Paediatr</w:t>
      </w:r>
      <w:proofErr w:type="spellEnd"/>
      <w:r w:rsidRPr="007B53E4">
        <w:rPr>
          <w:rFonts w:ascii="Arial" w:hAnsi="Arial" w:cs="Arial"/>
          <w:color w:val="202124"/>
          <w:sz w:val="20"/>
          <w:szCs w:val="20"/>
          <w:shd w:val="clear" w:color="auto" w:fill="FFFFFF"/>
          <w:lang w:val="en-GB"/>
        </w:rPr>
        <w:t xml:space="preserve">. Child Health </w:t>
      </w:r>
      <w:r w:rsidRPr="007B53E4">
        <w:rPr>
          <w:rFonts w:ascii="Arial" w:hAnsi="Arial" w:cs="Arial"/>
          <w:sz w:val="20"/>
          <w:szCs w:val="20"/>
          <w:lang w:val="en-GB"/>
        </w:rPr>
        <w:t>2015;51(10):955-9</w:t>
      </w:r>
    </w:p>
    <w:p w14:paraId="575CD956"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sz w:val="20"/>
          <w:szCs w:val="20"/>
          <w:lang w:val="en-GB"/>
        </w:rPr>
        <w:t xml:space="preserve">Chow SSW, Le </w:t>
      </w:r>
      <w:proofErr w:type="spellStart"/>
      <w:r w:rsidRPr="007B53E4">
        <w:rPr>
          <w:rFonts w:ascii="Arial" w:hAnsi="Arial" w:cs="Arial"/>
          <w:sz w:val="20"/>
          <w:szCs w:val="20"/>
          <w:lang w:val="en-GB"/>
        </w:rPr>
        <w:t>Marsney</w:t>
      </w:r>
      <w:proofErr w:type="spellEnd"/>
      <w:r w:rsidRPr="007B53E4">
        <w:rPr>
          <w:rFonts w:ascii="Arial" w:hAnsi="Arial" w:cs="Arial"/>
          <w:sz w:val="20"/>
          <w:szCs w:val="20"/>
          <w:lang w:val="en-GB"/>
        </w:rPr>
        <w:t xml:space="preserve"> R, Hossain S, Haslam R, Lui K. Report of the Australian and New Zealand Neonatal Network 2013. Sydney; 2015</w:t>
      </w:r>
    </w:p>
    <w:p w14:paraId="200A8F50"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sz w:val="20"/>
          <w:szCs w:val="20"/>
          <w:lang w:val="en-GB"/>
        </w:rPr>
        <w:t xml:space="preserve">Leung TK, Roach VJ, Lau TK. Incidence of preterm delivery in Hong Kong. </w:t>
      </w:r>
      <w:proofErr w:type="spellStart"/>
      <w:r w:rsidRPr="007B53E4">
        <w:rPr>
          <w:rFonts w:ascii="Arial" w:hAnsi="Arial" w:cs="Arial"/>
          <w:sz w:val="20"/>
          <w:szCs w:val="20"/>
          <w:lang w:val="en-GB"/>
        </w:rPr>
        <w:t>Aust</w:t>
      </w:r>
      <w:proofErr w:type="spellEnd"/>
      <w:r w:rsidRPr="007B53E4">
        <w:rPr>
          <w:rFonts w:ascii="Arial" w:hAnsi="Arial" w:cs="Arial"/>
          <w:sz w:val="20"/>
          <w:szCs w:val="20"/>
          <w:lang w:val="en-GB"/>
        </w:rPr>
        <w:t xml:space="preserve"> N Z J </w:t>
      </w:r>
      <w:proofErr w:type="spellStart"/>
      <w:r w:rsidRPr="007B53E4">
        <w:rPr>
          <w:rFonts w:ascii="Arial" w:hAnsi="Arial" w:cs="Arial"/>
          <w:sz w:val="20"/>
          <w:szCs w:val="20"/>
          <w:lang w:val="en-GB"/>
        </w:rPr>
        <w:t>Obstet</w:t>
      </w:r>
      <w:proofErr w:type="spellEnd"/>
      <w:r w:rsidRPr="007B53E4">
        <w:rPr>
          <w:rFonts w:ascii="Arial" w:hAnsi="Arial" w:cs="Arial"/>
          <w:sz w:val="20"/>
          <w:szCs w:val="20"/>
          <w:lang w:val="en-GB"/>
        </w:rPr>
        <w:t xml:space="preserve"> </w:t>
      </w:r>
      <w:proofErr w:type="spellStart"/>
      <w:r w:rsidRPr="007B53E4">
        <w:rPr>
          <w:rFonts w:ascii="Arial" w:hAnsi="Arial" w:cs="Arial"/>
          <w:sz w:val="20"/>
          <w:szCs w:val="20"/>
          <w:lang w:val="en-GB"/>
        </w:rPr>
        <w:t>Gynaecol</w:t>
      </w:r>
      <w:proofErr w:type="spellEnd"/>
      <w:r w:rsidRPr="007B53E4">
        <w:rPr>
          <w:rFonts w:ascii="Arial" w:hAnsi="Arial" w:cs="Arial"/>
          <w:sz w:val="20"/>
          <w:szCs w:val="20"/>
          <w:lang w:val="en-GB"/>
        </w:rPr>
        <w:t xml:space="preserve"> </w:t>
      </w:r>
      <w:proofErr w:type="gramStart"/>
      <w:r w:rsidRPr="007B53E4">
        <w:rPr>
          <w:rFonts w:ascii="Arial" w:hAnsi="Arial" w:cs="Arial"/>
          <w:sz w:val="20"/>
          <w:szCs w:val="20"/>
          <w:lang w:val="en-GB"/>
        </w:rPr>
        <w:t>1998;38:138</w:t>
      </w:r>
      <w:proofErr w:type="gramEnd"/>
      <w:r w:rsidRPr="007B53E4">
        <w:rPr>
          <w:rFonts w:ascii="Arial" w:hAnsi="Arial" w:cs="Arial"/>
          <w:sz w:val="20"/>
          <w:szCs w:val="20"/>
          <w:lang w:val="en-GB"/>
        </w:rPr>
        <w:t xml:space="preserve">–41. </w:t>
      </w:r>
    </w:p>
    <w:p w14:paraId="5028A616"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sz w:val="20"/>
          <w:szCs w:val="20"/>
          <w:lang w:val="en-GB"/>
        </w:rPr>
        <w:lastRenderedPageBreak/>
        <w:t xml:space="preserve">Newnham JP, Sahota DS, Zhang CY, et al. Preterm birth rates in Chinese women in China, Hong Kong and Australia—the price of Westernisation. </w:t>
      </w:r>
      <w:proofErr w:type="spellStart"/>
      <w:r w:rsidRPr="007B53E4">
        <w:rPr>
          <w:rFonts w:ascii="Arial" w:hAnsi="Arial" w:cs="Arial"/>
          <w:sz w:val="20"/>
          <w:szCs w:val="20"/>
          <w:lang w:val="en-GB"/>
        </w:rPr>
        <w:t>Aust</w:t>
      </w:r>
      <w:proofErr w:type="spellEnd"/>
      <w:r w:rsidRPr="007B53E4">
        <w:rPr>
          <w:rFonts w:ascii="Arial" w:hAnsi="Arial" w:cs="Arial"/>
          <w:sz w:val="20"/>
          <w:szCs w:val="20"/>
          <w:lang w:val="en-GB"/>
        </w:rPr>
        <w:t xml:space="preserve"> N Z J </w:t>
      </w:r>
      <w:proofErr w:type="spellStart"/>
      <w:r w:rsidRPr="007B53E4">
        <w:rPr>
          <w:rFonts w:ascii="Arial" w:hAnsi="Arial" w:cs="Arial"/>
          <w:sz w:val="20"/>
          <w:szCs w:val="20"/>
          <w:lang w:val="en-GB"/>
        </w:rPr>
        <w:t>Obstet</w:t>
      </w:r>
      <w:proofErr w:type="spellEnd"/>
      <w:r w:rsidRPr="007B53E4">
        <w:rPr>
          <w:rFonts w:ascii="Arial" w:hAnsi="Arial" w:cs="Arial"/>
          <w:sz w:val="20"/>
          <w:szCs w:val="20"/>
          <w:lang w:val="en-GB"/>
        </w:rPr>
        <w:t xml:space="preserve"> </w:t>
      </w:r>
      <w:proofErr w:type="spellStart"/>
      <w:r w:rsidRPr="007B53E4">
        <w:rPr>
          <w:rFonts w:ascii="Arial" w:hAnsi="Arial" w:cs="Arial"/>
          <w:sz w:val="20"/>
          <w:szCs w:val="20"/>
          <w:lang w:val="en-GB"/>
        </w:rPr>
        <w:t>Gynaecol</w:t>
      </w:r>
      <w:proofErr w:type="spellEnd"/>
      <w:r w:rsidRPr="007B53E4">
        <w:rPr>
          <w:rFonts w:ascii="Arial" w:hAnsi="Arial" w:cs="Arial"/>
          <w:sz w:val="20"/>
          <w:szCs w:val="20"/>
          <w:lang w:val="en-GB"/>
        </w:rPr>
        <w:t xml:space="preserve"> </w:t>
      </w:r>
      <w:proofErr w:type="gramStart"/>
      <w:r w:rsidRPr="007B53E4">
        <w:rPr>
          <w:rFonts w:ascii="Arial" w:hAnsi="Arial" w:cs="Arial"/>
          <w:sz w:val="20"/>
          <w:szCs w:val="20"/>
          <w:lang w:val="en-GB"/>
        </w:rPr>
        <w:t>2011;51:426</w:t>
      </w:r>
      <w:proofErr w:type="gramEnd"/>
      <w:r w:rsidRPr="007B53E4">
        <w:rPr>
          <w:rFonts w:ascii="Arial" w:hAnsi="Arial" w:cs="Arial"/>
          <w:sz w:val="20"/>
          <w:szCs w:val="20"/>
          <w:lang w:val="en-GB"/>
        </w:rPr>
        <w:t>–31.</w:t>
      </w:r>
    </w:p>
    <w:p w14:paraId="42787268" w14:textId="77777777" w:rsidR="006015B8" w:rsidRPr="007B53E4" w:rsidRDefault="006015B8" w:rsidP="006015B8">
      <w:pPr>
        <w:pStyle w:val="ListParagraph"/>
        <w:numPr>
          <w:ilvl w:val="0"/>
          <w:numId w:val="2"/>
        </w:numPr>
        <w:spacing w:line="360" w:lineRule="auto"/>
        <w:rPr>
          <w:rFonts w:ascii="Arial" w:hAnsi="Arial" w:cs="Arial"/>
          <w:sz w:val="20"/>
          <w:szCs w:val="20"/>
          <w:lang w:val="en-GB"/>
        </w:rPr>
      </w:pPr>
      <w:r w:rsidRPr="007B53E4">
        <w:rPr>
          <w:rFonts w:ascii="Arial" w:hAnsi="Arial" w:cs="Arial"/>
          <w:sz w:val="20"/>
          <w:szCs w:val="20"/>
          <w:lang w:val="en-GB"/>
        </w:rPr>
        <w:t xml:space="preserve">Population and Housing Census of Malaysia: Malaysian Department of </w:t>
      </w:r>
      <w:proofErr w:type="gramStart"/>
      <w:r w:rsidRPr="007B53E4">
        <w:rPr>
          <w:rFonts w:ascii="Arial" w:hAnsi="Arial" w:cs="Arial"/>
          <w:sz w:val="20"/>
          <w:szCs w:val="20"/>
          <w:lang w:val="en-GB"/>
        </w:rPr>
        <w:t>Statistics ;</w:t>
      </w:r>
      <w:proofErr w:type="gramEnd"/>
      <w:r w:rsidRPr="007B53E4">
        <w:rPr>
          <w:rFonts w:ascii="Arial" w:hAnsi="Arial" w:cs="Arial"/>
          <w:sz w:val="20"/>
          <w:szCs w:val="20"/>
          <w:lang w:val="en-GB"/>
        </w:rPr>
        <w:t xml:space="preserve"> 2020 [Available from : https://tableau.dosm.gov.my/t/BPPDBahagianperangkaanpendudukdanDemografi/views/MyCenDash/PAPARANUTAMA?%3Aembed=y&amp;%3AisGuestRedirectFromVizportal=y&amp;%3Aorigin=card_share_link] (Accessed 20</w:t>
      </w:r>
      <w:r w:rsidRPr="007B53E4">
        <w:rPr>
          <w:rFonts w:ascii="Arial" w:hAnsi="Arial" w:cs="Arial"/>
          <w:sz w:val="20"/>
          <w:szCs w:val="20"/>
          <w:vertAlign w:val="superscript"/>
          <w:lang w:val="en-GB"/>
        </w:rPr>
        <w:t>th</w:t>
      </w:r>
      <w:r w:rsidRPr="007B53E4">
        <w:rPr>
          <w:rFonts w:ascii="Arial" w:hAnsi="Arial" w:cs="Arial"/>
          <w:sz w:val="20"/>
          <w:szCs w:val="20"/>
          <w:lang w:val="en-GB"/>
        </w:rPr>
        <w:t xml:space="preserve"> February 2022)</w:t>
      </w:r>
    </w:p>
    <w:p w14:paraId="21C9E683" w14:textId="77777777" w:rsidR="006015B8" w:rsidRPr="007B53E4" w:rsidRDefault="006015B8" w:rsidP="006015B8">
      <w:pPr>
        <w:pStyle w:val="ListParagraph"/>
        <w:numPr>
          <w:ilvl w:val="0"/>
          <w:numId w:val="2"/>
        </w:numPr>
        <w:spacing w:after="0" w:line="360" w:lineRule="auto"/>
        <w:rPr>
          <w:rFonts w:ascii="Arial" w:eastAsia="Times New Roman" w:hAnsi="Arial" w:cs="Arial"/>
          <w:sz w:val="20"/>
          <w:szCs w:val="20"/>
          <w:lang w:val="en-GB" w:eastAsia="en-MY"/>
        </w:rPr>
      </w:pPr>
      <w:proofErr w:type="spellStart"/>
      <w:r w:rsidRPr="007B53E4">
        <w:rPr>
          <w:rFonts w:ascii="Arial" w:eastAsia="Times New Roman" w:hAnsi="Arial" w:cs="Arial"/>
          <w:sz w:val="20"/>
          <w:szCs w:val="20"/>
          <w:lang w:val="en-GB" w:eastAsia="en-MY"/>
        </w:rPr>
        <w:t>Hwok</w:t>
      </w:r>
      <w:proofErr w:type="spellEnd"/>
      <w:r w:rsidRPr="007B53E4">
        <w:rPr>
          <w:rFonts w:ascii="Arial" w:eastAsia="Times New Roman" w:hAnsi="Arial" w:cs="Arial"/>
          <w:sz w:val="20"/>
          <w:szCs w:val="20"/>
          <w:lang w:val="en-GB" w:eastAsia="en-MY"/>
        </w:rPr>
        <w:t>-Aun L. Affirmative Action in Malaysia: Education and Employment Outcomes since the 1990s. J. Contempt Asia, 2012;42(2):230–254. https://doi.org/10.1080/09500782.2012.668350</w:t>
      </w:r>
    </w:p>
    <w:p w14:paraId="599CE430"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color w:val="303030"/>
          <w:sz w:val="20"/>
          <w:szCs w:val="20"/>
          <w:shd w:val="clear" w:color="auto" w:fill="FFFFFF"/>
          <w:lang w:val="en-GB"/>
        </w:rPr>
        <w:t>Kim SJ, Port AD, Swan R, Campbell JP, Chan RVP, Chiang MF. Retinopathy of prematurity: a review of risk factors and their clinical significance. </w:t>
      </w:r>
      <w:proofErr w:type="spellStart"/>
      <w:r w:rsidRPr="007B53E4">
        <w:rPr>
          <w:rFonts w:ascii="Arial" w:hAnsi="Arial" w:cs="Arial"/>
          <w:color w:val="303030"/>
          <w:sz w:val="20"/>
          <w:szCs w:val="20"/>
          <w:shd w:val="clear" w:color="auto" w:fill="FFFFFF"/>
          <w:lang w:val="en-GB"/>
        </w:rPr>
        <w:t>Surv</w:t>
      </w:r>
      <w:proofErr w:type="spellEnd"/>
      <w:r w:rsidRPr="007B53E4">
        <w:rPr>
          <w:rFonts w:ascii="Arial" w:hAnsi="Arial" w:cs="Arial"/>
          <w:color w:val="303030"/>
          <w:sz w:val="20"/>
          <w:szCs w:val="20"/>
          <w:shd w:val="clear" w:color="auto" w:fill="FFFFFF"/>
          <w:lang w:val="en-GB"/>
        </w:rPr>
        <w:t xml:space="preserve"> </w:t>
      </w:r>
      <w:proofErr w:type="spellStart"/>
      <w:r w:rsidRPr="007B53E4">
        <w:rPr>
          <w:rFonts w:ascii="Arial" w:hAnsi="Arial" w:cs="Arial"/>
          <w:color w:val="303030"/>
          <w:sz w:val="20"/>
          <w:szCs w:val="20"/>
          <w:shd w:val="clear" w:color="auto" w:fill="FFFFFF"/>
          <w:lang w:val="en-GB"/>
        </w:rPr>
        <w:t>Ophthalmol</w:t>
      </w:r>
      <w:proofErr w:type="spellEnd"/>
      <w:r w:rsidRPr="007B53E4">
        <w:rPr>
          <w:rFonts w:ascii="Arial" w:hAnsi="Arial" w:cs="Arial"/>
          <w:color w:val="303030"/>
          <w:sz w:val="20"/>
          <w:szCs w:val="20"/>
          <w:shd w:val="clear" w:color="auto" w:fill="FFFFFF"/>
          <w:lang w:val="en-GB"/>
        </w:rPr>
        <w:t>. 2018;63(5):618-637</w:t>
      </w:r>
    </w:p>
    <w:p w14:paraId="72EAF2E8" w14:textId="77777777" w:rsidR="006015B8" w:rsidRPr="007B53E4" w:rsidRDefault="006015B8" w:rsidP="006015B8">
      <w:pPr>
        <w:pStyle w:val="ListParagraph"/>
        <w:numPr>
          <w:ilvl w:val="0"/>
          <w:numId w:val="2"/>
        </w:numPr>
        <w:spacing w:line="360" w:lineRule="auto"/>
        <w:rPr>
          <w:rFonts w:ascii="Arial" w:hAnsi="Arial" w:cs="Arial"/>
          <w:sz w:val="20"/>
          <w:szCs w:val="20"/>
          <w:lang w:val="en-GB"/>
        </w:rPr>
      </w:pPr>
      <w:r w:rsidRPr="007B53E4">
        <w:rPr>
          <w:rFonts w:ascii="Arial" w:hAnsi="Arial" w:cs="Arial"/>
          <w:sz w:val="20"/>
          <w:szCs w:val="20"/>
          <w:lang w:val="en-GB"/>
        </w:rPr>
        <w:t>Guideline for the screening and treatment of retinopathy of prematurity UK: Royal College of Paediatrics and Child Health; 2008 [Available from: http://www.rcpch.ac.uk/system/files/protected/page/ROP%20Guideline%20- %20Jul08%20final.pdf.] (Accessed 20</w:t>
      </w:r>
      <w:r w:rsidRPr="007B53E4">
        <w:rPr>
          <w:rFonts w:ascii="Arial" w:hAnsi="Arial" w:cs="Arial"/>
          <w:sz w:val="20"/>
          <w:szCs w:val="20"/>
          <w:vertAlign w:val="superscript"/>
          <w:lang w:val="en-GB"/>
        </w:rPr>
        <w:t>th</w:t>
      </w:r>
      <w:r w:rsidRPr="007B53E4">
        <w:rPr>
          <w:rFonts w:ascii="Arial" w:hAnsi="Arial" w:cs="Arial"/>
          <w:sz w:val="20"/>
          <w:szCs w:val="20"/>
          <w:lang w:val="en-GB"/>
        </w:rPr>
        <w:t xml:space="preserve"> February 2022)</w:t>
      </w:r>
    </w:p>
    <w:p w14:paraId="3A759695"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sz w:val="20"/>
          <w:szCs w:val="20"/>
          <w:lang w:val="en-GB"/>
        </w:rPr>
        <w:t xml:space="preserve">Jalali S, </w:t>
      </w:r>
      <w:proofErr w:type="spellStart"/>
      <w:r w:rsidRPr="007B53E4">
        <w:rPr>
          <w:rFonts w:ascii="Arial" w:hAnsi="Arial" w:cs="Arial"/>
          <w:sz w:val="20"/>
          <w:szCs w:val="20"/>
          <w:lang w:val="en-GB"/>
        </w:rPr>
        <w:t>Kesarwani</w:t>
      </w:r>
      <w:proofErr w:type="spellEnd"/>
      <w:r w:rsidRPr="007B53E4">
        <w:rPr>
          <w:rFonts w:ascii="Arial" w:hAnsi="Arial" w:cs="Arial"/>
          <w:sz w:val="20"/>
          <w:szCs w:val="20"/>
          <w:lang w:val="en-GB"/>
        </w:rPr>
        <w:t xml:space="preserve"> S, Hussain A. Outcomes of a protocol-based management for zone 1 retinopathy of prematurity: the Indian Twin Cities ROP Screening Program report number 2. Am J </w:t>
      </w:r>
      <w:proofErr w:type="spellStart"/>
      <w:r w:rsidRPr="007B53E4">
        <w:rPr>
          <w:rFonts w:ascii="Arial" w:hAnsi="Arial" w:cs="Arial"/>
          <w:sz w:val="20"/>
          <w:szCs w:val="20"/>
          <w:lang w:val="en-GB"/>
        </w:rPr>
        <w:t>Ophthalmol</w:t>
      </w:r>
      <w:proofErr w:type="spellEnd"/>
      <w:r w:rsidRPr="007B53E4">
        <w:rPr>
          <w:rFonts w:ascii="Arial" w:hAnsi="Arial" w:cs="Arial"/>
          <w:sz w:val="20"/>
          <w:szCs w:val="20"/>
          <w:lang w:val="en-GB"/>
        </w:rPr>
        <w:t xml:space="preserve"> 2011; 151:719–24. e2. </w:t>
      </w:r>
    </w:p>
    <w:p w14:paraId="4C1EA5F9"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sz w:val="20"/>
          <w:szCs w:val="20"/>
          <w:lang w:val="en-GB"/>
        </w:rPr>
        <w:t>Chen Y, Feng J, Li FT, et al. Analysis of changes in characteristics of severe retinopathy of prematurity patients after screening guidelines were issued in China. Retina 2015; 35:1674–9.</w:t>
      </w:r>
    </w:p>
    <w:p w14:paraId="4ED2251C"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proofErr w:type="spellStart"/>
      <w:r w:rsidRPr="007B53E4">
        <w:rPr>
          <w:rFonts w:ascii="Arial" w:hAnsi="Arial" w:cs="Arial"/>
          <w:sz w:val="20"/>
          <w:szCs w:val="20"/>
          <w:lang w:val="en-GB"/>
        </w:rPr>
        <w:t>Gharaibeh</w:t>
      </w:r>
      <w:proofErr w:type="spellEnd"/>
      <w:r w:rsidRPr="007B53E4">
        <w:rPr>
          <w:rFonts w:ascii="Arial" w:hAnsi="Arial" w:cs="Arial"/>
          <w:sz w:val="20"/>
          <w:szCs w:val="20"/>
          <w:lang w:val="en-GB"/>
        </w:rPr>
        <w:t xml:space="preserve"> A, </w:t>
      </w:r>
      <w:proofErr w:type="spellStart"/>
      <w:r w:rsidRPr="007B53E4">
        <w:rPr>
          <w:rFonts w:ascii="Arial" w:hAnsi="Arial" w:cs="Arial"/>
          <w:sz w:val="20"/>
          <w:szCs w:val="20"/>
          <w:lang w:val="en-GB"/>
        </w:rPr>
        <w:t>Khassawneh</w:t>
      </w:r>
      <w:proofErr w:type="spellEnd"/>
      <w:r w:rsidRPr="007B53E4">
        <w:rPr>
          <w:rFonts w:ascii="Arial" w:hAnsi="Arial" w:cs="Arial"/>
          <w:sz w:val="20"/>
          <w:szCs w:val="20"/>
          <w:lang w:val="en-GB"/>
        </w:rPr>
        <w:t xml:space="preserve"> M, </w:t>
      </w:r>
      <w:proofErr w:type="spellStart"/>
      <w:r w:rsidRPr="007B53E4">
        <w:rPr>
          <w:rFonts w:ascii="Arial" w:hAnsi="Arial" w:cs="Arial"/>
          <w:sz w:val="20"/>
          <w:szCs w:val="20"/>
          <w:lang w:val="en-GB"/>
        </w:rPr>
        <w:t>Khriesat</w:t>
      </w:r>
      <w:proofErr w:type="spellEnd"/>
      <w:r w:rsidRPr="007B53E4">
        <w:rPr>
          <w:rFonts w:ascii="Arial" w:hAnsi="Arial" w:cs="Arial"/>
          <w:sz w:val="20"/>
          <w:szCs w:val="20"/>
          <w:lang w:val="en-GB"/>
        </w:rPr>
        <w:t xml:space="preserve"> W, et al. Adopting western retinopathy of prematurity screening programs in eastern countries, are we screening properly? Middle East </w:t>
      </w:r>
      <w:proofErr w:type="spellStart"/>
      <w:r w:rsidRPr="007B53E4">
        <w:rPr>
          <w:rFonts w:ascii="Arial" w:hAnsi="Arial" w:cs="Arial"/>
          <w:sz w:val="20"/>
          <w:szCs w:val="20"/>
          <w:lang w:val="en-GB"/>
        </w:rPr>
        <w:t>Afr</w:t>
      </w:r>
      <w:proofErr w:type="spellEnd"/>
      <w:r w:rsidRPr="007B53E4">
        <w:rPr>
          <w:rFonts w:ascii="Arial" w:hAnsi="Arial" w:cs="Arial"/>
          <w:sz w:val="20"/>
          <w:szCs w:val="20"/>
          <w:lang w:val="en-GB"/>
        </w:rPr>
        <w:t xml:space="preserve"> J </w:t>
      </w:r>
      <w:proofErr w:type="spellStart"/>
      <w:r w:rsidRPr="007B53E4">
        <w:rPr>
          <w:rFonts w:ascii="Arial" w:hAnsi="Arial" w:cs="Arial"/>
          <w:sz w:val="20"/>
          <w:szCs w:val="20"/>
          <w:lang w:val="en-GB"/>
        </w:rPr>
        <w:t>Ophthalmol</w:t>
      </w:r>
      <w:proofErr w:type="spellEnd"/>
      <w:r w:rsidRPr="007B53E4">
        <w:rPr>
          <w:rFonts w:ascii="Arial" w:hAnsi="Arial" w:cs="Arial"/>
          <w:sz w:val="20"/>
          <w:szCs w:val="20"/>
          <w:lang w:val="en-GB"/>
        </w:rPr>
        <w:t xml:space="preserve"> 2011; 18:209–13. </w:t>
      </w:r>
    </w:p>
    <w:p w14:paraId="6EE69356"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sz w:val="20"/>
          <w:szCs w:val="20"/>
          <w:lang w:val="en-GB"/>
        </w:rPr>
        <w:t xml:space="preserve">Chen L, Ming S, Ren SG et al. Analysis of current status and strategies of retinopathy of prematurity screening during 6 years in local regions of China: implication and caution. J </w:t>
      </w:r>
      <w:proofErr w:type="spellStart"/>
      <w:r w:rsidRPr="007B53E4">
        <w:rPr>
          <w:rFonts w:ascii="Arial" w:hAnsi="Arial" w:cs="Arial"/>
          <w:sz w:val="20"/>
          <w:szCs w:val="20"/>
          <w:lang w:val="en-GB"/>
        </w:rPr>
        <w:t>Ophthalmol</w:t>
      </w:r>
      <w:proofErr w:type="spellEnd"/>
      <w:r w:rsidRPr="007B53E4">
        <w:rPr>
          <w:rFonts w:ascii="Arial" w:hAnsi="Arial" w:cs="Arial"/>
          <w:sz w:val="20"/>
          <w:szCs w:val="20"/>
          <w:lang w:val="en-GB"/>
        </w:rPr>
        <w:t xml:space="preserve"> 2014; 2014:756059 </w:t>
      </w:r>
      <w:hyperlink r:id="rId6" w:history="1">
        <w:r w:rsidRPr="007B53E4">
          <w:rPr>
            <w:rStyle w:val="Hyperlink"/>
            <w:rFonts w:ascii="Arial" w:hAnsi="Arial" w:cs="Arial"/>
            <w:sz w:val="20"/>
            <w:szCs w:val="20"/>
            <w:shd w:val="clear" w:color="auto" w:fill="FFFFFF"/>
            <w:lang w:val="en-GB"/>
          </w:rPr>
          <w:t>doi:10.1155/2014/756059</w:t>
        </w:r>
      </w:hyperlink>
    </w:p>
    <w:p w14:paraId="1EAF473A"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color w:val="333333"/>
          <w:sz w:val="20"/>
          <w:szCs w:val="20"/>
          <w:shd w:val="clear" w:color="auto" w:fill="FFFFFF"/>
          <w:lang w:val="en-GB"/>
        </w:rPr>
        <w:t xml:space="preserve">McClymont E, Albert AY, Alton GD, et al. Association of SARS-CoV-2 Infection During Pregnancy </w:t>
      </w:r>
      <w:proofErr w:type="gramStart"/>
      <w:r w:rsidRPr="007B53E4">
        <w:rPr>
          <w:rFonts w:ascii="Arial" w:hAnsi="Arial" w:cs="Arial"/>
          <w:color w:val="333333"/>
          <w:sz w:val="20"/>
          <w:szCs w:val="20"/>
          <w:shd w:val="clear" w:color="auto" w:fill="FFFFFF"/>
          <w:lang w:val="en-GB"/>
        </w:rPr>
        <w:t>With</w:t>
      </w:r>
      <w:proofErr w:type="gramEnd"/>
      <w:r w:rsidRPr="007B53E4">
        <w:rPr>
          <w:rFonts w:ascii="Arial" w:hAnsi="Arial" w:cs="Arial"/>
          <w:color w:val="333333"/>
          <w:sz w:val="20"/>
          <w:szCs w:val="20"/>
          <w:shd w:val="clear" w:color="auto" w:fill="FFFFFF"/>
          <w:lang w:val="en-GB"/>
        </w:rPr>
        <w:t xml:space="preserve"> Maternal and Perinatal Outcomes. </w:t>
      </w:r>
      <w:r w:rsidRPr="007B53E4">
        <w:rPr>
          <w:rStyle w:val="Emphasis"/>
          <w:rFonts w:ascii="Arial" w:hAnsi="Arial" w:cs="Arial"/>
          <w:i w:val="0"/>
          <w:iCs w:val="0"/>
          <w:color w:val="333333"/>
          <w:sz w:val="20"/>
          <w:szCs w:val="20"/>
          <w:shd w:val="clear" w:color="auto" w:fill="FFFFFF"/>
          <w:lang w:val="en-GB"/>
        </w:rPr>
        <w:t>JAMA.</w:t>
      </w:r>
      <w:r w:rsidRPr="007B53E4">
        <w:rPr>
          <w:rFonts w:ascii="Arial" w:hAnsi="Arial" w:cs="Arial"/>
          <w:color w:val="333333"/>
          <w:sz w:val="20"/>
          <w:szCs w:val="20"/>
          <w:shd w:val="clear" w:color="auto" w:fill="FFFFFF"/>
          <w:lang w:val="en-GB"/>
        </w:rPr>
        <w:t> 2022;327(20):1983–1991. doi:10.1001/jama.2022.5906</w:t>
      </w:r>
    </w:p>
    <w:p w14:paraId="454C2EA6"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sz w:val="20"/>
          <w:szCs w:val="20"/>
          <w:lang w:val="en-GB"/>
        </w:rPr>
        <w:t>Shah PS, Ye XY, Yang J, Campitelli MA. Preterm birth and stillbirth rates during the COVID-19 pandemic: a population-based cohort study. CMAJ. 2021;193(30</w:t>
      </w:r>
      <w:proofErr w:type="gramStart"/>
      <w:r w:rsidRPr="007B53E4">
        <w:rPr>
          <w:rFonts w:ascii="Arial" w:hAnsi="Arial" w:cs="Arial"/>
          <w:sz w:val="20"/>
          <w:szCs w:val="20"/>
          <w:lang w:val="en-GB"/>
        </w:rPr>
        <w:t>):E</w:t>
      </w:r>
      <w:proofErr w:type="gramEnd"/>
      <w:r w:rsidRPr="007B53E4">
        <w:rPr>
          <w:rFonts w:ascii="Arial" w:hAnsi="Arial" w:cs="Arial"/>
          <w:sz w:val="20"/>
          <w:szCs w:val="20"/>
          <w:lang w:val="en-GB"/>
        </w:rPr>
        <w:t>1164-E1172. doi:10.1503/cmaj.210081</w:t>
      </w:r>
    </w:p>
    <w:p w14:paraId="16A66116"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proofErr w:type="spellStart"/>
      <w:r w:rsidRPr="007B53E4">
        <w:rPr>
          <w:rFonts w:ascii="Arial" w:hAnsi="Arial" w:cs="Arial"/>
          <w:sz w:val="20"/>
          <w:szCs w:val="20"/>
          <w:lang w:val="en-GB"/>
        </w:rPr>
        <w:t>Palmsten</w:t>
      </w:r>
      <w:proofErr w:type="spellEnd"/>
      <w:r w:rsidRPr="007B53E4">
        <w:rPr>
          <w:rFonts w:ascii="Arial" w:hAnsi="Arial" w:cs="Arial"/>
          <w:sz w:val="20"/>
          <w:szCs w:val="20"/>
          <w:lang w:val="en-GB"/>
        </w:rPr>
        <w:t xml:space="preserve"> K, Vazquez-Benitez G, Kharbanda EO. Point: uncertainty about estimating the risks of COVID-19 during pregnancy. </w:t>
      </w:r>
      <w:proofErr w:type="spellStart"/>
      <w:r w:rsidRPr="007B53E4">
        <w:rPr>
          <w:rFonts w:ascii="Arial" w:hAnsi="Arial" w:cs="Arial"/>
          <w:sz w:val="20"/>
          <w:szCs w:val="20"/>
          <w:lang w:val="en-GB"/>
        </w:rPr>
        <w:t>Paediatr</w:t>
      </w:r>
      <w:proofErr w:type="spellEnd"/>
      <w:r w:rsidRPr="007B53E4">
        <w:rPr>
          <w:rFonts w:ascii="Arial" w:hAnsi="Arial" w:cs="Arial"/>
          <w:sz w:val="20"/>
          <w:szCs w:val="20"/>
          <w:lang w:val="en-GB"/>
        </w:rPr>
        <w:t xml:space="preserve"> Perinat </w:t>
      </w:r>
      <w:proofErr w:type="spellStart"/>
      <w:r w:rsidRPr="007B53E4">
        <w:rPr>
          <w:rFonts w:ascii="Arial" w:hAnsi="Arial" w:cs="Arial"/>
          <w:sz w:val="20"/>
          <w:szCs w:val="20"/>
          <w:lang w:val="en-GB"/>
        </w:rPr>
        <w:t>Epidemiol</w:t>
      </w:r>
      <w:proofErr w:type="spellEnd"/>
      <w:r w:rsidRPr="007B53E4">
        <w:rPr>
          <w:rFonts w:ascii="Arial" w:hAnsi="Arial" w:cs="Arial"/>
          <w:sz w:val="20"/>
          <w:szCs w:val="20"/>
          <w:lang w:val="en-GB"/>
        </w:rPr>
        <w:t>. 2021; 00:1-3. doi:10.1111/ppe.12773</w:t>
      </w:r>
    </w:p>
    <w:p w14:paraId="07E7471D" w14:textId="77777777" w:rsidR="006015B8" w:rsidRPr="007B53E4"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sz w:val="20"/>
          <w:szCs w:val="20"/>
          <w:lang w:val="en-GB"/>
        </w:rPr>
        <w:t xml:space="preserve">Fielder AR, Haines L, Scrivener R, et al. Royal Colleges of Ophthalmologists and Paediatrics and Child Health, and the British Association of Perinatal Medicine. Retinopathy of </w:t>
      </w:r>
      <w:r w:rsidRPr="007B53E4">
        <w:rPr>
          <w:rFonts w:ascii="Arial" w:hAnsi="Arial" w:cs="Arial"/>
          <w:sz w:val="20"/>
          <w:szCs w:val="20"/>
          <w:lang w:val="en-GB"/>
        </w:rPr>
        <w:lastRenderedPageBreak/>
        <w:t xml:space="preserve">prematurity in the UK II: audit of national guidelines for screening and treatment. Eye (Lond) 2002; 16:285–91. </w:t>
      </w:r>
    </w:p>
    <w:p w14:paraId="4E9FC6E7" w14:textId="77777777" w:rsidR="006015B8" w:rsidRPr="00A94F58" w:rsidRDefault="006015B8" w:rsidP="006015B8">
      <w:pPr>
        <w:pStyle w:val="ListParagraph"/>
        <w:numPr>
          <w:ilvl w:val="0"/>
          <w:numId w:val="2"/>
        </w:numPr>
        <w:spacing w:line="360" w:lineRule="auto"/>
        <w:jc w:val="both"/>
        <w:rPr>
          <w:rFonts w:ascii="Arial" w:hAnsi="Arial" w:cs="Arial"/>
          <w:sz w:val="20"/>
          <w:szCs w:val="20"/>
          <w:lang w:val="en-GB"/>
        </w:rPr>
      </w:pPr>
      <w:r w:rsidRPr="007B53E4">
        <w:rPr>
          <w:rFonts w:ascii="Arial" w:hAnsi="Arial" w:cs="Arial"/>
          <w:sz w:val="20"/>
          <w:szCs w:val="20"/>
          <w:lang w:val="en-GB"/>
        </w:rPr>
        <w:t xml:space="preserve">Ziakas NG, Cottrell DG, Milligan DWA, et al. Regionalisation of retinopathy of prematurity screening improves compliance with guidelines: an audit of ROP screening in the Northern Region of England. Br J </w:t>
      </w:r>
      <w:proofErr w:type="spellStart"/>
      <w:r w:rsidRPr="007B53E4">
        <w:rPr>
          <w:rFonts w:ascii="Arial" w:hAnsi="Arial" w:cs="Arial"/>
          <w:sz w:val="20"/>
          <w:szCs w:val="20"/>
          <w:lang w:val="en-GB"/>
        </w:rPr>
        <w:t>Ophthalmol</w:t>
      </w:r>
      <w:proofErr w:type="spellEnd"/>
      <w:r w:rsidRPr="007B53E4">
        <w:rPr>
          <w:rFonts w:ascii="Arial" w:hAnsi="Arial" w:cs="Arial"/>
          <w:sz w:val="20"/>
          <w:szCs w:val="20"/>
          <w:lang w:val="en-GB"/>
        </w:rPr>
        <w:t xml:space="preserve"> 2001; 85:807–1</w:t>
      </w:r>
    </w:p>
    <w:p w14:paraId="629E5B91" w14:textId="77777777" w:rsidR="006015B8" w:rsidRDefault="006015B8" w:rsidP="006015B8">
      <w:pPr>
        <w:spacing w:line="360" w:lineRule="auto"/>
        <w:jc w:val="both"/>
        <w:rPr>
          <w:rFonts w:ascii="Arial" w:hAnsi="Arial" w:cs="Arial"/>
          <w:sz w:val="20"/>
          <w:szCs w:val="20"/>
          <w:lang w:val="en-GB"/>
        </w:rPr>
      </w:pPr>
    </w:p>
    <w:p w14:paraId="702BA6BC" w14:textId="77777777" w:rsidR="006015B8" w:rsidRDefault="006015B8" w:rsidP="006015B8">
      <w:pPr>
        <w:spacing w:line="360" w:lineRule="auto"/>
        <w:jc w:val="both"/>
        <w:rPr>
          <w:rFonts w:ascii="Arial" w:hAnsi="Arial" w:cs="Arial"/>
          <w:sz w:val="20"/>
          <w:szCs w:val="20"/>
          <w:lang w:val="en-GB"/>
        </w:rPr>
      </w:pPr>
    </w:p>
    <w:p w14:paraId="55A86B10" w14:textId="77777777" w:rsidR="006015B8" w:rsidRDefault="006015B8" w:rsidP="006015B8">
      <w:pPr>
        <w:spacing w:line="360" w:lineRule="auto"/>
        <w:jc w:val="both"/>
        <w:rPr>
          <w:rFonts w:ascii="Arial" w:hAnsi="Arial" w:cs="Arial"/>
          <w:sz w:val="20"/>
          <w:szCs w:val="20"/>
          <w:lang w:val="en-GB"/>
        </w:rPr>
      </w:pPr>
    </w:p>
    <w:p w14:paraId="452355B6" w14:textId="77777777" w:rsidR="006015B8" w:rsidRDefault="006015B8" w:rsidP="006015B8">
      <w:pPr>
        <w:spacing w:line="360" w:lineRule="auto"/>
        <w:jc w:val="both"/>
        <w:rPr>
          <w:rFonts w:ascii="Arial" w:hAnsi="Arial" w:cs="Arial"/>
          <w:sz w:val="20"/>
          <w:szCs w:val="20"/>
          <w:lang w:val="en-GB"/>
        </w:rPr>
      </w:pPr>
    </w:p>
    <w:p w14:paraId="026E5A9B" w14:textId="77777777" w:rsidR="006015B8" w:rsidRDefault="006015B8" w:rsidP="006015B8">
      <w:pPr>
        <w:spacing w:line="360" w:lineRule="auto"/>
        <w:jc w:val="both"/>
        <w:rPr>
          <w:rFonts w:ascii="Arial" w:hAnsi="Arial" w:cs="Arial"/>
          <w:sz w:val="20"/>
          <w:szCs w:val="20"/>
          <w:lang w:val="en-GB"/>
        </w:rPr>
      </w:pPr>
    </w:p>
    <w:p w14:paraId="52788F66" w14:textId="77777777" w:rsidR="006015B8" w:rsidRDefault="006015B8" w:rsidP="006015B8">
      <w:pPr>
        <w:spacing w:line="360" w:lineRule="auto"/>
        <w:jc w:val="both"/>
        <w:rPr>
          <w:rFonts w:ascii="Arial" w:hAnsi="Arial" w:cs="Arial"/>
          <w:sz w:val="20"/>
          <w:szCs w:val="20"/>
          <w:lang w:val="en-GB"/>
        </w:rPr>
      </w:pPr>
    </w:p>
    <w:p w14:paraId="1395108A" w14:textId="77777777" w:rsidR="006015B8" w:rsidRDefault="006015B8" w:rsidP="006015B8">
      <w:pPr>
        <w:spacing w:line="360" w:lineRule="auto"/>
        <w:jc w:val="both"/>
        <w:rPr>
          <w:rFonts w:ascii="Arial" w:hAnsi="Arial" w:cs="Arial"/>
          <w:sz w:val="20"/>
          <w:szCs w:val="20"/>
          <w:lang w:val="en-GB"/>
        </w:rPr>
      </w:pPr>
    </w:p>
    <w:p w14:paraId="4A7ADD34" w14:textId="77777777" w:rsidR="006015B8" w:rsidRDefault="006015B8" w:rsidP="006015B8">
      <w:pPr>
        <w:spacing w:line="360" w:lineRule="auto"/>
        <w:jc w:val="both"/>
        <w:rPr>
          <w:rFonts w:ascii="Arial" w:hAnsi="Arial" w:cs="Arial"/>
          <w:sz w:val="20"/>
          <w:szCs w:val="20"/>
          <w:lang w:val="en-GB"/>
        </w:rPr>
      </w:pPr>
    </w:p>
    <w:p w14:paraId="127EC92E" w14:textId="77777777" w:rsidR="006015B8" w:rsidRDefault="006015B8" w:rsidP="006015B8">
      <w:pPr>
        <w:spacing w:line="360" w:lineRule="auto"/>
        <w:jc w:val="both"/>
        <w:rPr>
          <w:rFonts w:ascii="Arial" w:hAnsi="Arial" w:cs="Arial"/>
          <w:sz w:val="20"/>
          <w:szCs w:val="20"/>
          <w:lang w:val="en-GB"/>
        </w:rPr>
      </w:pPr>
    </w:p>
    <w:p w14:paraId="72FD71B9" w14:textId="77777777" w:rsidR="006015B8" w:rsidRDefault="006015B8" w:rsidP="006015B8">
      <w:pPr>
        <w:spacing w:line="360" w:lineRule="auto"/>
        <w:jc w:val="both"/>
        <w:rPr>
          <w:rFonts w:ascii="Arial" w:hAnsi="Arial" w:cs="Arial"/>
          <w:sz w:val="20"/>
          <w:szCs w:val="20"/>
          <w:lang w:val="en-GB"/>
        </w:rPr>
      </w:pPr>
    </w:p>
    <w:p w14:paraId="3935B6FA" w14:textId="77777777" w:rsidR="006015B8" w:rsidRDefault="006015B8" w:rsidP="006015B8">
      <w:pPr>
        <w:spacing w:line="360" w:lineRule="auto"/>
        <w:jc w:val="both"/>
        <w:rPr>
          <w:rFonts w:ascii="Arial" w:hAnsi="Arial" w:cs="Arial"/>
          <w:sz w:val="20"/>
          <w:szCs w:val="20"/>
          <w:lang w:val="en-GB"/>
        </w:rPr>
      </w:pPr>
    </w:p>
    <w:p w14:paraId="51588308" w14:textId="77777777" w:rsidR="006015B8" w:rsidRDefault="006015B8" w:rsidP="006015B8">
      <w:pPr>
        <w:spacing w:line="360" w:lineRule="auto"/>
        <w:jc w:val="both"/>
        <w:rPr>
          <w:rFonts w:ascii="Arial" w:hAnsi="Arial" w:cs="Arial"/>
          <w:sz w:val="20"/>
          <w:szCs w:val="20"/>
          <w:lang w:val="en-GB"/>
        </w:rPr>
      </w:pPr>
    </w:p>
    <w:p w14:paraId="7C91A1E7" w14:textId="77777777" w:rsidR="006015B8" w:rsidRDefault="006015B8" w:rsidP="006015B8">
      <w:pPr>
        <w:spacing w:line="360" w:lineRule="auto"/>
        <w:jc w:val="both"/>
        <w:rPr>
          <w:rFonts w:ascii="Arial" w:hAnsi="Arial" w:cs="Arial"/>
          <w:sz w:val="20"/>
          <w:szCs w:val="20"/>
          <w:lang w:val="en-GB"/>
        </w:rPr>
      </w:pPr>
    </w:p>
    <w:p w14:paraId="7FBE1225" w14:textId="77777777" w:rsidR="006015B8" w:rsidRDefault="006015B8" w:rsidP="006015B8">
      <w:pPr>
        <w:spacing w:line="360" w:lineRule="auto"/>
        <w:jc w:val="both"/>
        <w:rPr>
          <w:rFonts w:ascii="Arial" w:hAnsi="Arial" w:cs="Arial"/>
          <w:sz w:val="20"/>
          <w:szCs w:val="20"/>
          <w:lang w:val="en-GB"/>
        </w:rPr>
      </w:pPr>
    </w:p>
    <w:p w14:paraId="3C7ACA2D" w14:textId="77777777" w:rsidR="006015B8" w:rsidRDefault="006015B8" w:rsidP="006015B8">
      <w:pPr>
        <w:spacing w:line="360" w:lineRule="auto"/>
        <w:jc w:val="both"/>
        <w:rPr>
          <w:rFonts w:ascii="Arial" w:hAnsi="Arial" w:cs="Arial"/>
          <w:sz w:val="20"/>
          <w:szCs w:val="20"/>
          <w:lang w:val="en-GB"/>
        </w:rPr>
      </w:pPr>
    </w:p>
    <w:p w14:paraId="315B8B7C" w14:textId="77777777" w:rsidR="006015B8" w:rsidRDefault="006015B8" w:rsidP="006015B8">
      <w:pPr>
        <w:spacing w:line="360" w:lineRule="auto"/>
        <w:jc w:val="both"/>
        <w:rPr>
          <w:rFonts w:ascii="Arial" w:hAnsi="Arial" w:cs="Arial"/>
          <w:sz w:val="20"/>
          <w:szCs w:val="20"/>
          <w:lang w:val="en-GB"/>
        </w:rPr>
      </w:pPr>
    </w:p>
    <w:p w14:paraId="28F76B76" w14:textId="77777777" w:rsidR="006015B8" w:rsidRDefault="006015B8" w:rsidP="006015B8">
      <w:pPr>
        <w:spacing w:line="360" w:lineRule="auto"/>
        <w:jc w:val="both"/>
        <w:rPr>
          <w:rFonts w:ascii="Arial" w:hAnsi="Arial" w:cs="Arial"/>
          <w:sz w:val="20"/>
          <w:szCs w:val="20"/>
          <w:lang w:val="en-GB"/>
        </w:rPr>
      </w:pPr>
    </w:p>
    <w:p w14:paraId="23E59CA1" w14:textId="77777777" w:rsidR="006015B8" w:rsidRDefault="006015B8" w:rsidP="006015B8">
      <w:pPr>
        <w:spacing w:line="360" w:lineRule="auto"/>
        <w:jc w:val="both"/>
        <w:rPr>
          <w:rFonts w:ascii="Arial" w:hAnsi="Arial" w:cs="Arial"/>
          <w:sz w:val="20"/>
          <w:szCs w:val="20"/>
          <w:lang w:val="en-GB"/>
        </w:rPr>
      </w:pPr>
    </w:p>
    <w:p w14:paraId="0A93A7A6" w14:textId="77777777" w:rsidR="006015B8" w:rsidRDefault="006015B8" w:rsidP="006015B8">
      <w:pPr>
        <w:spacing w:line="360" w:lineRule="auto"/>
        <w:jc w:val="both"/>
        <w:rPr>
          <w:rFonts w:ascii="Arial" w:hAnsi="Arial" w:cs="Arial"/>
          <w:sz w:val="20"/>
          <w:szCs w:val="20"/>
          <w:lang w:val="en-GB"/>
        </w:rPr>
      </w:pPr>
    </w:p>
    <w:p w14:paraId="77ADCFDD" w14:textId="77777777" w:rsidR="006015B8" w:rsidRDefault="006015B8" w:rsidP="006015B8">
      <w:pPr>
        <w:spacing w:line="360" w:lineRule="auto"/>
        <w:jc w:val="both"/>
        <w:rPr>
          <w:rFonts w:ascii="Arial" w:hAnsi="Arial" w:cs="Arial"/>
          <w:sz w:val="20"/>
          <w:szCs w:val="20"/>
          <w:lang w:val="en-GB"/>
        </w:rPr>
      </w:pPr>
    </w:p>
    <w:p w14:paraId="0DC45867" w14:textId="77777777" w:rsidR="006015B8" w:rsidRDefault="006015B8" w:rsidP="006015B8">
      <w:pPr>
        <w:spacing w:line="360" w:lineRule="auto"/>
        <w:jc w:val="both"/>
        <w:rPr>
          <w:rFonts w:ascii="Arial" w:hAnsi="Arial" w:cs="Arial"/>
          <w:sz w:val="20"/>
          <w:szCs w:val="20"/>
          <w:lang w:val="en-GB"/>
        </w:rPr>
      </w:pPr>
    </w:p>
    <w:p w14:paraId="7BC29782" w14:textId="77777777" w:rsidR="006015B8" w:rsidRDefault="006015B8" w:rsidP="006015B8">
      <w:pPr>
        <w:spacing w:line="360" w:lineRule="auto"/>
        <w:jc w:val="both"/>
        <w:rPr>
          <w:rFonts w:ascii="Arial" w:hAnsi="Arial" w:cs="Arial"/>
          <w:sz w:val="20"/>
          <w:szCs w:val="20"/>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495"/>
      </w:tblGrid>
      <w:tr w:rsidR="006015B8" w:rsidRPr="006F228D" w14:paraId="385057FE" w14:textId="77777777" w:rsidTr="005C0A4B">
        <w:trPr>
          <w:trHeight w:val="132"/>
        </w:trPr>
        <w:tc>
          <w:tcPr>
            <w:tcW w:w="9576" w:type="dxa"/>
            <w:gridSpan w:val="2"/>
            <w:tcBorders>
              <w:top w:val="single" w:sz="4" w:space="0" w:color="auto"/>
              <w:bottom w:val="single" w:sz="12" w:space="0" w:color="auto"/>
            </w:tcBorders>
          </w:tcPr>
          <w:p w14:paraId="779C0A9E" w14:textId="77777777" w:rsidR="006015B8" w:rsidRPr="0038545B" w:rsidRDefault="006015B8" w:rsidP="005C0A4B">
            <w:pPr>
              <w:spacing w:line="360" w:lineRule="auto"/>
              <w:jc w:val="both"/>
              <w:rPr>
                <w:rFonts w:ascii="Arial" w:hAnsi="Arial" w:cs="Arial"/>
                <w:sz w:val="20"/>
                <w:szCs w:val="20"/>
                <w:lang w:val="en-GB"/>
              </w:rPr>
            </w:pPr>
            <w:r w:rsidRPr="007B53E4">
              <w:rPr>
                <w:rFonts w:ascii="Arial" w:eastAsia="SimSun" w:hAnsi="Arial" w:cs="Arial"/>
                <w:sz w:val="20"/>
                <w:szCs w:val="20"/>
                <w:lang w:val="en-GB"/>
              </w:rPr>
              <w:lastRenderedPageBreak/>
              <w:t>Table 1 Demographics (N=26)</w:t>
            </w:r>
          </w:p>
        </w:tc>
      </w:tr>
      <w:tr w:rsidR="006015B8" w:rsidRPr="006F228D" w14:paraId="61869A5B" w14:textId="77777777" w:rsidTr="005C0A4B">
        <w:tc>
          <w:tcPr>
            <w:tcW w:w="4788" w:type="dxa"/>
            <w:tcBorders>
              <w:top w:val="single" w:sz="12" w:space="0" w:color="auto"/>
              <w:bottom w:val="single" w:sz="12" w:space="0" w:color="auto"/>
            </w:tcBorders>
          </w:tcPr>
          <w:p w14:paraId="7D4C8A34"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Variables</w:t>
            </w:r>
          </w:p>
        </w:tc>
        <w:tc>
          <w:tcPr>
            <w:tcW w:w="4788" w:type="dxa"/>
            <w:tcBorders>
              <w:top w:val="single" w:sz="12" w:space="0" w:color="auto"/>
              <w:bottom w:val="single" w:sz="12" w:space="0" w:color="auto"/>
            </w:tcBorders>
          </w:tcPr>
          <w:p w14:paraId="7C5EF269"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N (%)</w:t>
            </w:r>
          </w:p>
        </w:tc>
      </w:tr>
      <w:tr w:rsidR="006015B8" w:rsidRPr="006F228D" w14:paraId="15B34CCA" w14:textId="77777777" w:rsidTr="005C0A4B">
        <w:tc>
          <w:tcPr>
            <w:tcW w:w="4788" w:type="dxa"/>
            <w:tcBorders>
              <w:top w:val="single" w:sz="12" w:space="0" w:color="auto"/>
            </w:tcBorders>
          </w:tcPr>
          <w:p w14:paraId="03DC8AC6"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 xml:space="preserve">Gender </w:t>
            </w:r>
          </w:p>
        </w:tc>
        <w:tc>
          <w:tcPr>
            <w:tcW w:w="4788" w:type="dxa"/>
            <w:tcBorders>
              <w:top w:val="single" w:sz="12" w:space="0" w:color="auto"/>
            </w:tcBorders>
          </w:tcPr>
          <w:p w14:paraId="3EC48F1E" w14:textId="77777777" w:rsidR="006015B8" w:rsidRPr="007B53E4" w:rsidRDefault="006015B8" w:rsidP="005C0A4B">
            <w:pPr>
              <w:spacing w:line="360" w:lineRule="auto"/>
              <w:jc w:val="both"/>
              <w:rPr>
                <w:rFonts w:ascii="Arial" w:eastAsia="SimSun" w:hAnsi="Arial" w:cs="Arial"/>
                <w:sz w:val="20"/>
                <w:szCs w:val="20"/>
                <w:lang w:val="en-GB"/>
              </w:rPr>
            </w:pPr>
          </w:p>
        </w:tc>
      </w:tr>
      <w:tr w:rsidR="006015B8" w:rsidRPr="006F228D" w14:paraId="4CCCC121" w14:textId="77777777" w:rsidTr="005C0A4B">
        <w:tc>
          <w:tcPr>
            <w:tcW w:w="4788" w:type="dxa"/>
          </w:tcPr>
          <w:p w14:paraId="1A95A186"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 xml:space="preserve">     Male</w:t>
            </w:r>
          </w:p>
        </w:tc>
        <w:tc>
          <w:tcPr>
            <w:tcW w:w="4788" w:type="dxa"/>
          </w:tcPr>
          <w:p w14:paraId="796257BC"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21 (80.8)</w:t>
            </w:r>
          </w:p>
        </w:tc>
      </w:tr>
      <w:tr w:rsidR="006015B8" w:rsidRPr="006F228D" w14:paraId="04BF53A6" w14:textId="77777777" w:rsidTr="005C0A4B">
        <w:tc>
          <w:tcPr>
            <w:tcW w:w="4788" w:type="dxa"/>
          </w:tcPr>
          <w:p w14:paraId="6619F650"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 xml:space="preserve">     Female</w:t>
            </w:r>
          </w:p>
        </w:tc>
        <w:tc>
          <w:tcPr>
            <w:tcW w:w="4788" w:type="dxa"/>
          </w:tcPr>
          <w:p w14:paraId="0D0B476A"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5 (19.2)</w:t>
            </w:r>
          </w:p>
        </w:tc>
      </w:tr>
      <w:tr w:rsidR="006015B8" w:rsidRPr="006F228D" w14:paraId="66533C6D" w14:textId="77777777" w:rsidTr="005C0A4B">
        <w:tc>
          <w:tcPr>
            <w:tcW w:w="4788" w:type="dxa"/>
          </w:tcPr>
          <w:p w14:paraId="3AF8CC3D"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Ethnicity</w:t>
            </w:r>
          </w:p>
        </w:tc>
        <w:tc>
          <w:tcPr>
            <w:tcW w:w="4788" w:type="dxa"/>
          </w:tcPr>
          <w:p w14:paraId="75C01E31" w14:textId="77777777" w:rsidR="006015B8" w:rsidRPr="007B53E4" w:rsidRDefault="006015B8" w:rsidP="005C0A4B">
            <w:pPr>
              <w:spacing w:line="360" w:lineRule="auto"/>
              <w:jc w:val="both"/>
              <w:rPr>
                <w:rFonts w:ascii="Arial" w:eastAsia="SimSun" w:hAnsi="Arial" w:cs="Arial"/>
                <w:sz w:val="20"/>
                <w:szCs w:val="20"/>
                <w:lang w:val="en-GB"/>
              </w:rPr>
            </w:pPr>
          </w:p>
        </w:tc>
      </w:tr>
      <w:tr w:rsidR="006015B8" w:rsidRPr="006F228D" w14:paraId="1C5B7925" w14:textId="77777777" w:rsidTr="005C0A4B">
        <w:tc>
          <w:tcPr>
            <w:tcW w:w="4788" w:type="dxa"/>
          </w:tcPr>
          <w:p w14:paraId="224220E7"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 xml:space="preserve">     Malay</w:t>
            </w:r>
          </w:p>
        </w:tc>
        <w:tc>
          <w:tcPr>
            <w:tcW w:w="4788" w:type="dxa"/>
          </w:tcPr>
          <w:p w14:paraId="5DF508B2"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23 (88.5)</w:t>
            </w:r>
          </w:p>
        </w:tc>
      </w:tr>
      <w:tr w:rsidR="006015B8" w:rsidRPr="006F228D" w14:paraId="46F2A8FD" w14:textId="77777777" w:rsidTr="005C0A4B">
        <w:tc>
          <w:tcPr>
            <w:tcW w:w="4788" w:type="dxa"/>
          </w:tcPr>
          <w:p w14:paraId="7C434A2B"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 xml:space="preserve">     Indian</w:t>
            </w:r>
          </w:p>
        </w:tc>
        <w:tc>
          <w:tcPr>
            <w:tcW w:w="4788" w:type="dxa"/>
          </w:tcPr>
          <w:p w14:paraId="3C8149A2"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3 (11.5)</w:t>
            </w:r>
          </w:p>
        </w:tc>
      </w:tr>
      <w:tr w:rsidR="006015B8" w:rsidRPr="006F228D" w14:paraId="385D88FB" w14:textId="77777777" w:rsidTr="005C0A4B">
        <w:tc>
          <w:tcPr>
            <w:tcW w:w="4788" w:type="dxa"/>
          </w:tcPr>
          <w:p w14:paraId="6649C348"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Gestational age (weeks)</w:t>
            </w:r>
          </w:p>
        </w:tc>
        <w:tc>
          <w:tcPr>
            <w:tcW w:w="4788" w:type="dxa"/>
          </w:tcPr>
          <w:p w14:paraId="36D58509" w14:textId="77777777" w:rsidR="006015B8" w:rsidRPr="007B53E4" w:rsidRDefault="006015B8" w:rsidP="005C0A4B">
            <w:pPr>
              <w:spacing w:line="360" w:lineRule="auto"/>
              <w:jc w:val="both"/>
              <w:rPr>
                <w:rFonts w:ascii="Arial" w:eastAsia="SimSun" w:hAnsi="Arial" w:cs="Arial"/>
                <w:sz w:val="20"/>
                <w:szCs w:val="20"/>
                <w:lang w:val="en-GB"/>
              </w:rPr>
            </w:pPr>
          </w:p>
        </w:tc>
      </w:tr>
      <w:tr w:rsidR="006015B8" w:rsidRPr="006F228D" w14:paraId="08AB0D7B" w14:textId="77777777" w:rsidTr="005C0A4B">
        <w:tc>
          <w:tcPr>
            <w:tcW w:w="4788" w:type="dxa"/>
          </w:tcPr>
          <w:p w14:paraId="775CCF6F"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 xml:space="preserve">     &lt;28</w:t>
            </w:r>
          </w:p>
        </w:tc>
        <w:tc>
          <w:tcPr>
            <w:tcW w:w="4788" w:type="dxa"/>
          </w:tcPr>
          <w:p w14:paraId="3E8ED5C0"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13 (50)</w:t>
            </w:r>
          </w:p>
        </w:tc>
      </w:tr>
      <w:tr w:rsidR="006015B8" w:rsidRPr="006F228D" w14:paraId="61B5196C" w14:textId="77777777" w:rsidTr="005C0A4B">
        <w:tc>
          <w:tcPr>
            <w:tcW w:w="4788" w:type="dxa"/>
          </w:tcPr>
          <w:p w14:paraId="2530DC49"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 xml:space="preserve">     28-32</w:t>
            </w:r>
          </w:p>
        </w:tc>
        <w:tc>
          <w:tcPr>
            <w:tcW w:w="4788" w:type="dxa"/>
          </w:tcPr>
          <w:p w14:paraId="5E7FA3A0"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11 (42.3)</w:t>
            </w:r>
          </w:p>
        </w:tc>
      </w:tr>
      <w:tr w:rsidR="006015B8" w:rsidRPr="006F228D" w14:paraId="4964E1B5" w14:textId="77777777" w:rsidTr="005C0A4B">
        <w:tc>
          <w:tcPr>
            <w:tcW w:w="4788" w:type="dxa"/>
          </w:tcPr>
          <w:p w14:paraId="7B9D3E70"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 xml:space="preserve">     &gt;32</w:t>
            </w:r>
          </w:p>
        </w:tc>
        <w:tc>
          <w:tcPr>
            <w:tcW w:w="4788" w:type="dxa"/>
          </w:tcPr>
          <w:p w14:paraId="5A7158B4"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2 (7.7)</w:t>
            </w:r>
          </w:p>
        </w:tc>
      </w:tr>
      <w:tr w:rsidR="006015B8" w:rsidRPr="006F228D" w14:paraId="26FA4896" w14:textId="77777777" w:rsidTr="005C0A4B">
        <w:tc>
          <w:tcPr>
            <w:tcW w:w="4788" w:type="dxa"/>
          </w:tcPr>
          <w:p w14:paraId="3E33C14F"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Birth weight (g)</w:t>
            </w:r>
          </w:p>
        </w:tc>
        <w:tc>
          <w:tcPr>
            <w:tcW w:w="4788" w:type="dxa"/>
          </w:tcPr>
          <w:p w14:paraId="628BC465" w14:textId="77777777" w:rsidR="006015B8" w:rsidRPr="007B53E4" w:rsidRDefault="006015B8" w:rsidP="005C0A4B">
            <w:pPr>
              <w:spacing w:line="360" w:lineRule="auto"/>
              <w:jc w:val="both"/>
              <w:rPr>
                <w:rFonts w:ascii="Arial" w:eastAsia="SimSun" w:hAnsi="Arial" w:cs="Arial"/>
                <w:sz w:val="20"/>
                <w:szCs w:val="20"/>
                <w:lang w:val="en-GB"/>
              </w:rPr>
            </w:pPr>
          </w:p>
        </w:tc>
      </w:tr>
      <w:tr w:rsidR="006015B8" w:rsidRPr="006F228D" w14:paraId="11C2FF59" w14:textId="77777777" w:rsidTr="005C0A4B">
        <w:tc>
          <w:tcPr>
            <w:tcW w:w="4788" w:type="dxa"/>
          </w:tcPr>
          <w:p w14:paraId="6ABF5990"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 xml:space="preserve">     &lt;1000</w:t>
            </w:r>
          </w:p>
        </w:tc>
        <w:tc>
          <w:tcPr>
            <w:tcW w:w="4788" w:type="dxa"/>
          </w:tcPr>
          <w:p w14:paraId="49DBD68F"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15 (57.7)</w:t>
            </w:r>
          </w:p>
        </w:tc>
      </w:tr>
      <w:tr w:rsidR="006015B8" w:rsidRPr="006F228D" w14:paraId="2D5D371C" w14:textId="77777777" w:rsidTr="005C0A4B">
        <w:tc>
          <w:tcPr>
            <w:tcW w:w="4788" w:type="dxa"/>
          </w:tcPr>
          <w:p w14:paraId="00CAB32E"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 xml:space="preserve">     1001-1500</w:t>
            </w:r>
          </w:p>
        </w:tc>
        <w:tc>
          <w:tcPr>
            <w:tcW w:w="4788" w:type="dxa"/>
          </w:tcPr>
          <w:p w14:paraId="7B48A7E0"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4 (15.4)</w:t>
            </w:r>
          </w:p>
        </w:tc>
      </w:tr>
      <w:tr w:rsidR="006015B8" w:rsidRPr="006F228D" w14:paraId="53E7DF00" w14:textId="77777777" w:rsidTr="005C0A4B">
        <w:tc>
          <w:tcPr>
            <w:tcW w:w="4788" w:type="dxa"/>
          </w:tcPr>
          <w:p w14:paraId="6C18006A"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 xml:space="preserve">     &gt;1500</w:t>
            </w:r>
          </w:p>
        </w:tc>
        <w:tc>
          <w:tcPr>
            <w:tcW w:w="4788" w:type="dxa"/>
          </w:tcPr>
          <w:p w14:paraId="6FD4DB24"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7 (26.9)</w:t>
            </w:r>
          </w:p>
        </w:tc>
      </w:tr>
      <w:tr w:rsidR="006015B8" w:rsidRPr="006F228D" w14:paraId="2D82B150" w14:textId="77777777" w:rsidTr="005C0A4B">
        <w:tc>
          <w:tcPr>
            <w:tcW w:w="4788" w:type="dxa"/>
          </w:tcPr>
          <w:p w14:paraId="0162E4A3"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Gestational age + birth weight</w:t>
            </w:r>
          </w:p>
        </w:tc>
        <w:tc>
          <w:tcPr>
            <w:tcW w:w="4788" w:type="dxa"/>
          </w:tcPr>
          <w:p w14:paraId="49E9E854" w14:textId="77777777" w:rsidR="006015B8" w:rsidRPr="007B53E4" w:rsidRDefault="006015B8" w:rsidP="005C0A4B">
            <w:pPr>
              <w:spacing w:line="360" w:lineRule="auto"/>
              <w:jc w:val="both"/>
              <w:rPr>
                <w:rFonts w:ascii="Arial" w:eastAsia="SimSun" w:hAnsi="Arial" w:cs="Arial"/>
                <w:sz w:val="20"/>
                <w:szCs w:val="20"/>
                <w:lang w:val="en-GB"/>
              </w:rPr>
            </w:pPr>
          </w:p>
        </w:tc>
      </w:tr>
      <w:tr w:rsidR="006015B8" w:rsidRPr="006F228D" w14:paraId="42D2C397" w14:textId="77777777" w:rsidTr="005C0A4B">
        <w:tc>
          <w:tcPr>
            <w:tcW w:w="4788" w:type="dxa"/>
          </w:tcPr>
          <w:p w14:paraId="09D9245B"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 xml:space="preserve">     &lt;32 weeks + </w:t>
            </w:r>
            <w:r w:rsidRPr="007B53E4">
              <w:rPr>
                <w:rFonts w:ascii="Arial" w:eastAsia="SimSun" w:hAnsi="Arial" w:cs="Arial" w:hint="eastAsia"/>
                <w:sz w:val="20"/>
                <w:szCs w:val="20"/>
                <w:lang w:val="en-GB"/>
              </w:rPr>
              <w:t>≤</w:t>
            </w:r>
            <w:r w:rsidRPr="007B53E4">
              <w:rPr>
                <w:rFonts w:ascii="Arial" w:eastAsia="SimSun" w:hAnsi="Arial" w:cs="Arial"/>
                <w:sz w:val="20"/>
                <w:szCs w:val="20"/>
                <w:lang w:val="en-GB"/>
              </w:rPr>
              <w:t xml:space="preserve"> 1500g</w:t>
            </w:r>
          </w:p>
        </w:tc>
        <w:tc>
          <w:tcPr>
            <w:tcW w:w="4788" w:type="dxa"/>
          </w:tcPr>
          <w:p w14:paraId="6A5465D0"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19 (73.1)</w:t>
            </w:r>
          </w:p>
        </w:tc>
      </w:tr>
      <w:tr w:rsidR="006015B8" w:rsidRPr="006F228D" w14:paraId="3227674D" w14:textId="77777777" w:rsidTr="005C0A4B">
        <w:tc>
          <w:tcPr>
            <w:tcW w:w="4788" w:type="dxa"/>
          </w:tcPr>
          <w:p w14:paraId="2AA64855"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 xml:space="preserve">     &lt;32 weeks + &gt;1500g</w:t>
            </w:r>
          </w:p>
        </w:tc>
        <w:tc>
          <w:tcPr>
            <w:tcW w:w="4788" w:type="dxa"/>
          </w:tcPr>
          <w:p w14:paraId="48319B80"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3 (11.5)</w:t>
            </w:r>
          </w:p>
        </w:tc>
      </w:tr>
      <w:tr w:rsidR="006015B8" w:rsidRPr="006F228D" w14:paraId="5C61A37D" w14:textId="77777777" w:rsidTr="005C0A4B">
        <w:tc>
          <w:tcPr>
            <w:tcW w:w="4788" w:type="dxa"/>
          </w:tcPr>
          <w:p w14:paraId="2CB2BABB"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 xml:space="preserve">     </w:t>
            </w:r>
            <w:r w:rsidRPr="007B53E4">
              <w:rPr>
                <w:rFonts w:ascii="Arial" w:eastAsia="SimSun" w:hAnsi="Arial" w:cs="Arial" w:hint="eastAsia"/>
                <w:sz w:val="20"/>
                <w:szCs w:val="20"/>
                <w:lang w:val="en-GB"/>
              </w:rPr>
              <w:t>≥</w:t>
            </w:r>
            <w:r w:rsidRPr="007B53E4">
              <w:rPr>
                <w:rFonts w:ascii="Arial" w:eastAsia="SimSun" w:hAnsi="Arial" w:cs="Arial"/>
                <w:sz w:val="20"/>
                <w:szCs w:val="20"/>
                <w:lang w:val="en-GB"/>
              </w:rPr>
              <w:t xml:space="preserve">32 weeks + </w:t>
            </w:r>
            <w:r w:rsidRPr="007B53E4">
              <w:rPr>
                <w:rFonts w:ascii="Arial" w:eastAsia="SimSun" w:hAnsi="Arial" w:cs="Arial" w:hint="eastAsia"/>
                <w:sz w:val="20"/>
                <w:szCs w:val="20"/>
                <w:lang w:val="en-GB"/>
              </w:rPr>
              <w:t>≤</w:t>
            </w:r>
            <w:r w:rsidRPr="007B53E4">
              <w:rPr>
                <w:rFonts w:ascii="Arial" w:eastAsia="SimSun" w:hAnsi="Arial" w:cs="Arial"/>
                <w:sz w:val="20"/>
                <w:szCs w:val="20"/>
                <w:lang w:val="en-GB"/>
              </w:rPr>
              <w:t>1500g</w:t>
            </w:r>
          </w:p>
        </w:tc>
        <w:tc>
          <w:tcPr>
            <w:tcW w:w="4788" w:type="dxa"/>
          </w:tcPr>
          <w:p w14:paraId="5FB275E4"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0 (0)</w:t>
            </w:r>
          </w:p>
        </w:tc>
      </w:tr>
      <w:tr w:rsidR="006015B8" w:rsidRPr="006F228D" w14:paraId="251820A5" w14:textId="77777777" w:rsidTr="005C0A4B">
        <w:tc>
          <w:tcPr>
            <w:tcW w:w="4788" w:type="dxa"/>
          </w:tcPr>
          <w:p w14:paraId="28C9CF53"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 xml:space="preserve">     </w:t>
            </w:r>
            <w:r w:rsidRPr="007B53E4">
              <w:rPr>
                <w:rFonts w:ascii="Arial" w:eastAsia="SimSun" w:hAnsi="Arial" w:cs="Arial" w:hint="eastAsia"/>
                <w:sz w:val="20"/>
                <w:szCs w:val="20"/>
                <w:lang w:val="en-GB"/>
              </w:rPr>
              <w:t>≥</w:t>
            </w:r>
            <w:r w:rsidRPr="007B53E4">
              <w:rPr>
                <w:rFonts w:ascii="Arial" w:eastAsia="SimSun" w:hAnsi="Arial" w:cs="Arial"/>
                <w:sz w:val="20"/>
                <w:szCs w:val="20"/>
                <w:lang w:val="en-GB"/>
              </w:rPr>
              <w:t xml:space="preserve">32 weeks + </w:t>
            </w:r>
            <w:r w:rsidRPr="007B53E4">
              <w:rPr>
                <w:rFonts w:ascii="Arial" w:eastAsia="SimSun" w:hAnsi="Arial" w:cs="Arial" w:hint="eastAsia"/>
                <w:sz w:val="20"/>
                <w:szCs w:val="20"/>
                <w:lang w:val="en-GB"/>
              </w:rPr>
              <w:t>≥</w:t>
            </w:r>
            <w:r w:rsidRPr="007B53E4">
              <w:rPr>
                <w:rFonts w:ascii="Arial" w:eastAsia="SimSun" w:hAnsi="Arial" w:cs="Arial"/>
                <w:sz w:val="20"/>
                <w:szCs w:val="20"/>
                <w:lang w:val="en-GB"/>
              </w:rPr>
              <w:t>1500g</w:t>
            </w:r>
          </w:p>
        </w:tc>
        <w:tc>
          <w:tcPr>
            <w:tcW w:w="4788" w:type="dxa"/>
          </w:tcPr>
          <w:p w14:paraId="61235F9E" w14:textId="77777777" w:rsidR="006015B8" w:rsidRPr="007B53E4" w:rsidRDefault="006015B8" w:rsidP="005C0A4B">
            <w:pPr>
              <w:spacing w:line="360" w:lineRule="auto"/>
              <w:jc w:val="both"/>
              <w:rPr>
                <w:rFonts w:ascii="Arial" w:eastAsia="SimSun" w:hAnsi="Arial" w:cs="Arial"/>
                <w:sz w:val="20"/>
                <w:szCs w:val="20"/>
                <w:lang w:val="en-GB"/>
              </w:rPr>
            </w:pPr>
            <w:r w:rsidRPr="007B53E4">
              <w:rPr>
                <w:rFonts w:ascii="Arial" w:eastAsia="SimSun" w:hAnsi="Arial" w:cs="Arial"/>
                <w:sz w:val="20"/>
                <w:szCs w:val="20"/>
                <w:lang w:val="en-GB"/>
              </w:rPr>
              <w:t>4 (15.4)</w:t>
            </w:r>
          </w:p>
        </w:tc>
      </w:tr>
      <w:tr w:rsidR="006015B8" w:rsidRPr="006F228D" w14:paraId="7E0DC36A" w14:textId="77777777" w:rsidTr="005C0A4B">
        <w:tc>
          <w:tcPr>
            <w:tcW w:w="4788" w:type="dxa"/>
            <w:tcBorders>
              <w:bottom w:val="single" w:sz="12" w:space="0" w:color="auto"/>
            </w:tcBorders>
          </w:tcPr>
          <w:p w14:paraId="29A9112A" w14:textId="77777777" w:rsidR="006015B8" w:rsidRPr="007B53E4" w:rsidRDefault="006015B8" w:rsidP="005C0A4B">
            <w:pPr>
              <w:spacing w:line="360" w:lineRule="auto"/>
              <w:jc w:val="both"/>
              <w:rPr>
                <w:rFonts w:ascii="Arial" w:eastAsia="SimSun" w:hAnsi="Arial" w:cs="Arial"/>
                <w:sz w:val="20"/>
                <w:szCs w:val="20"/>
                <w:lang w:val="en-GB"/>
              </w:rPr>
            </w:pPr>
          </w:p>
        </w:tc>
        <w:tc>
          <w:tcPr>
            <w:tcW w:w="4788" w:type="dxa"/>
            <w:tcBorders>
              <w:bottom w:val="single" w:sz="12" w:space="0" w:color="auto"/>
            </w:tcBorders>
          </w:tcPr>
          <w:p w14:paraId="56044D13" w14:textId="77777777" w:rsidR="006015B8" w:rsidRPr="007B53E4" w:rsidRDefault="006015B8" w:rsidP="005C0A4B">
            <w:pPr>
              <w:spacing w:line="360" w:lineRule="auto"/>
              <w:jc w:val="both"/>
              <w:rPr>
                <w:rFonts w:ascii="Arial" w:eastAsia="SimSun" w:hAnsi="Arial" w:cs="Arial"/>
                <w:sz w:val="20"/>
                <w:szCs w:val="20"/>
                <w:lang w:val="en-GB"/>
              </w:rPr>
            </w:pPr>
          </w:p>
        </w:tc>
      </w:tr>
    </w:tbl>
    <w:p w14:paraId="27249261" w14:textId="77777777" w:rsidR="006015B8" w:rsidRDefault="006015B8" w:rsidP="006015B8">
      <w:pPr>
        <w:spacing w:line="360" w:lineRule="auto"/>
        <w:jc w:val="both"/>
        <w:rPr>
          <w:rFonts w:ascii="Arial" w:hAnsi="Arial" w:cs="Arial"/>
          <w:sz w:val="20"/>
          <w:szCs w:val="20"/>
          <w:lang w:val="en-GB"/>
        </w:rPr>
      </w:pPr>
    </w:p>
    <w:p w14:paraId="411064FC" w14:textId="77777777" w:rsidR="006015B8" w:rsidRPr="007B53E4" w:rsidRDefault="006015B8" w:rsidP="006015B8">
      <w:pPr>
        <w:spacing w:line="360" w:lineRule="auto"/>
        <w:jc w:val="both"/>
        <w:rPr>
          <w:rFonts w:ascii="Arial" w:hAnsi="Arial" w:cs="Arial"/>
          <w:b/>
          <w:bCs/>
          <w:sz w:val="20"/>
          <w:szCs w:val="20"/>
          <w:lang w:val="en-GB"/>
        </w:rPr>
      </w:pPr>
    </w:p>
    <w:p w14:paraId="2CFEF7E8" w14:textId="77777777" w:rsidR="006015B8" w:rsidRPr="007B53E4" w:rsidRDefault="006015B8" w:rsidP="006015B8">
      <w:pPr>
        <w:spacing w:line="360" w:lineRule="auto"/>
        <w:jc w:val="both"/>
        <w:rPr>
          <w:rFonts w:ascii="Arial" w:hAnsi="Arial" w:cs="Arial"/>
          <w:b/>
          <w:bCs/>
          <w:sz w:val="20"/>
          <w:szCs w:val="20"/>
          <w:lang w:val="en-GB"/>
        </w:rPr>
      </w:pPr>
      <w:r w:rsidRPr="007B53E4">
        <w:rPr>
          <w:rFonts w:ascii="Arial" w:hAnsi="Arial" w:cs="Arial"/>
          <w:noProof/>
          <w:sz w:val="20"/>
          <w:szCs w:val="20"/>
          <w:lang w:val="en-GB"/>
        </w:rPr>
        <w:lastRenderedPageBreak/>
        <w:drawing>
          <wp:inline distT="0" distB="0" distL="0" distR="0" wp14:anchorId="29D490A0" wp14:editId="5ABD18E0">
            <wp:extent cx="5600700" cy="40513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C794963" w14:textId="77777777" w:rsidR="006015B8" w:rsidRPr="007B53E4" w:rsidRDefault="006015B8" w:rsidP="006015B8">
      <w:pPr>
        <w:spacing w:line="360" w:lineRule="auto"/>
        <w:jc w:val="both"/>
        <w:rPr>
          <w:rFonts w:ascii="Arial" w:hAnsi="Arial" w:cs="Arial"/>
          <w:sz w:val="20"/>
          <w:szCs w:val="20"/>
          <w:lang w:val="en-GB"/>
        </w:rPr>
      </w:pPr>
      <w:r w:rsidRPr="007B53E4">
        <w:rPr>
          <w:rFonts w:ascii="Arial" w:hAnsi="Arial" w:cs="Arial"/>
          <w:sz w:val="20"/>
          <w:szCs w:val="20"/>
          <w:lang w:val="en-GB"/>
        </w:rPr>
        <w:t>Figure 1</w:t>
      </w:r>
      <w:r>
        <w:rPr>
          <w:rFonts w:ascii="Arial" w:hAnsi="Arial" w:cs="Arial"/>
          <w:sz w:val="20"/>
          <w:szCs w:val="20"/>
          <w:lang w:val="en-GB"/>
        </w:rPr>
        <w:t>.</w:t>
      </w:r>
      <w:r w:rsidRPr="007B53E4">
        <w:rPr>
          <w:rFonts w:ascii="Arial" w:hAnsi="Arial" w:cs="Arial"/>
          <w:sz w:val="20"/>
          <w:szCs w:val="20"/>
          <w:lang w:val="en-GB"/>
        </w:rPr>
        <w:t xml:space="preserve"> Age of first screening</w:t>
      </w:r>
    </w:p>
    <w:p w14:paraId="64012717" w14:textId="77777777" w:rsidR="006015B8" w:rsidRPr="007B53E4" w:rsidRDefault="006015B8" w:rsidP="006015B8">
      <w:pPr>
        <w:spacing w:line="360" w:lineRule="auto"/>
        <w:jc w:val="both"/>
        <w:rPr>
          <w:rFonts w:ascii="Arial" w:hAnsi="Arial" w:cs="Arial"/>
          <w:b/>
          <w:bCs/>
          <w:sz w:val="20"/>
          <w:szCs w:val="20"/>
          <w:lang w:val="en-GB"/>
        </w:rPr>
      </w:pPr>
    </w:p>
    <w:p w14:paraId="1B458C2D" w14:textId="77777777" w:rsidR="006015B8" w:rsidRPr="007B53E4" w:rsidRDefault="006015B8" w:rsidP="006015B8">
      <w:pPr>
        <w:spacing w:line="360" w:lineRule="auto"/>
        <w:jc w:val="both"/>
        <w:rPr>
          <w:rFonts w:ascii="Arial" w:hAnsi="Arial" w:cs="Arial"/>
          <w:b/>
          <w:bCs/>
          <w:sz w:val="20"/>
          <w:szCs w:val="20"/>
          <w:lang w:val="en-GB"/>
        </w:rPr>
      </w:pPr>
    </w:p>
    <w:p w14:paraId="561F66A0" w14:textId="77777777" w:rsidR="006015B8" w:rsidRPr="007B53E4" w:rsidRDefault="006015B8" w:rsidP="006015B8">
      <w:pPr>
        <w:spacing w:line="360" w:lineRule="auto"/>
        <w:jc w:val="both"/>
        <w:rPr>
          <w:rFonts w:ascii="Arial" w:hAnsi="Arial" w:cs="Arial"/>
          <w:b/>
          <w:bCs/>
          <w:sz w:val="20"/>
          <w:szCs w:val="20"/>
          <w:lang w:val="en-GB"/>
        </w:rPr>
      </w:pPr>
    </w:p>
    <w:p w14:paraId="0DB0DE85" w14:textId="77777777" w:rsidR="006015B8" w:rsidRPr="007B53E4" w:rsidRDefault="006015B8" w:rsidP="006015B8">
      <w:pPr>
        <w:spacing w:line="360" w:lineRule="auto"/>
        <w:jc w:val="both"/>
        <w:rPr>
          <w:rFonts w:ascii="Arial" w:hAnsi="Arial" w:cs="Arial"/>
          <w:b/>
          <w:bCs/>
          <w:sz w:val="20"/>
          <w:szCs w:val="20"/>
          <w:lang w:val="en-GB"/>
        </w:rPr>
      </w:pPr>
    </w:p>
    <w:p w14:paraId="5555585A" w14:textId="77777777" w:rsidR="006015B8" w:rsidRPr="007B53E4" w:rsidRDefault="006015B8" w:rsidP="006015B8">
      <w:pPr>
        <w:spacing w:line="360" w:lineRule="auto"/>
        <w:jc w:val="both"/>
        <w:rPr>
          <w:rFonts w:ascii="Arial" w:hAnsi="Arial" w:cs="Arial"/>
          <w:b/>
          <w:bCs/>
          <w:sz w:val="20"/>
          <w:szCs w:val="20"/>
          <w:lang w:val="en-GB"/>
        </w:rPr>
      </w:pPr>
      <w:r w:rsidRPr="007B53E4">
        <w:rPr>
          <w:rFonts w:ascii="Arial" w:hAnsi="Arial" w:cs="Arial"/>
          <w:noProof/>
          <w:sz w:val="20"/>
          <w:szCs w:val="20"/>
          <w:lang w:val="en-GB"/>
        </w:rPr>
        <w:lastRenderedPageBreak/>
        <w:drawing>
          <wp:inline distT="0" distB="0" distL="0" distR="0" wp14:anchorId="23701F8B" wp14:editId="1F76ECFE">
            <wp:extent cx="5543550" cy="45720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62B4BD6" w14:textId="77777777" w:rsidR="006015B8" w:rsidRPr="007B53E4" w:rsidRDefault="006015B8" w:rsidP="006015B8">
      <w:pPr>
        <w:tabs>
          <w:tab w:val="left" w:pos="4080"/>
        </w:tabs>
        <w:spacing w:line="360" w:lineRule="auto"/>
        <w:jc w:val="both"/>
        <w:rPr>
          <w:rFonts w:ascii="Arial" w:hAnsi="Arial" w:cs="Arial"/>
          <w:sz w:val="20"/>
          <w:szCs w:val="20"/>
          <w:lang w:val="en-GB"/>
        </w:rPr>
      </w:pPr>
      <w:r w:rsidRPr="007B53E4">
        <w:rPr>
          <w:rFonts w:ascii="Arial" w:hAnsi="Arial" w:cs="Arial"/>
          <w:sz w:val="20"/>
          <w:szCs w:val="20"/>
          <w:lang w:val="en-GB"/>
        </w:rPr>
        <w:t>Figure 2</w:t>
      </w:r>
      <w:r>
        <w:rPr>
          <w:rFonts w:ascii="Arial" w:hAnsi="Arial" w:cs="Arial"/>
          <w:sz w:val="20"/>
          <w:szCs w:val="20"/>
          <w:lang w:val="en-GB"/>
        </w:rPr>
        <w:t>.</w:t>
      </w:r>
      <w:r w:rsidRPr="007B53E4">
        <w:rPr>
          <w:rFonts w:ascii="Arial" w:hAnsi="Arial" w:cs="Arial"/>
          <w:sz w:val="20"/>
          <w:szCs w:val="20"/>
          <w:lang w:val="en-GB"/>
        </w:rPr>
        <w:t xml:space="preserve"> Age when treatment initiated.</w:t>
      </w:r>
      <w:r w:rsidRPr="007B53E4">
        <w:rPr>
          <w:rFonts w:ascii="Arial" w:hAnsi="Arial" w:cs="Arial"/>
          <w:sz w:val="20"/>
          <w:szCs w:val="20"/>
          <w:lang w:val="en-GB"/>
        </w:rPr>
        <w:tab/>
      </w:r>
    </w:p>
    <w:p w14:paraId="0609341A" w14:textId="77777777" w:rsidR="006015B8" w:rsidRPr="007B53E4" w:rsidRDefault="006015B8" w:rsidP="006015B8">
      <w:pPr>
        <w:tabs>
          <w:tab w:val="left" w:pos="4080"/>
        </w:tabs>
        <w:spacing w:line="360" w:lineRule="auto"/>
        <w:jc w:val="both"/>
        <w:rPr>
          <w:rFonts w:ascii="Arial" w:hAnsi="Arial" w:cs="Arial"/>
          <w:sz w:val="20"/>
          <w:szCs w:val="20"/>
          <w:lang w:val="en-GB"/>
        </w:rPr>
      </w:pPr>
    </w:p>
    <w:p w14:paraId="2A207761" w14:textId="77777777" w:rsidR="006015B8" w:rsidRPr="007B53E4" w:rsidRDefault="006015B8" w:rsidP="006015B8">
      <w:pPr>
        <w:tabs>
          <w:tab w:val="left" w:pos="4080"/>
        </w:tabs>
        <w:spacing w:line="360" w:lineRule="auto"/>
        <w:jc w:val="both"/>
        <w:rPr>
          <w:rFonts w:ascii="Arial" w:hAnsi="Arial" w:cs="Arial"/>
          <w:sz w:val="20"/>
          <w:szCs w:val="20"/>
          <w:lang w:val="en-GB"/>
        </w:rPr>
      </w:pPr>
    </w:p>
    <w:p w14:paraId="3A9084FA" w14:textId="77777777" w:rsidR="006015B8" w:rsidRPr="007B53E4" w:rsidRDefault="006015B8" w:rsidP="006015B8">
      <w:pPr>
        <w:tabs>
          <w:tab w:val="left" w:pos="4080"/>
        </w:tabs>
        <w:spacing w:line="360" w:lineRule="auto"/>
        <w:jc w:val="both"/>
        <w:rPr>
          <w:rFonts w:ascii="Arial" w:hAnsi="Arial" w:cs="Arial"/>
          <w:sz w:val="20"/>
          <w:szCs w:val="20"/>
          <w:lang w:val="en-GB"/>
        </w:rPr>
      </w:pPr>
    </w:p>
    <w:p w14:paraId="554A4243" w14:textId="77777777" w:rsidR="006015B8" w:rsidRPr="007B53E4" w:rsidRDefault="006015B8" w:rsidP="006015B8">
      <w:pPr>
        <w:tabs>
          <w:tab w:val="left" w:pos="4080"/>
        </w:tabs>
        <w:spacing w:line="360" w:lineRule="auto"/>
        <w:jc w:val="both"/>
        <w:rPr>
          <w:rFonts w:ascii="Arial" w:hAnsi="Arial" w:cs="Arial"/>
          <w:sz w:val="20"/>
          <w:szCs w:val="20"/>
          <w:lang w:val="en-GB"/>
        </w:rPr>
      </w:pPr>
    </w:p>
    <w:p w14:paraId="1CDCDD35" w14:textId="77777777" w:rsidR="006015B8" w:rsidRPr="007B53E4" w:rsidRDefault="006015B8" w:rsidP="006015B8">
      <w:pPr>
        <w:tabs>
          <w:tab w:val="left" w:pos="4080"/>
        </w:tabs>
        <w:spacing w:line="360" w:lineRule="auto"/>
        <w:jc w:val="both"/>
        <w:rPr>
          <w:rFonts w:ascii="Arial" w:hAnsi="Arial" w:cs="Arial"/>
          <w:sz w:val="20"/>
          <w:szCs w:val="20"/>
          <w:lang w:val="en-GB"/>
        </w:rPr>
      </w:pPr>
    </w:p>
    <w:p w14:paraId="601EFE10" w14:textId="77777777" w:rsidR="006015B8" w:rsidRPr="007B53E4" w:rsidRDefault="006015B8" w:rsidP="006015B8">
      <w:pPr>
        <w:tabs>
          <w:tab w:val="left" w:pos="4080"/>
        </w:tabs>
        <w:spacing w:line="360" w:lineRule="auto"/>
        <w:jc w:val="both"/>
        <w:rPr>
          <w:rFonts w:ascii="Arial" w:hAnsi="Arial" w:cs="Arial"/>
          <w:sz w:val="20"/>
          <w:szCs w:val="20"/>
          <w:lang w:val="en-GB"/>
        </w:rPr>
      </w:pPr>
    </w:p>
    <w:p w14:paraId="2005946A" w14:textId="77777777" w:rsidR="006015B8" w:rsidRPr="007B53E4" w:rsidRDefault="006015B8" w:rsidP="006015B8">
      <w:pPr>
        <w:tabs>
          <w:tab w:val="left" w:pos="4080"/>
        </w:tabs>
        <w:spacing w:line="360" w:lineRule="auto"/>
        <w:jc w:val="both"/>
        <w:rPr>
          <w:rFonts w:ascii="Arial" w:hAnsi="Arial" w:cs="Arial"/>
          <w:sz w:val="20"/>
          <w:szCs w:val="20"/>
          <w:lang w:val="en-GB"/>
        </w:rPr>
      </w:pPr>
    </w:p>
    <w:p w14:paraId="111B6FDE" w14:textId="77777777" w:rsidR="006015B8" w:rsidRPr="007B53E4" w:rsidRDefault="006015B8" w:rsidP="006015B8">
      <w:pPr>
        <w:tabs>
          <w:tab w:val="left" w:pos="4080"/>
        </w:tabs>
        <w:spacing w:line="360" w:lineRule="auto"/>
        <w:jc w:val="both"/>
        <w:rPr>
          <w:rFonts w:ascii="Arial" w:hAnsi="Arial" w:cs="Arial"/>
          <w:sz w:val="20"/>
          <w:szCs w:val="20"/>
          <w:lang w:val="en-GB"/>
        </w:rPr>
      </w:pPr>
    </w:p>
    <w:p w14:paraId="649F4474" w14:textId="77777777" w:rsidR="006015B8" w:rsidRPr="007B53E4" w:rsidRDefault="006015B8" w:rsidP="006015B8">
      <w:pPr>
        <w:tabs>
          <w:tab w:val="left" w:pos="4080"/>
        </w:tabs>
        <w:spacing w:line="360" w:lineRule="auto"/>
        <w:jc w:val="both"/>
        <w:rPr>
          <w:rFonts w:ascii="Arial" w:hAnsi="Arial" w:cs="Arial"/>
          <w:sz w:val="20"/>
          <w:szCs w:val="20"/>
          <w:lang w:val="en-GB"/>
        </w:rPr>
      </w:pPr>
      <w:r w:rsidRPr="007B53E4">
        <w:rPr>
          <w:rFonts w:ascii="Arial" w:hAnsi="Arial" w:cs="Arial"/>
          <w:noProof/>
          <w:sz w:val="20"/>
          <w:szCs w:val="20"/>
          <w:lang w:val="en-GB"/>
        </w:rPr>
        <w:lastRenderedPageBreak/>
        <w:drawing>
          <wp:inline distT="0" distB="0" distL="0" distR="0" wp14:anchorId="306E896B" wp14:editId="1B9A89BE">
            <wp:extent cx="5518150" cy="403860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D1207CE" w14:textId="77777777" w:rsidR="006015B8" w:rsidRPr="007B53E4" w:rsidRDefault="006015B8" w:rsidP="006015B8">
      <w:pPr>
        <w:spacing w:line="360" w:lineRule="auto"/>
        <w:jc w:val="both"/>
        <w:rPr>
          <w:rFonts w:ascii="Arial" w:hAnsi="Arial" w:cs="Arial"/>
          <w:sz w:val="20"/>
          <w:szCs w:val="20"/>
          <w:lang w:val="en-GB"/>
        </w:rPr>
      </w:pPr>
      <w:r w:rsidRPr="007B53E4">
        <w:rPr>
          <w:rFonts w:ascii="Arial" w:hAnsi="Arial" w:cs="Arial"/>
          <w:sz w:val="20"/>
          <w:szCs w:val="20"/>
          <w:lang w:val="en-GB"/>
        </w:rPr>
        <w:t>Figure 3</w:t>
      </w:r>
      <w:r>
        <w:rPr>
          <w:rFonts w:ascii="Arial" w:hAnsi="Arial" w:cs="Arial"/>
          <w:sz w:val="20"/>
          <w:szCs w:val="20"/>
          <w:lang w:val="en-GB"/>
        </w:rPr>
        <w:t>.</w:t>
      </w:r>
      <w:r w:rsidRPr="007B53E4">
        <w:rPr>
          <w:rFonts w:ascii="Arial" w:hAnsi="Arial" w:cs="Arial"/>
          <w:sz w:val="20"/>
          <w:szCs w:val="20"/>
          <w:lang w:val="en-GB"/>
        </w:rPr>
        <w:t xml:space="preserve"> Duration from diagnosis to treatment.</w:t>
      </w:r>
    </w:p>
    <w:p w14:paraId="47C258BB" w14:textId="77777777" w:rsidR="006015B8" w:rsidRPr="007B53E4" w:rsidRDefault="006015B8" w:rsidP="006015B8">
      <w:pPr>
        <w:spacing w:line="360" w:lineRule="auto"/>
        <w:jc w:val="both"/>
        <w:rPr>
          <w:rFonts w:ascii="Arial" w:hAnsi="Arial" w:cs="Arial"/>
          <w:b/>
          <w:bCs/>
          <w:sz w:val="20"/>
          <w:szCs w:val="20"/>
          <w:lang w:val="en-GB"/>
        </w:rPr>
      </w:pPr>
    </w:p>
    <w:p w14:paraId="05D2D12F" w14:textId="77777777" w:rsidR="006015B8" w:rsidRDefault="006015B8" w:rsidP="006015B8"/>
    <w:p w14:paraId="03AFA3FC" w14:textId="77777777" w:rsidR="006015B8" w:rsidRPr="007B53E4" w:rsidRDefault="006015B8" w:rsidP="006015B8">
      <w:pPr>
        <w:spacing w:line="360" w:lineRule="auto"/>
        <w:jc w:val="both"/>
        <w:rPr>
          <w:rFonts w:ascii="Arial" w:hAnsi="Arial" w:cs="Arial"/>
          <w:sz w:val="20"/>
          <w:szCs w:val="20"/>
          <w:lang w:val="en-GB"/>
        </w:rPr>
      </w:pPr>
    </w:p>
    <w:p w14:paraId="0432BEF6" w14:textId="77777777" w:rsidR="006015B8" w:rsidRPr="007B53E4" w:rsidRDefault="006015B8" w:rsidP="006015B8">
      <w:pPr>
        <w:spacing w:line="360" w:lineRule="auto"/>
        <w:jc w:val="both"/>
        <w:rPr>
          <w:rFonts w:ascii="Arial" w:hAnsi="Arial" w:cs="Arial"/>
          <w:sz w:val="20"/>
          <w:szCs w:val="20"/>
          <w:lang w:val="en-GB"/>
        </w:rPr>
      </w:pPr>
    </w:p>
    <w:p w14:paraId="71641130" w14:textId="77777777" w:rsidR="006015B8" w:rsidRDefault="006015B8"/>
    <w:sectPr w:rsidR="006015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D40CA9"/>
    <w:multiLevelType w:val="hybridMultilevel"/>
    <w:tmpl w:val="C62E448E"/>
    <w:lvl w:ilvl="0" w:tplc="8574475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7A142370"/>
    <w:multiLevelType w:val="hybridMultilevel"/>
    <w:tmpl w:val="08E21BC0"/>
    <w:lvl w:ilvl="0" w:tplc="8E40A896">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16cid:durableId="1738043533">
    <w:abstractNumId w:val="0"/>
  </w:num>
  <w:num w:numId="2" w16cid:durableId="2014800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0B"/>
    <w:rsid w:val="004767AB"/>
    <w:rsid w:val="0058454D"/>
    <w:rsid w:val="006015B8"/>
    <w:rsid w:val="00A201F9"/>
    <w:rsid w:val="00A944E7"/>
    <w:rsid w:val="00AF1BED"/>
    <w:rsid w:val="00B63D2C"/>
    <w:rsid w:val="00BD3F0B"/>
    <w:rsid w:val="00C0508D"/>
    <w:rsid w:val="00C06F08"/>
    <w:rsid w:val="00EE2407"/>
    <w:rsid w:val="00FB043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B78AB"/>
  <w15:chartTrackingRefBased/>
  <w15:docId w15:val="{3252725A-3DCC-4C05-B853-4EF518D8D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M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F0B"/>
    <w:pPr>
      <w:spacing w:after="200" w:line="276" w:lineRule="auto"/>
    </w:pPr>
    <w:rPr>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D3F0B"/>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styleId="Strong">
    <w:name w:val="Strong"/>
    <w:basedOn w:val="DefaultParagraphFont"/>
    <w:uiPriority w:val="22"/>
    <w:qFormat/>
    <w:rsid w:val="00BD3F0B"/>
    <w:rPr>
      <w:b/>
      <w:bCs/>
    </w:rPr>
  </w:style>
  <w:style w:type="paragraph" w:styleId="ListParagraph">
    <w:name w:val="List Paragraph"/>
    <w:basedOn w:val="Normal"/>
    <w:uiPriority w:val="34"/>
    <w:qFormat/>
    <w:rsid w:val="00BD3F0B"/>
    <w:pPr>
      <w:ind w:left="720"/>
      <w:contextualSpacing/>
    </w:pPr>
  </w:style>
  <w:style w:type="character" w:styleId="Hyperlink">
    <w:name w:val="Hyperlink"/>
    <w:basedOn w:val="DefaultParagraphFont"/>
    <w:uiPriority w:val="99"/>
    <w:unhideWhenUsed/>
    <w:rsid w:val="00BD3F0B"/>
    <w:rPr>
      <w:color w:val="0563C1" w:themeColor="hyperlink"/>
      <w:u w:val="single"/>
    </w:rPr>
  </w:style>
  <w:style w:type="character" w:styleId="Emphasis">
    <w:name w:val="Emphasis"/>
    <w:basedOn w:val="DefaultParagraphFont"/>
    <w:uiPriority w:val="20"/>
    <w:qFormat/>
    <w:rsid w:val="006015B8"/>
    <w:rPr>
      <w:i/>
      <w:iCs/>
    </w:rPr>
  </w:style>
  <w:style w:type="table" w:styleId="TableGrid">
    <w:name w:val="Table Grid"/>
    <w:basedOn w:val="TableNormal"/>
    <w:uiPriority w:val="39"/>
    <w:rsid w:val="006015B8"/>
    <w:pPr>
      <w:spacing w:after="0" w:line="240" w:lineRule="auto"/>
    </w:pPr>
    <w:rPr>
      <w:rFonts w:eastAsiaTheme="minorEastAsia"/>
      <w:kern w:val="0"/>
      <w:lang w:val="en-US" w:eastAsia="zh-C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1155/2014/756059" TargetMode="External"/><Relationship Id="rId11" Type="http://schemas.openxmlformats.org/officeDocument/2006/relationships/theme" Target="theme/theme1.xml"/><Relationship Id="rId5" Type="http://schemas.openxmlformats.org/officeDocument/2006/relationships/hyperlink" Target="mailto:athirahaminudin02@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Age of First Screening</a:t>
            </a:r>
          </a:p>
        </c:rich>
      </c:tx>
      <c:overlay val="0"/>
    </c:title>
    <c:autoTitleDeleted val="0"/>
    <c:plotArea>
      <c:layout/>
      <c:barChart>
        <c:barDir val="col"/>
        <c:grouping val="clustered"/>
        <c:varyColors val="0"/>
        <c:ser>
          <c:idx val="0"/>
          <c:order val="0"/>
          <c:tx>
            <c:strRef>
              <c:f>Sheet1!$B$1</c:f>
              <c:strCache>
                <c:ptCount val="1"/>
                <c:pt idx="0">
                  <c:v>Series 1</c:v>
                </c:pt>
              </c:strCache>
            </c:strRef>
          </c:tx>
          <c:spPr>
            <a:solidFill>
              <a:schemeClr val="accent5">
                <a:lumMod val="75000"/>
              </a:schemeClr>
            </a:solidFill>
          </c:spPr>
          <c:invertIfNegative val="0"/>
          <c:cat>
            <c:strRef>
              <c:f>Sheet1!$A$2:$A$7</c:f>
              <c:strCache>
                <c:ptCount val="6"/>
                <c:pt idx="0">
                  <c:v>29-30</c:v>
                </c:pt>
                <c:pt idx="1">
                  <c:v>31-32</c:v>
                </c:pt>
                <c:pt idx="2">
                  <c:v>33-34</c:v>
                </c:pt>
                <c:pt idx="3">
                  <c:v>35-36</c:v>
                </c:pt>
                <c:pt idx="4">
                  <c:v>37-38</c:v>
                </c:pt>
                <c:pt idx="5">
                  <c:v>39-40</c:v>
                </c:pt>
              </c:strCache>
            </c:strRef>
          </c:cat>
          <c:val>
            <c:numRef>
              <c:f>Sheet1!$B$2:$B$7</c:f>
              <c:numCache>
                <c:formatCode>General</c:formatCode>
                <c:ptCount val="6"/>
                <c:pt idx="0">
                  <c:v>11.5</c:v>
                </c:pt>
                <c:pt idx="1">
                  <c:v>38.5</c:v>
                </c:pt>
                <c:pt idx="2">
                  <c:v>15.4</c:v>
                </c:pt>
                <c:pt idx="3">
                  <c:v>11.5</c:v>
                </c:pt>
                <c:pt idx="4">
                  <c:v>11.5</c:v>
                </c:pt>
                <c:pt idx="5">
                  <c:v>11.5</c:v>
                </c:pt>
              </c:numCache>
            </c:numRef>
          </c:val>
          <c:extLst>
            <c:ext xmlns:c16="http://schemas.microsoft.com/office/drawing/2014/chart" uri="{C3380CC4-5D6E-409C-BE32-E72D297353CC}">
              <c16:uniqueId val="{00000000-1118-443C-9F8D-6B58F881C18E}"/>
            </c:ext>
          </c:extLst>
        </c:ser>
        <c:dLbls>
          <c:showLegendKey val="0"/>
          <c:showVal val="0"/>
          <c:showCatName val="0"/>
          <c:showSerName val="0"/>
          <c:showPercent val="0"/>
          <c:showBubbleSize val="0"/>
        </c:dLbls>
        <c:gapWidth val="150"/>
        <c:axId val="133329664"/>
        <c:axId val="133331968"/>
      </c:barChart>
      <c:catAx>
        <c:axId val="133329664"/>
        <c:scaling>
          <c:orientation val="minMax"/>
        </c:scaling>
        <c:delete val="0"/>
        <c:axPos val="b"/>
        <c:title>
          <c:tx>
            <c:rich>
              <a:bodyPr/>
              <a:lstStyle/>
              <a:p>
                <a:pPr>
                  <a:defRPr/>
                </a:pPr>
                <a:r>
                  <a:rPr lang="en-US" baseline="0"/>
                  <a:t>Gestational age (weeks)</a:t>
                </a:r>
                <a:endParaRPr lang="en-US"/>
              </a:p>
            </c:rich>
          </c:tx>
          <c:overlay val="0"/>
        </c:title>
        <c:numFmt formatCode="General" sourceLinked="0"/>
        <c:majorTickMark val="none"/>
        <c:minorTickMark val="none"/>
        <c:tickLblPos val="nextTo"/>
        <c:crossAx val="133331968"/>
        <c:crosses val="autoZero"/>
        <c:auto val="1"/>
        <c:lblAlgn val="ctr"/>
        <c:lblOffset val="100"/>
        <c:noMultiLvlLbl val="0"/>
      </c:catAx>
      <c:valAx>
        <c:axId val="133331968"/>
        <c:scaling>
          <c:orientation val="minMax"/>
        </c:scaling>
        <c:delete val="0"/>
        <c:axPos val="l"/>
        <c:majorGridlines/>
        <c:title>
          <c:tx>
            <c:rich>
              <a:bodyPr/>
              <a:lstStyle/>
              <a:p>
                <a:pPr>
                  <a:defRPr/>
                </a:pPr>
                <a:r>
                  <a:rPr lang="en-US"/>
                  <a:t>Percentage</a:t>
                </a:r>
                <a:r>
                  <a:rPr lang="en-US" baseline="0"/>
                  <a:t> of patients (%)</a:t>
                </a:r>
                <a:endParaRPr lang="en-US"/>
              </a:p>
            </c:rich>
          </c:tx>
          <c:overlay val="0"/>
        </c:title>
        <c:numFmt formatCode="General" sourceLinked="1"/>
        <c:majorTickMark val="out"/>
        <c:minorTickMark val="none"/>
        <c:tickLblPos val="nextTo"/>
        <c:crossAx val="133329664"/>
        <c:crosses val="autoZero"/>
        <c:crossBetween val="between"/>
      </c:valAx>
    </c:plotArea>
    <c:plotVisOnly val="1"/>
    <c:dispBlanksAs val="gap"/>
    <c:showDLblsOverMax val="0"/>
  </c:chart>
  <c:spPr>
    <a:ln w="25400"/>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i="0"/>
              <a:t>Age</a:t>
            </a:r>
            <a:r>
              <a:rPr lang="en-US" i="0" baseline="0"/>
              <a:t> when treatment initiated</a:t>
            </a:r>
            <a:endParaRPr lang="en-US" i="0"/>
          </a:p>
        </c:rich>
      </c:tx>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035763685066359"/>
          <c:y val="0.15884008850855594"/>
          <c:w val="0.87285962817739216"/>
          <c:h val="0.6204577739940631"/>
        </c:manualLayout>
      </c:layout>
      <c:bar3DChart>
        <c:barDir val="col"/>
        <c:grouping val="clustered"/>
        <c:varyColors val="0"/>
        <c:ser>
          <c:idx val="0"/>
          <c:order val="0"/>
          <c:tx>
            <c:strRef>
              <c:f>Sheet1!$B$1</c:f>
              <c:strCache>
                <c:ptCount val="1"/>
                <c:pt idx="0">
                  <c:v>Series 1</c:v>
                </c:pt>
              </c:strCache>
            </c:strRef>
          </c:tx>
          <c:spPr>
            <a:solidFill>
              <a:srgbClr val="C00000"/>
            </a:solidFill>
          </c:spPr>
          <c:invertIfNegative val="0"/>
          <c:cat>
            <c:strRef>
              <c:f>Sheet1!$A$2:$A$6</c:f>
              <c:strCache>
                <c:ptCount val="5"/>
                <c:pt idx="0">
                  <c:v>34-36</c:v>
                </c:pt>
                <c:pt idx="1">
                  <c:v>37-39</c:v>
                </c:pt>
                <c:pt idx="2">
                  <c:v>40-42</c:v>
                </c:pt>
                <c:pt idx="3">
                  <c:v>43-45</c:v>
                </c:pt>
                <c:pt idx="4">
                  <c:v>≥46</c:v>
                </c:pt>
              </c:strCache>
            </c:strRef>
          </c:cat>
          <c:val>
            <c:numRef>
              <c:f>Sheet1!$B$2:$B$6</c:f>
              <c:numCache>
                <c:formatCode>General</c:formatCode>
                <c:ptCount val="5"/>
                <c:pt idx="0">
                  <c:v>34.6</c:v>
                </c:pt>
                <c:pt idx="1">
                  <c:v>26.9</c:v>
                </c:pt>
                <c:pt idx="2">
                  <c:v>23.1</c:v>
                </c:pt>
                <c:pt idx="3">
                  <c:v>11.5</c:v>
                </c:pt>
                <c:pt idx="4">
                  <c:v>3.9</c:v>
                </c:pt>
              </c:numCache>
            </c:numRef>
          </c:val>
          <c:extLst>
            <c:ext xmlns:c16="http://schemas.microsoft.com/office/drawing/2014/chart" uri="{C3380CC4-5D6E-409C-BE32-E72D297353CC}">
              <c16:uniqueId val="{00000000-C4A0-40CB-B477-CFDF1A1940FB}"/>
            </c:ext>
          </c:extLst>
        </c:ser>
        <c:dLbls>
          <c:showLegendKey val="0"/>
          <c:showVal val="0"/>
          <c:showCatName val="0"/>
          <c:showSerName val="0"/>
          <c:showPercent val="0"/>
          <c:showBubbleSize val="0"/>
        </c:dLbls>
        <c:gapWidth val="150"/>
        <c:shape val="cylinder"/>
        <c:axId val="133706496"/>
        <c:axId val="133708416"/>
        <c:axId val="0"/>
      </c:bar3DChart>
      <c:catAx>
        <c:axId val="133706496"/>
        <c:scaling>
          <c:orientation val="minMax"/>
        </c:scaling>
        <c:delete val="0"/>
        <c:axPos val="b"/>
        <c:title>
          <c:tx>
            <c:rich>
              <a:bodyPr/>
              <a:lstStyle/>
              <a:p>
                <a:pPr>
                  <a:defRPr sz="1200" b="0"/>
                </a:pPr>
                <a:r>
                  <a:rPr lang="en-US" sz="1200" b="0" baseline="0"/>
                  <a:t>Gestational age (weeks)</a:t>
                </a:r>
                <a:endParaRPr lang="en-US" sz="1200" b="0"/>
              </a:p>
            </c:rich>
          </c:tx>
          <c:overlay val="0"/>
        </c:title>
        <c:numFmt formatCode="General" sourceLinked="0"/>
        <c:majorTickMark val="none"/>
        <c:minorTickMark val="none"/>
        <c:tickLblPos val="nextTo"/>
        <c:txPr>
          <a:bodyPr/>
          <a:lstStyle/>
          <a:p>
            <a:pPr>
              <a:defRPr b="1"/>
            </a:pPr>
            <a:endParaRPr lang="en-US"/>
          </a:p>
        </c:txPr>
        <c:crossAx val="133708416"/>
        <c:crosses val="autoZero"/>
        <c:auto val="1"/>
        <c:lblAlgn val="ctr"/>
        <c:lblOffset val="100"/>
        <c:noMultiLvlLbl val="0"/>
      </c:catAx>
      <c:valAx>
        <c:axId val="133708416"/>
        <c:scaling>
          <c:orientation val="minMax"/>
        </c:scaling>
        <c:delete val="0"/>
        <c:axPos val="l"/>
        <c:majorGridlines/>
        <c:title>
          <c:tx>
            <c:rich>
              <a:bodyPr rot="0" vert="horz"/>
              <a:lstStyle/>
              <a:p>
                <a:pPr>
                  <a:defRPr b="0"/>
                </a:pPr>
                <a:r>
                  <a:rPr lang="en-US" b="0"/>
                  <a:t>Percentage</a:t>
                </a:r>
                <a:r>
                  <a:rPr lang="en-US" b="0" baseline="0"/>
                  <a:t> of Patients (%)</a:t>
                </a:r>
                <a:endParaRPr lang="en-US" b="0"/>
              </a:p>
            </c:rich>
          </c:tx>
          <c:layout>
            <c:manualLayout>
              <c:xMode val="edge"/>
              <c:yMode val="edge"/>
              <c:x val="2.1375296321547735E-2"/>
              <c:y val="0.10323195530112572"/>
            </c:manualLayout>
          </c:layout>
          <c:overlay val="0"/>
        </c:title>
        <c:numFmt formatCode="General" sourceLinked="1"/>
        <c:majorTickMark val="out"/>
        <c:minorTickMark val="none"/>
        <c:tickLblPos val="nextTo"/>
        <c:crossAx val="133706496"/>
        <c:crosses val="autoZero"/>
        <c:crossBetween val="between"/>
      </c:valAx>
    </c:plotArea>
    <c:plotVisOnly val="1"/>
    <c:dispBlanksAs val="gap"/>
    <c:showDLblsOverMax val="0"/>
  </c:chart>
  <c:spPr>
    <a:ln w="25400"/>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baseline="0"/>
              <a:t>DURATION FROM DIAGNOSIS</a:t>
            </a:r>
          </a:p>
          <a:p>
            <a:pPr>
              <a:defRPr/>
            </a:pPr>
            <a:r>
              <a:rPr lang="en-US" baseline="0"/>
              <a:t> TO TREATMENT</a:t>
            </a:r>
            <a:endParaRPr lang="en-US"/>
          </a:p>
        </c:rich>
      </c:tx>
      <c:layout>
        <c:manualLayout>
          <c:xMode val="edge"/>
          <c:yMode val="edge"/>
          <c:x val="0.24984844066208903"/>
          <c:y val="1.3123359580052497E-2"/>
        </c:manualLayout>
      </c:layout>
      <c:overlay val="0"/>
    </c:title>
    <c:autoTitleDeleted val="0"/>
    <c:plotArea>
      <c:layout>
        <c:manualLayout>
          <c:layoutTarget val="inner"/>
          <c:xMode val="edge"/>
          <c:yMode val="edge"/>
          <c:x val="8.8432080318318423E-2"/>
          <c:y val="0.20633801209631406"/>
          <c:w val="0.8885744750656166"/>
          <c:h val="0.61998625171853539"/>
        </c:manualLayout>
      </c:layout>
      <c:barChart>
        <c:barDir val="col"/>
        <c:grouping val="clustered"/>
        <c:varyColors val="0"/>
        <c:ser>
          <c:idx val="0"/>
          <c:order val="0"/>
          <c:tx>
            <c:strRef>
              <c:f>Sheet1!$B$1</c:f>
              <c:strCache>
                <c:ptCount val="1"/>
                <c:pt idx="0">
                  <c:v>Series 1</c:v>
                </c:pt>
              </c:strCache>
            </c:strRef>
          </c:tx>
          <c:spPr>
            <a:solidFill>
              <a:srgbClr val="000066"/>
            </a:solidFill>
          </c:spPr>
          <c:invertIfNegative val="0"/>
          <c:cat>
            <c:strRef>
              <c:f>Sheet1!$A$2:$A$4</c:f>
              <c:strCache>
                <c:ptCount val="3"/>
                <c:pt idx="0">
                  <c:v>&lt;48</c:v>
                </c:pt>
                <c:pt idx="1">
                  <c:v>48-72</c:v>
                </c:pt>
                <c:pt idx="2">
                  <c:v>&gt;72</c:v>
                </c:pt>
              </c:strCache>
            </c:strRef>
          </c:cat>
          <c:val>
            <c:numRef>
              <c:f>Sheet1!$B$2:$B$4</c:f>
              <c:numCache>
                <c:formatCode>General</c:formatCode>
                <c:ptCount val="3"/>
                <c:pt idx="0">
                  <c:v>5</c:v>
                </c:pt>
                <c:pt idx="1">
                  <c:v>14</c:v>
                </c:pt>
                <c:pt idx="2">
                  <c:v>7</c:v>
                </c:pt>
              </c:numCache>
            </c:numRef>
          </c:val>
          <c:extLst>
            <c:ext xmlns:c16="http://schemas.microsoft.com/office/drawing/2014/chart" uri="{C3380CC4-5D6E-409C-BE32-E72D297353CC}">
              <c16:uniqueId val="{00000000-95BB-4ED7-8D85-E097E1FE6F96}"/>
            </c:ext>
          </c:extLst>
        </c:ser>
        <c:dLbls>
          <c:showLegendKey val="0"/>
          <c:showVal val="0"/>
          <c:showCatName val="0"/>
          <c:showSerName val="0"/>
          <c:showPercent val="0"/>
          <c:showBubbleSize val="0"/>
        </c:dLbls>
        <c:gapWidth val="150"/>
        <c:axId val="137800320"/>
        <c:axId val="139771904"/>
      </c:barChart>
      <c:catAx>
        <c:axId val="137800320"/>
        <c:scaling>
          <c:orientation val="minMax"/>
        </c:scaling>
        <c:delete val="0"/>
        <c:axPos val="b"/>
        <c:title>
          <c:tx>
            <c:rich>
              <a:bodyPr/>
              <a:lstStyle/>
              <a:p>
                <a:pPr>
                  <a:defRPr/>
                </a:pPr>
                <a:r>
                  <a:rPr lang="en-MY"/>
                  <a:t>Time</a:t>
                </a:r>
                <a:r>
                  <a:rPr lang="en-MY" baseline="0"/>
                  <a:t> (Hours)</a:t>
                </a:r>
                <a:endParaRPr lang="en-MY"/>
              </a:p>
            </c:rich>
          </c:tx>
          <c:layout>
            <c:manualLayout>
              <c:xMode val="edge"/>
              <c:yMode val="edge"/>
              <c:x val="0.46995784617831859"/>
              <c:y val="0.8968059602785875"/>
            </c:manualLayout>
          </c:layout>
          <c:overlay val="0"/>
        </c:title>
        <c:numFmt formatCode="General" sourceLinked="0"/>
        <c:majorTickMark val="none"/>
        <c:minorTickMark val="none"/>
        <c:tickLblPos val="nextTo"/>
        <c:crossAx val="139771904"/>
        <c:crosses val="autoZero"/>
        <c:auto val="1"/>
        <c:lblAlgn val="ctr"/>
        <c:lblOffset val="100"/>
        <c:noMultiLvlLbl val="0"/>
      </c:catAx>
      <c:valAx>
        <c:axId val="139771904"/>
        <c:scaling>
          <c:orientation val="minMax"/>
        </c:scaling>
        <c:delete val="0"/>
        <c:axPos val="l"/>
        <c:majorGridlines/>
        <c:title>
          <c:tx>
            <c:rich>
              <a:bodyPr rot="0" vert="horz"/>
              <a:lstStyle/>
              <a:p>
                <a:pPr>
                  <a:defRPr/>
                </a:pPr>
                <a:r>
                  <a:rPr lang="en-MY" sz="900"/>
                  <a:t>Number</a:t>
                </a:r>
                <a:r>
                  <a:rPr lang="en-MY" sz="900" baseline="0"/>
                  <a:t> of Patients</a:t>
                </a:r>
                <a:endParaRPr lang="en-MY" sz="900"/>
              </a:p>
            </c:rich>
          </c:tx>
          <c:layout>
            <c:manualLayout>
              <c:xMode val="edge"/>
              <c:yMode val="edge"/>
              <c:x val="5.6116722783389477E-4"/>
              <c:y val="0.13299439932213208"/>
            </c:manualLayout>
          </c:layout>
          <c:overlay val="0"/>
        </c:title>
        <c:numFmt formatCode="General" sourceLinked="1"/>
        <c:majorTickMark val="out"/>
        <c:minorTickMark val="none"/>
        <c:tickLblPos val="nextTo"/>
        <c:crossAx val="137800320"/>
        <c:crosses val="autoZero"/>
        <c:crossBetween val="between"/>
      </c:valAx>
    </c:plotArea>
    <c:plotVisOnly val="1"/>
    <c:dispBlanksAs val="gap"/>
    <c:showDLblsOverMax val="0"/>
  </c:chart>
  <c:spPr>
    <a:ln w="25400"/>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3</TotalTime>
  <Pages>15</Pages>
  <Words>3990</Words>
  <Characters>22743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Athirah Aminudin</dc:creator>
  <cp:keywords/>
  <dc:description/>
  <cp:lastModifiedBy>Athirah Aminudin</cp:lastModifiedBy>
  <cp:revision>1</cp:revision>
  <dcterms:created xsi:type="dcterms:W3CDTF">2023-10-25T11:59:00Z</dcterms:created>
  <dcterms:modified xsi:type="dcterms:W3CDTF">2023-10-30T14:38:00Z</dcterms:modified>
</cp:coreProperties>
</file>